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Control</w:t>
      </w:r>
      <w:r>
        <w:t xml:space="preserve"> </w:t>
      </w:r>
      <w:r>
        <w:t xml:space="preserve">Mapping</w:t>
      </w:r>
      <w:r>
        <w:t xml:space="preserve"> </w:t>
      </w:r>
      <w:r>
        <w:t xml:space="preserve">and</w:t>
      </w:r>
      <w:r>
        <w:t xml:space="preserve"> </w:t>
      </w:r>
      <w:r>
        <w:t xml:space="preserve">Crosswalk</w:t>
      </w:r>
      <w:r>
        <w:t xml:space="preserve"> </w:t>
      </w:r>
      <w:r>
        <w:t xml:space="preserve">Practical</w:t>
      </w:r>
      <w:r>
        <w:t xml:space="preserve"> </w:t>
      </w:r>
      <w:r>
        <w:t xml:space="preserve">Manual</w:t>
      </w:r>
    </w:p>
    <w:p>
      <w:pPr>
        <w:pStyle w:val="Author"/>
      </w:pPr>
      <w:r>
        <w:t xml:space="preserve">Alberto Al Leiva</w:t>
      </w:r>
    </w:p>
    <w:p>
      <w:pPr>
        <w:pStyle w:val="Date"/>
      </w:pPr>
      <w:r>
        <w:t xml:space="preserve">1</w:t>
      </w:r>
      <w:r>
        <w:t xml:space="preserve"> </w:t>
      </w: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78c34b9f7b334e6a543398f27f4ea4a8f1da01e"/>
    <w:p>
      <w:pPr>
        <w:pStyle w:val="Heading1"/>
      </w:pPr>
      <w:r>
        <w:t xml:space="preserve">Control Mapping and Crosswalk Practical Manual</w:t>
      </w:r>
    </w:p>
    <w:p>
      <w:pPr>
        <w:pStyle w:val="BlockText"/>
      </w:pPr>
      <w:r>
        <w:rPr>
          <w:bCs/>
          <w:b/>
        </w:rPr>
        <w:t xml:space="preserve">Educational and analytical-use notice:</w:t>
      </w:r>
      <w:r>
        <w:t xml:space="preserve"> </w:t>
      </w:r>
      <w:r>
        <w:t xml:space="preserve">A mapping is not proof of compliance, certification, legal sufficiency, control effectiveness, or audit assurance. Verify authoritative sources, licensing, scope, implementation, evidence, and applicable law.</w:t>
      </w:r>
    </w:p>
    <w:p>
      <w:pPr>
        <w:pStyle w:val="BlockText"/>
      </w:pPr>
      <w:r>
        <w:rPr>
          <w:bCs/>
          <w:b/>
        </w:rPr>
        <w:t xml:space="preserve">Copyright and licensing notice:</w:t>
      </w:r>
      <w:r>
        <w:t xml:space="preserve"> </w:t>
      </w:r>
      <w:r>
        <w:t xml:space="preserve">Do not reproduce proprietary standards text without authorization. Use licensed source identifiers and organization-authored analytical summaries where appropriate.</w:t>
      </w:r>
    </w:p>
    <w:bookmarkEnd w:id="20"/>
    <w:bookmarkStart w:id="31" w:name="mapping-governance-and-intended-use"/>
    <w:p>
      <w:pPr>
        <w:pStyle w:val="Heading1"/>
      </w:pPr>
      <w:r>
        <w:t xml:space="preserve">Mapping Governance and Intended Use</w:t>
      </w:r>
    </w:p>
    <w:bookmarkStart w:id="21" w:name="why-mapping-requires-governance"/>
    <w:p>
      <w:pPr>
        <w:pStyle w:val="Heading2"/>
      </w:pPr>
      <w:r>
        <w:t xml:space="preserve">1. Why mapping requires governance</w:t>
      </w:r>
    </w:p>
    <w:p>
      <w:pPr>
        <w:pStyle w:val="FirstParagraph"/>
      </w:pPr>
      <w:r>
        <w:t xml:space="preserve">A control mapping is a documented analytical relationship between two or more requirements, outcomes, control objectives, practices, safeguards, or evidence expectations. It can support program design, scoping, reuse, gap analysis, reporting, and audit preparation. It cannot replace the authoritative source or prove that any requirement is satisfied.</w:t>
      </w:r>
    </w:p>
    <w:p>
      <w:pPr>
        <w:pStyle w:val="BodyText"/>
      </w:pPr>
      <w:r>
        <w:t xml:space="preserve">Weak mappings create false confidence. They may collapse distinct obligations, ignore scope conditions, conceal partial coverage, or imply that one implementation satisfies every mapped requirement. A governed mapping process therefore treats each relationship as a reviewable assertion supported by rationale and evidence.</w:t>
      </w:r>
    </w:p>
    <w:bookmarkEnd w:id="21"/>
    <w:bookmarkStart w:id="22" w:name="define-the-intended-use-before-mapping"/>
    <w:p>
      <w:pPr>
        <w:pStyle w:val="Heading2"/>
      </w:pPr>
      <w:r>
        <w:t xml:space="preserve">2. Define the intended use before mapping</w:t>
      </w:r>
    </w:p>
    <w:p>
      <w:pPr>
        <w:pStyle w:val="FirstParagraph"/>
      </w:pPr>
      <w:r>
        <w:t xml:space="preserve">Every mapping set must state its intended use. Common uses include:</w:t>
      </w:r>
    </w:p>
    <w:p>
      <w:pPr>
        <w:numPr>
          <w:ilvl w:val="0"/>
          <w:numId w:val="1001"/>
        </w:numPr>
        <w:pStyle w:val="Compact"/>
      </w:pPr>
      <w:r>
        <w:t xml:space="preserve">designing a common control framework;</w:t>
      </w:r>
    </w:p>
    <w:p>
      <w:pPr>
        <w:numPr>
          <w:ilvl w:val="0"/>
          <w:numId w:val="1001"/>
        </w:numPr>
        <w:pStyle w:val="Compact"/>
      </w:pPr>
      <w:r>
        <w:t xml:space="preserve">identifying reusable implementations;</w:t>
      </w:r>
    </w:p>
    <w:p>
      <w:pPr>
        <w:numPr>
          <w:ilvl w:val="0"/>
          <w:numId w:val="1001"/>
        </w:numPr>
        <w:pStyle w:val="Compact"/>
      </w:pPr>
      <w:r>
        <w:t xml:space="preserve">preparing an audit or assessment scope;</w:t>
      </w:r>
    </w:p>
    <w:p>
      <w:pPr>
        <w:numPr>
          <w:ilvl w:val="0"/>
          <w:numId w:val="1001"/>
        </w:numPr>
        <w:pStyle w:val="Compact"/>
      </w:pPr>
      <w:r>
        <w:t xml:space="preserve">translating executive outcomes into control activities;</w:t>
      </w:r>
    </w:p>
    <w:p>
      <w:pPr>
        <w:numPr>
          <w:ilvl w:val="0"/>
          <w:numId w:val="1001"/>
        </w:numPr>
        <w:pStyle w:val="Compact"/>
      </w:pPr>
      <w:r>
        <w:t xml:space="preserve">identifying gaps or duplicated effort;</w:t>
      </w:r>
    </w:p>
    <w:p>
      <w:pPr>
        <w:numPr>
          <w:ilvl w:val="0"/>
          <w:numId w:val="1001"/>
        </w:numPr>
        <w:pStyle w:val="Compact"/>
      </w:pPr>
      <w:r>
        <w:t xml:space="preserve">supporting product, supplier, or business-unit reporting;</w:t>
      </w:r>
    </w:p>
    <w:p>
      <w:pPr>
        <w:numPr>
          <w:ilvl w:val="0"/>
          <w:numId w:val="1001"/>
        </w:numPr>
        <w:pStyle w:val="Compact"/>
      </w:pPr>
      <w:r>
        <w:t xml:space="preserve">planning migration between framework versions;</w:t>
      </w:r>
    </w:p>
    <w:p>
      <w:pPr>
        <w:numPr>
          <w:ilvl w:val="0"/>
          <w:numId w:val="1001"/>
        </w:numPr>
        <w:pStyle w:val="Compact"/>
      </w:pPr>
      <w:r>
        <w:t xml:space="preserve">connecting requirements to evidence and ownership.</w:t>
      </w:r>
    </w:p>
    <w:p>
      <w:pPr>
        <w:pStyle w:val="FirstParagraph"/>
      </w:pPr>
      <w:r>
        <w:t xml:space="preserve">The intended use determines the required precision. A high-level executive comparison may map categories or outcomes. An audit-support mapping requires requirement-level decomposition, scope conditions, implementation references, evidence expectations, and independent review.</w:t>
      </w:r>
    </w:p>
    <w:bookmarkEnd w:id="22"/>
    <w:bookmarkStart w:id="23" w:name="establish-mapping-authority"/>
    <w:p>
      <w:pPr>
        <w:pStyle w:val="Heading2"/>
      </w:pPr>
      <w:r>
        <w:t xml:space="preserve">3. Establish mapping authority</w:t>
      </w:r>
    </w:p>
    <w:p>
      <w:pPr>
        <w:pStyle w:val="FirstParagraph"/>
      </w:pPr>
      <w:r>
        <w:t xml:space="preserve">The mapping owner is accountable for methodology, source integrity, reviewer assignment, approval, maintenance, and retirement. Subject-matter contributors may propose relationships, but approval should include people who understand both source domains and the actual implementation environment.</w:t>
      </w:r>
    </w:p>
    <w:p>
      <w:pPr>
        <w:pStyle w:val="BodyText"/>
      </w:pPr>
      <w:r>
        <w:t xml:space="preserve">Recommended roles include:</w:t>
      </w:r>
    </w:p>
    <w:p>
      <w:pPr>
        <w:numPr>
          <w:ilvl w:val="0"/>
          <w:numId w:val="1002"/>
        </w:numPr>
        <w:pStyle w:val="Compact"/>
      </w:pPr>
      <w:r>
        <w:rPr>
          <w:bCs/>
          <w:b/>
        </w:rPr>
        <w:t xml:space="preserve">mapping owner</w:t>
      </w:r>
      <w:r>
        <w:t xml:space="preserve"> </w:t>
      </w:r>
      <w:r>
        <w:t xml:space="preserve">— governs the mapping set and methodology;</w:t>
      </w:r>
    </w:p>
    <w:p>
      <w:pPr>
        <w:numPr>
          <w:ilvl w:val="0"/>
          <w:numId w:val="1002"/>
        </w:numPr>
        <w:pStyle w:val="Compact"/>
      </w:pPr>
      <w:r>
        <w:rPr>
          <w:bCs/>
          <w:b/>
        </w:rPr>
        <w:t xml:space="preserve">source steward</w:t>
      </w:r>
      <w:r>
        <w:t xml:space="preserve"> </w:t>
      </w:r>
      <w:r>
        <w:t xml:space="preserve">— confirms authoritative versions and licensing constraints;</w:t>
      </w:r>
    </w:p>
    <w:p>
      <w:pPr>
        <w:numPr>
          <w:ilvl w:val="0"/>
          <w:numId w:val="1002"/>
        </w:numPr>
        <w:pStyle w:val="Compact"/>
      </w:pPr>
      <w:r>
        <w:rPr>
          <w:bCs/>
          <w:b/>
        </w:rPr>
        <w:t xml:space="preserve">domain reviewer</w:t>
      </w:r>
      <w:r>
        <w:t xml:space="preserve"> </w:t>
      </w:r>
      <w:r>
        <w:t xml:space="preserve">— validates source meaning and applicability;</w:t>
      </w:r>
    </w:p>
    <w:p>
      <w:pPr>
        <w:numPr>
          <w:ilvl w:val="0"/>
          <w:numId w:val="1002"/>
        </w:numPr>
        <w:pStyle w:val="Compact"/>
      </w:pPr>
      <w:r>
        <w:rPr>
          <w:bCs/>
          <w:b/>
        </w:rPr>
        <w:t xml:space="preserve">control owner</w:t>
      </w:r>
      <w:r>
        <w:t xml:space="preserve"> </w:t>
      </w:r>
      <w:r>
        <w:t xml:space="preserve">— confirms implementation scope and evidence;</w:t>
      </w:r>
    </w:p>
    <w:p>
      <w:pPr>
        <w:numPr>
          <w:ilvl w:val="0"/>
          <w:numId w:val="1002"/>
        </w:numPr>
        <w:pStyle w:val="Compact"/>
      </w:pPr>
      <w:r>
        <w:rPr>
          <w:bCs/>
          <w:b/>
        </w:rPr>
        <w:t xml:space="preserve">independent approver</w:t>
      </w:r>
      <w:r>
        <w:t xml:space="preserve"> </w:t>
      </w:r>
      <w:r>
        <w:t xml:space="preserve">— challenges unsupported equivalence;</w:t>
      </w:r>
    </w:p>
    <w:p>
      <w:pPr>
        <w:numPr>
          <w:ilvl w:val="0"/>
          <w:numId w:val="1002"/>
        </w:numPr>
        <w:pStyle w:val="Compact"/>
      </w:pPr>
      <w:r>
        <w:rPr>
          <w:bCs/>
          <w:b/>
        </w:rPr>
        <w:t xml:space="preserve">records custodian</w:t>
      </w:r>
      <w:r>
        <w:t xml:space="preserve"> </w:t>
      </w:r>
      <w:r>
        <w:t xml:space="preserve">— retains versions, decisions, and review evidence.</w:t>
      </w:r>
    </w:p>
    <w:bookmarkEnd w:id="23"/>
    <w:bookmarkStart w:id="24" w:name="X316696ca624abd509e2ae848da4c678c0e5d123"/>
    <w:p>
      <w:pPr>
        <w:pStyle w:val="Heading2"/>
      </w:pPr>
      <w:r>
        <w:t xml:space="preserve">4. Separate source text from organization interpretation</w:t>
      </w:r>
    </w:p>
    <w:p>
      <w:pPr>
        <w:pStyle w:val="FirstParagraph"/>
      </w:pPr>
      <w:r>
        <w:t xml:space="preserve">Maintain distinct fields for:</w:t>
      </w:r>
    </w:p>
    <w:p>
      <w:pPr>
        <w:numPr>
          <w:ilvl w:val="0"/>
          <w:numId w:val="1003"/>
        </w:numPr>
        <w:pStyle w:val="Compact"/>
      </w:pPr>
      <w:r>
        <w:t xml:space="preserve">the source identifier;</w:t>
      </w:r>
    </w:p>
    <w:p>
      <w:pPr>
        <w:numPr>
          <w:ilvl w:val="0"/>
          <w:numId w:val="1003"/>
        </w:numPr>
        <w:pStyle w:val="Compact"/>
      </w:pPr>
      <w:r>
        <w:t xml:space="preserve">an authorized source excerpt or licensed reference location;</w:t>
      </w:r>
    </w:p>
    <w:p>
      <w:pPr>
        <w:numPr>
          <w:ilvl w:val="0"/>
          <w:numId w:val="1003"/>
        </w:numPr>
        <w:pStyle w:val="Compact"/>
      </w:pPr>
      <w:r>
        <w:t xml:space="preserve">the organization’s concise interpretation;</w:t>
      </w:r>
    </w:p>
    <w:p>
      <w:pPr>
        <w:numPr>
          <w:ilvl w:val="0"/>
          <w:numId w:val="1003"/>
        </w:numPr>
        <w:pStyle w:val="Compact"/>
      </w:pPr>
      <w:r>
        <w:t xml:space="preserve">the normalized control objective;</w:t>
      </w:r>
    </w:p>
    <w:p>
      <w:pPr>
        <w:numPr>
          <w:ilvl w:val="0"/>
          <w:numId w:val="1003"/>
        </w:numPr>
        <w:pStyle w:val="Compact"/>
      </w:pPr>
      <w:r>
        <w:t xml:space="preserve">the proposed relationship;</w:t>
      </w:r>
    </w:p>
    <w:p>
      <w:pPr>
        <w:numPr>
          <w:ilvl w:val="0"/>
          <w:numId w:val="1003"/>
        </w:numPr>
        <w:pStyle w:val="Compact"/>
      </w:pPr>
      <w:r>
        <w:t xml:space="preserve">the rationale and limitations.</w:t>
      </w:r>
    </w:p>
    <w:p>
      <w:pPr>
        <w:pStyle w:val="FirstParagraph"/>
      </w:pPr>
      <w:r>
        <w:t xml:space="preserve">This separation prevents an organization-authored summary from being mistaken for official language. It also allows the interpretation to be corrected without changing the source record.</w:t>
      </w:r>
    </w:p>
    <w:bookmarkEnd w:id="24"/>
    <w:bookmarkStart w:id="25" w:name="use-explicit-relationship-types"/>
    <w:p>
      <w:pPr>
        <w:pStyle w:val="Heading2"/>
      </w:pPr>
      <w:r>
        <w:t xml:space="preserve">5. Use explicit relationship types</w:t>
      </w:r>
    </w:p>
    <w:p>
      <w:pPr>
        <w:pStyle w:val="FirstParagraph"/>
      </w:pPr>
      <w:r>
        <w:t xml:space="preserve">Do not use a single undifferentiated value such as</w:t>
      </w:r>
      <w:r>
        <w:t xml:space="preserve"> </w:t>
      </w:r>
      <w:r>
        <w:t xml:space="preserve">“</w:t>
      </w:r>
      <w:r>
        <w:t xml:space="preserve">mapped.</w:t>
      </w:r>
      <w:r>
        <w:t xml:space="preserve">”</w:t>
      </w:r>
      <w:r>
        <w:t xml:space="preserve"> </w:t>
      </w:r>
      <w:r>
        <w:t xml:space="preserve">Recommended relationship types are:</w:t>
      </w:r>
    </w:p>
    <w:p>
      <w:pPr>
        <w:numPr>
          <w:ilvl w:val="0"/>
          <w:numId w:val="1004"/>
        </w:numPr>
        <w:pStyle w:val="Compact"/>
      </w:pPr>
      <w:r>
        <w:rPr>
          <w:bCs/>
          <w:b/>
        </w:rPr>
        <w:t xml:space="preserve">equivalent</w:t>
      </w:r>
      <w:r>
        <w:t xml:space="preserve"> </w:t>
      </w:r>
      <w:r>
        <w:t xml:space="preserve">— objectives, scope, and expected result are materially the same;</w:t>
      </w:r>
    </w:p>
    <w:p>
      <w:pPr>
        <w:numPr>
          <w:ilvl w:val="0"/>
          <w:numId w:val="1004"/>
        </w:numPr>
        <w:pStyle w:val="Compact"/>
      </w:pPr>
      <w:r>
        <w:rPr>
          <w:bCs/>
          <w:b/>
        </w:rPr>
        <w:t xml:space="preserve">strong overlap</w:t>
      </w:r>
      <w:r>
        <w:t xml:space="preserve"> </w:t>
      </w:r>
      <w:r>
        <w:t xml:space="preserve">— substantial coverage exists, but one or more conditions differ;</w:t>
      </w:r>
    </w:p>
    <w:p>
      <w:pPr>
        <w:numPr>
          <w:ilvl w:val="0"/>
          <w:numId w:val="1004"/>
        </w:numPr>
        <w:pStyle w:val="Compact"/>
      </w:pPr>
      <w:r>
        <w:rPr>
          <w:bCs/>
          <w:b/>
        </w:rPr>
        <w:t xml:space="preserve">partial overlap</w:t>
      </w:r>
      <w:r>
        <w:t xml:space="preserve"> </w:t>
      </w:r>
      <w:r>
        <w:t xml:space="preserve">— only part of the source objective is covered;</w:t>
      </w:r>
    </w:p>
    <w:p>
      <w:pPr>
        <w:numPr>
          <w:ilvl w:val="0"/>
          <w:numId w:val="1004"/>
        </w:numPr>
        <w:pStyle w:val="Compact"/>
      </w:pPr>
      <w:r>
        <w:rPr>
          <w:bCs/>
          <w:b/>
        </w:rPr>
        <w:t xml:space="preserve">supports</w:t>
      </w:r>
      <w:r>
        <w:t xml:space="preserve"> </w:t>
      </w:r>
      <w:r>
        <w:t xml:space="preserve">— the target contributes to the source objective but is not sufficient alone;</w:t>
      </w:r>
    </w:p>
    <w:p>
      <w:pPr>
        <w:numPr>
          <w:ilvl w:val="0"/>
          <w:numId w:val="1004"/>
        </w:numPr>
        <w:pStyle w:val="Compact"/>
      </w:pPr>
      <w:r>
        <w:rPr>
          <w:bCs/>
          <w:b/>
        </w:rPr>
        <w:t xml:space="preserve">related</w:t>
      </w:r>
      <w:r>
        <w:t xml:space="preserve"> </w:t>
      </w:r>
      <w:r>
        <w:t xml:space="preserve">— the items address a common topic but do not establish coverage;</w:t>
      </w:r>
    </w:p>
    <w:p>
      <w:pPr>
        <w:numPr>
          <w:ilvl w:val="0"/>
          <w:numId w:val="1004"/>
        </w:numPr>
        <w:pStyle w:val="Compact"/>
      </w:pPr>
      <w:r>
        <w:rPr>
          <w:bCs/>
          <w:b/>
        </w:rPr>
        <w:t xml:space="preserve">conflicts or constrains</w:t>
      </w:r>
      <w:r>
        <w:t xml:space="preserve"> </w:t>
      </w:r>
      <w:r>
        <w:t xml:space="preserve">— obligations or implementation expectations require reconciliation;</w:t>
      </w:r>
    </w:p>
    <w:p>
      <w:pPr>
        <w:numPr>
          <w:ilvl w:val="0"/>
          <w:numId w:val="1004"/>
        </w:numPr>
        <w:pStyle w:val="Compact"/>
      </w:pPr>
      <w:r>
        <w:rPr>
          <w:bCs/>
          <w:b/>
        </w:rPr>
        <w:t xml:space="preserve">no mapping</w:t>
      </w:r>
      <w:r>
        <w:t xml:space="preserve"> </w:t>
      </w:r>
      <w:r>
        <w:t xml:space="preserve">— no defensible relationship was identified;</w:t>
      </w:r>
    </w:p>
    <w:p>
      <w:pPr>
        <w:numPr>
          <w:ilvl w:val="0"/>
          <w:numId w:val="1004"/>
        </w:numPr>
        <w:pStyle w:val="Compact"/>
      </w:pPr>
      <w:r>
        <w:rPr>
          <w:bCs/>
          <w:b/>
        </w:rPr>
        <w:t xml:space="preserve">not applicable</w:t>
      </w:r>
      <w:r>
        <w:t xml:space="preserve"> </w:t>
      </w:r>
      <w:r>
        <w:t xml:space="preserve">— applicability was evaluated and excluded with rationale.</w:t>
      </w:r>
    </w:p>
    <w:p>
      <w:pPr>
        <w:pStyle w:val="FirstParagraph"/>
      </w:pPr>
      <w:r>
        <w:t xml:space="preserve">“</w:t>
      </w:r>
      <w:r>
        <w:t xml:space="preserve">Equivalent</w:t>
      </w:r>
      <w:r>
        <w:t xml:space="preserve">”</w:t>
      </w:r>
      <w:r>
        <w:t xml:space="preserve"> </w:t>
      </w:r>
      <w:r>
        <w:t xml:space="preserve">should be rare and must require documented comparison of scope, actor, action, object, condition, frequency, evidence, and outcome.</w:t>
      </w:r>
    </w:p>
    <w:bookmarkEnd w:id="25"/>
    <w:bookmarkStart w:id="26" w:name="X15293d20b18144f7fe6919115a6d19cacb7f891"/>
    <w:p>
      <w:pPr>
        <w:pStyle w:val="Heading2"/>
      </w:pPr>
      <w:r>
        <w:t xml:space="preserve">6. Record confidence separately from relationship type</w:t>
      </w:r>
    </w:p>
    <w:p>
      <w:pPr>
        <w:pStyle w:val="FirstParagraph"/>
      </w:pPr>
      <w:r>
        <w:t xml:space="preserve">Relationship strength and analyst confidence are different. A proposed partial overlap may have high confidence; a proposed equivalence may have low confidence.</w:t>
      </w:r>
    </w:p>
    <w:p>
      <w:pPr>
        <w:pStyle w:val="BodyText"/>
      </w:pPr>
      <w:r>
        <w:t xml:space="preserve">Use a controlled confidence scale such as:</w:t>
      </w:r>
    </w:p>
    <w:p>
      <w:pPr>
        <w:numPr>
          <w:ilvl w:val="0"/>
          <w:numId w:val="1005"/>
        </w:numPr>
        <w:pStyle w:val="Compact"/>
      </w:pPr>
      <w:r>
        <w:rPr>
          <w:bCs/>
          <w:b/>
        </w:rPr>
        <w:t xml:space="preserve">high</w:t>
      </w:r>
      <w:r>
        <w:t xml:space="preserve"> </w:t>
      </w:r>
      <w:r>
        <w:t xml:space="preserve">— authoritative sources and implementation facts support the conclusion, with independent review;</w:t>
      </w:r>
    </w:p>
    <w:p>
      <w:pPr>
        <w:numPr>
          <w:ilvl w:val="0"/>
          <w:numId w:val="1005"/>
        </w:numPr>
        <w:pStyle w:val="Compact"/>
      </w:pPr>
      <w:r>
        <w:rPr>
          <w:bCs/>
          <w:b/>
        </w:rPr>
        <w:t xml:space="preserve">medium</w:t>
      </w:r>
      <w:r>
        <w:t xml:space="preserve"> </w:t>
      </w:r>
      <w:r>
        <w:t xml:space="preserve">— the relationship is reasonable but contains interpretation or unresolved conditions;</w:t>
      </w:r>
    </w:p>
    <w:p>
      <w:pPr>
        <w:numPr>
          <w:ilvl w:val="0"/>
          <w:numId w:val="1005"/>
        </w:numPr>
        <w:pStyle w:val="Compact"/>
      </w:pPr>
      <w:r>
        <w:rPr>
          <w:bCs/>
          <w:b/>
        </w:rPr>
        <w:t xml:space="preserve">low</w:t>
      </w:r>
      <w:r>
        <w:t xml:space="preserve"> </w:t>
      </w:r>
      <w:r>
        <w:t xml:space="preserve">— the relationship is preliminary, indirect, or based on incomplete information.</w:t>
      </w:r>
    </w:p>
    <w:p>
      <w:pPr>
        <w:pStyle w:val="FirstParagraph"/>
      </w:pPr>
      <w:r>
        <w:t xml:space="preserve">Low-confidence mappings should not drive compliance claims or control-reuse decisions without further review.</w:t>
      </w:r>
    </w:p>
    <w:bookmarkEnd w:id="26"/>
    <w:bookmarkStart w:id="27" w:name="preserve-scope-and-applicability"/>
    <w:p>
      <w:pPr>
        <w:pStyle w:val="Heading2"/>
      </w:pPr>
      <w:r>
        <w:t xml:space="preserve">7. Preserve scope and applicability</w:t>
      </w:r>
    </w:p>
    <w:p>
      <w:pPr>
        <w:pStyle w:val="FirstParagraph"/>
      </w:pPr>
      <w:r>
        <w:t xml:space="preserve">A mapping record should identify relevant scope dimensions, including:</w:t>
      </w:r>
    </w:p>
    <w:p>
      <w:pPr>
        <w:numPr>
          <w:ilvl w:val="0"/>
          <w:numId w:val="1006"/>
        </w:numPr>
        <w:pStyle w:val="Compact"/>
      </w:pPr>
      <w:r>
        <w:t xml:space="preserve">legal entity and jurisdiction;</w:t>
      </w:r>
    </w:p>
    <w:p>
      <w:pPr>
        <w:numPr>
          <w:ilvl w:val="0"/>
          <w:numId w:val="1006"/>
        </w:numPr>
        <w:pStyle w:val="Compact"/>
      </w:pPr>
      <w:r>
        <w:t xml:space="preserve">business process and service;</w:t>
      </w:r>
    </w:p>
    <w:p>
      <w:pPr>
        <w:numPr>
          <w:ilvl w:val="0"/>
          <w:numId w:val="1006"/>
        </w:numPr>
        <w:pStyle w:val="Compact"/>
      </w:pPr>
      <w:r>
        <w:t xml:space="preserve">system, application, infrastructure, or facility;</w:t>
      </w:r>
    </w:p>
    <w:p>
      <w:pPr>
        <w:numPr>
          <w:ilvl w:val="0"/>
          <w:numId w:val="1006"/>
        </w:numPr>
        <w:pStyle w:val="Compact"/>
      </w:pPr>
      <w:r>
        <w:t xml:space="preserve">data type and sensitivity;</w:t>
      </w:r>
    </w:p>
    <w:p>
      <w:pPr>
        <w:numPr>
          <w:ilvl w:val="0"/>
          <w:numId w:val="1006"/>
        </w:numPr>
        <w:pStyle w:val="Compact"/>
      </w:pPr>
      <w:r>
        <w:t xml:space="preserve">workforce, supplier, or customer population;</w:t>
      </w:r>
    </w:p>
    <w:p>
      <w:pPr>
        <w:numPr>
          <w:ilvl w:val="0"/>
          <w:numId w:val="1006"/>
        </w:numPr>
        <w:pStyle w:val="Compact"/>
      </w:pPr>
      <w:r>
        <w:t xml:space="preserve">technology model, including cloud responsibility boundaries;</w:t>
      </w:r>
    </w:p>
    <w:p>
      <w:pPr>
        <w:numPr>
          <w:ilvl w:val="0"/>
          <w:numId w:val="1006"/>
        </w:numPr>
        <w:pStyle w:val="Compact"/>
      </w:pPr>
      <w:r>
        <w:t xml:space="preserve">assessment period;</w:t>
      </w:r>
    </w:p>
    <w:p>
      <w:pPr>
        <w:numPr>
          <w:ilvl w:val="0"/>
          <w:numId w:val="1006"/>
        </w:numPr>
        <w:pStyle w:val="Compact"/>
      </w:pPr>
      <w:r>
        <w:t xml:space="preserve">implementation group, profile, baseline, or assurance level;</w:t>
      </w:r>
    </w:p>
    <w:p>
      <w:pPr>
        <w:numPr>
          <w:ilvl w:val="0"/>
          <w:numId w:val="1006"/>
        </w:numPr>
        <w:pStyle w:val="Compact"/>
      </w:pPr>
      <w:r>
        <w:t xml:space="preserve">contractual and regulatory triggers.</w:t>
      </w:r>
    </w:p>
    <w:p>
      <w:pPr>
        <w:pStyle w:val="FirstParagraph"/>
      </w:pPr>
      <w:r>
        <w:t xml:space="preserve">A relationship may be valid in one scope and invalid in another.</w:t>
      </w:r>
    </w:p>
    <w:bookmarkEnd w:id="27"/>
    <w:bookmarkStart w:id="28" w:name="approval-criteria"/>
    <w:p>
      <w:pPr>
        <w:pStyle w:val="Heading2"/>
      </w:pPr>
      <w:r>
        <w:t xml:space="preserve">8. Approval criteria</w:t>
      </w:r>
    </w:p>
    <w:p>
      <w:pPr>
        <w:pStyle w:val="FirstParagraph"/>
      </w:pPr>
      <w:r>
        <w:t xml:space="preserve">A mapping should not be approved unless:</w:t>
      </w:r>
    </w:p>
    <w:p>
      <w:pPr>
        <w:numPr>
          <w:ilvl w:val="0"/>
          <w:numId w:val="1007"/>
        </w:numPr>
        <w:pStyle w:val="Compact"/>
      </w:pPr>
      <w:r>
        <w:t xml:space="preserve">both sources and versions are identified;</w:t>
      </w:r>
    </w:p>
    <w:p>
      <w:pPr>
        <w:numPr>
          <w:ilvl w:val="0"/>
          <w:numId w:val="1007"/>
        </w:numPr>
        <w:pStyle w:val="Compact"/>
      </w:pPr>
      <w:r>
        <w:t xml:space="preserve">source licensing and reproduction constraints are respected;</w:t>
      </w:r>
    </w:p>
    <w:p>
      <w:pPr>
        <w:numPr>
          <w:ilvl w:val="0"/>
          <w:numId w:val="1007"/>
        </w:numPr>
        <w:pStyle w:val="Compact"/>
      </w:pPr>
      <w:r>
        <w:t xml:space="preserve">requirements are decomposed to a comparable level;</w:t>
      </w:r>
    </w:p>
    <w:p>
      <w:pPr>
        <w:numPr>
          <w:ilvl w:val="0"/>
          <w:numId w:val="1007"/>
        </w:numPr>
        <w:pStyle w:val="Compact"/>
      </w:pPr>
      <w:r>
        <w:t xml:space="preserve">scope and applicability are recorded;</w:t>
      </w:r>
    </w:p>
    <w:p>
      <w:pPr>
        <w:numPr>
          <w:ilvl w:val="0"/>
          <w:numId w:val="1007"/>
        </w:numPr>
        <w:pStyle w:val="Compact"/>
      </w:pPr>
      <w:r>
        <w:t xml:space="preserve">relationship type and confidence are explicit;</w:t>
      </w:r>
    </w:p>
    <w:p>
      <w:pPr>
        <w:numPr>
          <w:ilvl w:val="0"/>
          <w:numId w:val="1007"/>
        </w:numPr>
        <w:pStyle w:val="Compact"/>
      </w:pPr>
      <w:r>
        <w:t xml:space="preserve">rationale identifies both coverage and limitations;</w:t>
      </w:r>
    </w:p>
    <w:p>
      <w:pPr>
        <w:numPr>
          <w:ilvl w:val="0"/>
          <w:numId w:val="1007"/>
        </w:numPr>
        <w:pStyle w:val="Compact"/>
      </w:pPr>
      <w:r>
        <w:t xml:space="preserve">implementation and evidence links are distinguished from source relationships;</w:t>
      </w:r>
    </w:p>
    <w:p>
      <w:pPr>
        <w:numPr>
          <w:ilvl w:val="0"/>
          <w:numId w:val="1007"/>
        </w:numPr>
        <w:pStyle w:val="Compact"/>
      </w:pPr>
      <w:r>
        <w:t xml:space="preserve">conflicts and gaps are visible;</w:t>
      </w:r>
    </w:p>
    <w:p>
      <w:pPr>
        <w:numPr>
          <w:ilvl w:val="0"/>
          <w:numId w:val="1007"/>
        </w:numPr>
        <w:pStyle w:val="Compact"/>
      </w:pPr>
      <w:r>
        <w:t xml:space="preserve">an independent reviewer has recorded a decision;</w:t>
      </w:r>
    </w:p>
    <w:p>
      <w:pPr>
        <w:numPr>
          <w:ilvl w:val="0"/>
          <w:numId w:val="1007"/>
        </w:numPr>
        <w:pStyle w:val="Compact"/>
      </w:pPr>
      <w:r>
        <w:t xml:space="preserve">a review trigger and expiration date are assigned.</w:t>
      </w:r>
    </w:p>
    <w:bookmarkEnd w:id="28"/>
    <w:bookmarkStart w:id="29" w:name="prohibited-claims"/>
    <w:p>
      <w:pPr>
        <w:pStyle w:val="Heading2"/>
      </w:pPr>
      <w:r>
        <w:t xml:space="preserve">9. Prohibited claims</w:t>
      </w:r>
    </w:p>
    <w:p>
      <w:pPr>
        <w:pStyle w:val="FirstParagraph"/>
      </w:pPr>
      <w:r>
        <w:t xml:space="preserve">Do not state that:</w:t>
      </w:r>
    </w:p>
    <w:p>
      <w:pPr>
        <w:numPr>
          <w:ilvl w:val="0"/>
          <w:numId w:val="1008"/>
        </w:numPr>
        <w:pStyle w:val="Compact"/>
      </w:pPr>
      <w:r>
        <w:t xml:space="preserve">implementation of one framework automatically establishes compliance with another;</w:t>
      </w:r>
    </w:p>
    <w:p>
      <w:pPr>
        <w:numPr>
          <w:ilvl w:val="0"/>
          <w:numId w:val="1008"/>
        </w:numPr>
        <w:pStyle w:val="Compact"/>
      </w:pPr>
      <w:r>
        <w:t xml:space="preserve">a mapping proves design or operating effectiveness;</w:t>
      </w:r>
    </w:p>
    <w:p>
      <w:pPr>
        <w:numPr>
          <w:ilvl w:val="0"/>
          <w:numId w:val="1008"/>
        </w:numPr>
        <w:pStyle w:val="Compact"/>
      </w:pPr>
      <w:r>
        <w:t xml:space="preserve">a crosswalk is a legal opinion or certification;</w:t>
      </w:r>
    </w:p>
    <w:p>
      <w:pPr>
        <w:numPr>
          <w:ilvl w:val="0"/>
          <w:numId w:val="1008"/>
        </w:numPr>
        <w:pStyle w:val="Compact"/>
      </w:pPr>
      <w:r>
        <w:t xml:space="preserve">a high-level category relationship satisfies detailed requirements;</w:t>
      </w:r>
    </w:p>
    <w:p>
      <w:pPr>
        <w:numPr>
          <w:ilvl w:val="0"/>
          <w:numId w:val="1008"/>
        </w:numPr>
        <w:pStyle w:val="Compact"/>
      </w:pPr>
      <w:r>
        <w:t xml:space="preserve">identical terminology means identical obligation;</w:t>
      </w:r>
    </w:p>
    <w:p>
      <w:pPr>
        <w:numPr>
          <w:ilvl w:val="0"/>
          <w:numId w:val="1008"/>
        </w:numPr>
        <w:pStyle w:val="Compact"/>
      </w:pPr>
      <w:r>
        <w:t xml:space="preserve">a vendor-provided mapping removes the organization’s duty to validate scope and implementation.</w:t>
      </w:r>
    </w:p>
    <w:bookmarkEnd w:id="29"/>
    <w:bookmarkStart w:id="30" w:name="minimum-governance-evidence"/>
    <w:p>
      <w:pPr>
        <w:pStyle w:val="Heading2"/>
      </w:pPr>
      <w:r>
        <w:t xml:space="preserve">10. Minimum governance evidence</w:t>
      </w:r>
    </w:p>
    <w:p>
      <w:pPr>
        <w:pStyle w:val="FirstParagraph"/>
      </w:pPr>
      <w:r>
        <w:t xml:space="preserve">Retain:</w:t>
      </w:r>
    </w:p>
    <w:p>
      <w:pPr>
        <w:numPr>
          <w:ilvl w:val="0"/>
          <w:numId w:val="1009"/>
        </w:numPr>
        <w:pStyle w:val="Compact"/>
      </w:pPr>
      <w:r>
        <w:t xml:space="preserve">approved methodology and relationship definitions;</w:t>
      </w:r>
    </w:p>
    <w:p>
      <w:pPr>
        <w:numPr>
          <w:ilvl w:val="0"/>
          <w:numId w:val="1009"/>
        </w:numPr>
        <w:pStyle w:val="Compact"/>
      </w:pPr>
      <w:r>
        <w:t xml:space="preserve">source register and version history;</w:t>
      </w:r>
    </w:p>
    <w:p>
      <w:pPr>
        <w:numPr>
          <w:ilvl w:val="0"/>
          <w:numId w:val="1009"/>
        </w:numPr>
        <w:pStyle w:val="Compact"/>
      </w:pPr>
      <w:r>
        <w:t xml:space="preserve">mapping records and rationale;</w:t>
      </w:r>
    </w:p>
    <w:p>
      <w:pPr>
        <w:numPr>
          <w:ilvl w:val="0"/>
          <w:numId w:val="1009"/>
        </w:numPr>
        <w:pStyle w:val="Compact"/>
      </w:pPr>
      <w:r>
        <w:t xml:space="preserve">reviewer comments and approval decisions;</w:t>
      </w:r>
    </w:p>
    <w:p>
      <w:pPr>
        <w:numPr>
          <w:ilvl w:val="0"/>
          <w:numId w:val="1009"/>
        </w:numPr>
        <w:pStyle w:val="Compact"/>
      </w:pPr>
      <w:r>
        <w:t xml:space="preserve">conflicts, exceptions, and unresolved gaps;</w:t>
      </w:r>
    </w:p>
    <w:p>
      <w:pPr>
        <w:numPr>
          <w:ilvl w:val="0"/>
          <w:numId w:val="1009"/>
        </w:numPr>
        <w:pStyle w:val="Compact"/>
      </w:pPr>
      <w:r>
        <w:t xml:space="preserve">change logs and retired mappings;</w:t>
      </w:r>
    </w:p>
    <w:p>
      <w:pPr>
        <w:numPr>
          <w:ilvl w:val="0"/>
          <w:numId w:val="1009"/>
        </w:numPr>
        <w:pStyle w:val="Compact"/>
      </w:pPr>
      <w:r>
        <w:t xml:space="preserve">evidence of periodic and event-driven review.</w:t>
      </w:r>
    </w:p>
    <w:bookmarkEnd w:id="30"/>
    <w:bookmarkEnd w:id="31"/>
    <w:bookmarkStart w:id="41" w:name="Xdf6745483de4b8c519d8a3dde051f4215094b0b"/>
    <w:p>
      <w:pPr>
        <w:pStyle w:val="Heading1"/>
      </w:pPr>
      <w:r>
        <w:t xml:space="preserve">Requirement Decomposition and Normalization</w:t>
      </w:r>
    </w:p>
    <w:bookmarkStart w:id="32" w:name="map-comparable-units"/>
    <w:p>
      <w:pPr>
        <w:pStyle w:val="Heading2"/>
      </w:pPr>
      <w:r>
        <w:t xml:space="preserve">1. Map comparable units</w:t>
      </w:r>
    </w:p>
    <w:p>
      <w:pPr>
        <w:pStyle w:val="FirstParagraph"/>
      </w:pPr>
      <w:r>
        <w:t xml:space="preserve">Mappings fail when analysts compare units at different levels. A broad framework outcome cannot be treated as equivalent to a detailed technical requirement merely because both concern the same topic. Before mapping, decompose each source into comparable analytical units.</w:t>
      </w:r>
    </w:p>
    <w:p>
      <w:pPr>
        <w:pStyle w:val="BodyText"/>
      </w:pPr>
      <w:r>
        <w:t xml:space="preserve">A useful requirement model separates:</w:t>
      </w:r>
    </w:p>
    <w:p>
      <w:pPr>
        <w:numPr>
          <w:ilvl w:val="0"/>
          <w:numId w:val="1010"/>
        </w:numPr>
        <w:pStyle w:val="Compact"/>
      </w:pPr>
      <w:r>
        <w:rPr>
          <w:bCs/>
          <w:b/>
        </w:rPr>
        <w:t xml:space="preserve">actor</w:t>
      </w:r>
      <w:r>
        <w:t xml:space="preserve"> </w:t>
      </w:r>
      <w:r>
        <w:t xml:space="preserve">— who must act or remain accountable;</w:t>
      </w:r>
    </w:p>
    <w:p>
      <w:pPr>
        <w:numPr>
          <w:ilvl w:val="0"/>
          <w:numId w:val="1010"/>
        </w:numPr>
        <w:pStyle w:val="Compact"/>
      </w:pPr>
      <w:r>
        <w:rPr>
          <w:bCs/>
          <w:b/>
        </w:rPr>
        <w:t xml:space="preserve">action</w:t>
      </w:r>
      <w:r>
        <w:t xml:space="preserve"> </w:t>
      </w:r>
      <w:r>
        <w:t xml:space="preserve">— what must be established, performed, prohibited, reviewed, or demonstrated;</w:t>
      </w:r>
    </w:p>
    <w:p>
      <w:pPr>
        <w:numPr>
          <w:ilvl w:val="0"/>
          <w:numId w:val="1010"/>
        </w:numPr>
        <w:pStyle w:val="Compact"/>
      </w:pPr>
      <w:r>
        <w:rPr>
          <w:bCs/>
          <w:b/>
        </w:rPr>
        <w:t xml:space="preserve">object</w:t>
      </w:r>
      <w:r>
        <w:t xml:space="preserve"> </w:t>
      </w:r>
      <w:r>
        <w:t xml:space="preserve">— the system, information, process, person, supplier, facility, or record affected;</w:t>
      </w:r>
    </w:p>
    <w:p>
      <w:pPr>
        <w:numPr>
          <w:ilvl w:val="0"/>
          <w:numId w:val="1010"/>
        </w:numPr>
        <w:pStyle w:val="Compact"/>
      </w:pPr>
      <w:r>
        <w:rPr>
          <w:bCs/>
          <w:b/>
        </w:rPr>
        <w:t xml:space="preserve">condition</w:t>
      </w:r>
      <w:r>
        <w:t xml:space="preserve"> </w:t>
      </w:r>
      <w:r>
        <w:t xml:space="preserve">— when, where, or under what trigger the requirement applies;</w:t>
      </w:r>
    </w:p>
    <w:p>
      <w:pPr>
        <w:numPr>
          <w:ilvl w:val="0"/>
          <w:numId w:val="1010"/>
        </w:numPr>
        <w:pStyle w:val="Compact"/>
      </w:pPr>
      <w:r>
        <w:rPr>
          <w:bCs/>
          <w:b/>
        </w:rPr>
        <w:t xml:space="preserve">frequency or timing</w:t>
      </w:r>
      <w:r>
        <w:t xml:space="preserve"> </w:t>
      </w:r>
      <w:r>
        <w:t xml:space="preserve">— how often or within what period action is expected;</w:t>
      </w:r>
    </w:p>
    <w:p>
      <w:pPr>
        <w:numPr>
          <w:ilvl w:val="0"/>
          <w:numId w:val="1010"/>
        </w:numPr>
        <w:pStyle w:val="Compact"/>
      </w:pPr>
      <w:r>
        <w:rPr>
          <w:bCs/>
          <w:b/>
        </w:rPr>
        <w:t xml:space="preserve">quality threshold</w:t>
      </w:r>
      <w:r>
        <w:t xml:space="preserve"> </w:t>
      </w:r>
      <w:r>
        <w:t xml:space="preserve">— required rigor, completeness, independence, or performance;</w:t>
      </w:r>
    </w:p>
    <w:p>
      <w:pPr>
        <w:numPr>
          <w:ilvl w:val="0"/>
          <w:numId w:val="1010"/>
        </w:numPr>
        <w:pStyle w:val="Compact"/>
      </w:pPr>
      <w:r>
        <w:rPr>
          <w:bCs/>
          <w:b/>
        </w:rPr>
        <w:t xml:space="preserve">evidence expectation</w:t>
      </w:r>
      <w:r>
        <w:t xml:space="preserve"> </w:t>
      </w:r>
      <w:r>
        <w:t xml:space="preserve">— what records could demonstrate implementation or operation;</w:t>
      </w:r>
    </w:p>
    <w:p>
      <w:pPr>
        <w:numPr>
          <w:ilvl w:val="0"/>
          <w:numId w:val="1010"/>
        </w:numPr>
        <w:pStyle w:val="Compact"/>
      </w:pPr>
      <w:r>
        <w:rPr>
          <w:bCs/>
          <w:b/>
        </w:rPr>
        <w:t xml:space="preserve">outcome</w:t>
      </w:r>
      <w:r>
        <w:t xml:space="preserve"> </w:t>
      </w:r>
      <w:r>
        <w:t xml:space="preserve">— the intended protection, governance result, or assurance objective;</w:t>
      </w:r>
    </w:p>
    <w:p>
      <w:pPr>
        <w:numPr>
          <w:ilvl w:val="0"/>
          <w:numId w:val="1010"/>
        </w:numPr>
        <w:pStyle w:val="Compact"/>
      </w:pPr>
      <w:r>
        <w:rPr>
          <w:bCs/>
          <w:b/>
        </w:rPr>
        <w:t xml:space="preserve">exceptions</w:t>
      </w:r>
      <w:r>
        <w:t xml:space="preserve"> </w:t>
      </w:r>
      <w:r>
        <w:t xml:space="preserve">— explicit alternatives, compensating mechanisms, or applicability limits.</w:t>
      </w:r>
    </w:p>
    <w:bookmarkEnd w:id="32"/>
    <w:bookmarkStart w:id="33" w:name="preserve-source-identity"/>
    <w:p>
      <w:pPr>
        <w:pStyle w:val="Heading2"/>
      </w:pPr>
      <w:r>
        <w:t xml:space="preserve">2. Preserve source identity</w:t>
      </w:r>
    </w:p>
    <w:p>
      <w:pPr>
        <w:pStyle w:val="FirstParagraph"/>
      </w:pPr>
      <w:r>
        <w:t xml:space="preserve">Every decomposed unit must retain its parent source identifier and version. Do not assign a new identifier that obscures the authoritative reference. If an organization creates sub-elements for analysis, use a transparent suffix such as</w:t>
      </w:r>
      <w:r>
        <w:t xml:space="preserve"> </w:t>
      </w:r>
      <w:r>
        <w:rPr>
          <w:rStyle w:val="VerbatimChar"/>
        </w:rPr>
        <w:t xml:space="preserve">ORG-SEG-01</w:t>
      </w:r>
      <w:r>
        <w:t xml:space="preserve"> </w:t>
      </w:r>
      <w:r>
        <w:t xml:space="preserve">and record that it is an analytical segment, not an official source identifier.</w:t>
      </w:r>
    </w:p>
    <w:bookmarkEnd w:id="33"/>
    <w:bookmarkStart w:id="34" w:name="distinguish-requirement-types"/>
    <w:p>
      <w:pPr>
        <w:pStyle w:val="Heading2"/>
      </w:pPr>
      <w:r>
        <w:t xml:space="preserve">3. Distinguish requirement types</w:t>
      </w:r>
    </w:p>
    <w:p>
      <w:pPr>
        <w:pStyle w:val="FirstParagraph"/>
      </w:pPr>
      <w:r>
        <w:t xml:space="preserve">Classify the source unit before normalizing it. Common types include:</w:t>
      </w:r>
    </w:p>
    <w:p>
      <w:pPr>
        <w:numPr>
          <w:ilvl w:val="0"/>
          <w:numId w:val="1011"/>
        </w:numPr>
        <w:pStyle w:val="Compact"/>
      </w:pPr>
      <w:r>
        <w:t xml:space="preserve">governance obligation;</w:t>
      </w:r>
    </w:p>
    <w:p>
      <w:pPr>
        <w:numPr>
          <w:ilvl w:val="0"/>
          <w:numId w:val="1011"/>
        </w:numPr>
        <w:pStyle w:val="Compact"/>
      </w:pPr>
      <w:r>
        <w:t xml:space="preserve">policy or procedure requirement;</w:t>
      </w:r>
    </w:p>
    <w:p>
      <w:pPr>
        <w:numPr>
          <w:ilvl w:val="0"/>
          <w:numId w:val="1011"/>
        </w:numPr>
        <w:pStyle w:val="Compact"/>
      </w:pPr>
      <w:r>
        <w:t xml:space="preserve">risk-management activity;</w:t>
      </w:r>
    </w:p>
    <w:p>
      <w:pPr>
        <w:numPr>
          <w:ilvl w:val="0"/>
          <w:numId w:val="1011"/>
        </w:numPr>
        <w:pStyle w:val="Compact"/>
      </w:pPr>
      <w:r>
        <w:t xml:space="preserve">technical safeguard;</w:t>
      </w:r>
    </w:p>
    <w:p>
      <w:pPr>
        <w:numPr>
          <w:ilvl w:val="0"/>
          <w:numId w:val="1011"/>
        </w:numPr>
        <w:pStyle w:val="Compact"/>
      </w:pPr>
      <w:r>
        <w:t xml:space="preserve">physical safeguard;</w:t>
      </w:r>
    </w:p>
    <w:p>
      <w:pPr>
        <w:numPr>
          <w:ilvl w:val="0"/>
          <w:numId w:val="1011"/>
        </w:numPr>
        <w:pStyle w:val="Compact"/>
      </w:pPr>
      <w:r>
        <w:t xml:space="preserve">workforce or training requirement;</w:t>
      </w:r>
    </w:p>
    <w:p>
      <w:pPr>
        <w:numPr>
          <w:ilvl w:val="0"/>
          <w:numId w:val="1011"/>
        </w:numPr>
        <w:pStyle w:val="Compact"/>
      </w:pPr>
      <w:r>
        <w:t xml:space="preserve">supplier requirement;</w:t>
      </w:r>
    </w:p>
    <w:p>
      <w:pPr>
        <w:numPr>
          <w:ilvl w:val="0"/>
          <w:numId w:val="1011"/>
        </w:numPr>
        <w:pStyle w:val="Compact"/>
      </w:pPr>
      <w:r>
        <w:t xml:space="preserve">monitoring or detection requirement;</w:t>
      </w:r>
    </w:p>
    <w:p>
      <w:pPr>
        <w:numPr>
          <w:ilvl w:val="0"/>
          <w:numId w:val="1011"/>
        </w:numPr>
        <w:pStyle w:val="Compact"/>
      </w:pPr>
      <w:r>
        <w:t xml:space="preserve">response or recovery requirement;</w:t>
      </w:r>
    </w:p>
    <w:p>
      <w:pPr>
        <w:numPr>
          <w:ilvl w:val="0"/>
          <w:numId w:val="1011"/>
        </w:numPr>
        <w:pStyle w:val="Compact"/>
      </w:pPr>
      <w:r>
        <w:t xml:space="preserve">privacy principle or individual right;</w:t>
      </w:r>
    </w:p>
    <w:p>
      <w:pPr>
        <w:numPr>
          <w:ilvl w:val="0"/>
          <w:numId w:val="1011"/>
        </w:numPr>
        <w:pStyle w:val="Compact"/>
      </w:pPr>
      <w:r>
        <w:t xml:space="preserve">documentation or retention requirement;</w:t>
      </w:r>
    </w:p>
    <w:p>
      <w:pPr>
        <w:numPr>
          <w:ilvl w:val="0"/>
          <w:numId w:val="1011"/>
        </w:numPr>
        <w:pStyle w:val="Compact"/>
      </w:pPr>
      <w:r>
        <w:t xml:space="preserve">assessment, testing, or assurance requirement;</w:t>
      </w:r>
    </w:p>
    <w:p>
      <w:pPr>
        <w:numPr>
          <w:ilvl w:val="0"/>
          <w:numId w:val="1011"/>
        </w:numPr>
        <w:pStyle w:val="Compact"/>
      </w:pPr>
      <w:r>
        <w:t xml:space="preserve">reporting or notification requirement.</w:t>
      </w:r>
    </w:p>
    <w:p>
      <w:pPr>
        <w:pStyle w:val="FirstParagraph"/>
      </w:pPr>
      <w:r>
        <w:t xml:space="preserve">Requirements of different types may support one another without being equivalent.</w:t>
      </w:r>
    </w:p>
    <w:bookmarkEnd w:id="34"/>
    <w:bookmarkStart w:id="35" w:name="write-a-normalized-control-objective"/>
    <w:p>
      <w:pPr>
        <w:pStyle w:val="Heading2"/>
      </w:pPr>
      <w:r>
        <w:t xml:space="preserve">4. Write a normalized control objective</w:t>
      </w:r>
    </w:p>
    <w:p>
      <w:pPr>
        <w:pStyle w:val="FirstParagraph"/>
      </w:pPr>
      <w:r>
        <w:t xml:space="preserve">A normalized objective should be concise, technology-neutral where appropriate, and faithful to the source. Use this structure:</w:t>
      </w:r>
    </w:p>
    <w:p>
      <w:pPr>
        <w:pStyle w:val="BlockText"/>
      </w:pPr>
      <w:r>
        <w:t xml:space="preserve">The organization [action] [object] [condition or scope] to achieve [outcome], with [timing, quality, or evidence condition].</w:t>
      </w:r>
    </w:p>
    <w:p>
      <w:pPr>
        <w:pStyle w:val="FirstParagraph"/>
      </w:pPr>
      <w:r>
        <w:t xml:space="preserve">The normalized objective is an analytical aid. It must not replace or paraphrase away legally meaningful qualifiers.</w:t>
      </w:r>
    </w:p>
    <w:bookmarkEnd w:id="35"/>
    <w:bookmarkStart w:id="36" w:name="retain-mandatory-qualifiers"/>
    <w:p>
      <w:pPr>
        <w:pStyle w:val="Heading2"/>
      </w:pPr>
      <w:r>
        <w:t xml:space="preserve">5. Retain mandatory qualifiers</w:t>
      </w:r>
    </w:p>
    <w:p>
      <w:pPr>
        <w:pStyle w:val="FirstParagraph"/>
      </w:pPr>
      <w:r>
        <w:t xml:space="preserve">Words such as</w:t>
      </w:r>
      <w:r>
        <w:t xml:space="preserve"> </w:t>
      </w:r>
      <w:r>
        <w:t xml:space="preserve">“</w:t>
      </w:r>
      <w:r>
        <w:t xml:space="preserve">shall,</w:t>
      </w:r>
      <w:r>
        <w:t xml:space="preserve">”</w:t>
      </w:r>
      <w:r>
        <w:t xml:space="preserve"> </w:t>
      </w:r>
      <w:r>
        <w:t xml:space="preserve">“</w:t>
      </w:r>
      <w:r>
        <w:t xml:space="preserve">must,</w:t>
      </w:r>
      <w:r>
        <w:t xml:space="preserve">”</w:t>
      </w:r>
      <w:r>
        <w:t xml:space="preserve"> </w:t>
      </w:r>
      <w:r>
        <w:t xml:space="preserve">“</w:t>
      </w:r>
      <w:r>
        <w:t xml:space="preserve">at least annually,</w:t>
      </w:r>
      <w:r>
        <w:t xml:space="preserve">”</w:t>
      </w:r>
      <w:r>
        <w:t xml:space="preserve"> </w:t>
      </w:r>
      <w:r>
        <w:t xml:space="preserve">“</w:t>
      </w:r>
      <w:r>
        <w:t xml:space="preserve">without undue delay,</w:t>
      </w:r>
      <w:r>
        <w:t xml:space="preserve">”</w:t>
      </w:r>
      <w:r>
        <w:t xml:space="preserve"> </w:t>
      </w:r>
      <w:r>
        <w:t xml:space="preserve">“</w:t>
      </w:r>
      <w:r>
        <w:t xml:space="preserve">reasonable,</w:t>
      </w:r>
      <w:r>
        <w:t xml:space="preserve">”</w:t>
      </w:r>
      <w:r>
        <w:t xml:space="preserve"> </w:t>
      </w:r>
      <w:r>
        <w:t xml:space="preserve">“</w:t>
      </w:r>
      <w:r>
        <w:t xml:space="preserve">appropriate,</w:t>
      </w:r>
      <w:r>
        <w:t xml:space="preserve">”</w:t>
      </w:r>
      <w:r>
        <w:t xml:space="preserve"> </w:t>
      </w:r>
      <w:r>
        <w:t xml:space="preserve">“</w:t>
      </w:r>
      <w:r>
        <w:t xml:space="preserve">independent,</w:t>
      </w:r>
      <w:r>
        <w:t xml:space="preserve">”</w:t>
      </w:r>
      <w:r>
        <w:t xml:space="preserve"> </w:t>
      </w:r>
      <w:r>
        <w:t xml:space="preserve">and</w:t>
      </w:r>
      <w:r>
        <w:t xml:space="preserve"> </w:t>
      </w:r>
      <w:r>
        <w:t xml:space="preserve">“</w:t>
      </w:r>
      <w:r>
        <w:t xml:space="preserve">documented</w:t>
      </w:r>
      <w:r>
        <w:t xml:space="preserve">”</w:t>
      </w:r>
      <w:r>
        <w:t xml:space="preserve"> </w:t>
      </w:r>
      <w:r>
        <w:t xml:space="preserve">can materially alter the obligation. Record these qualifiers in dedicated fields or in the interpretation notes. Do not normalize them out merely to make two items appear similar.</w:t>
      </w:r>
    </w:p>
    <w:bookmarkEnd w:id="36"/>
    <w:bookmarkStart w:id="37" w:name="Xbb01a6c27dcfb4550f8fec08911edc13837c3b3"/>
    <w:p>
      <w:pPr>
        <w:pStyle w:val="Heading2"/>
      </w:pPr>
      <w:r>
        <w:t xml:space="preserve">6. Handle outcome-based and prescriptive sources</w:t>
      </w:r>
    </w:p>
    <w:p>
      <w:pPr>
        <w:pStyle w:val="FirstParagraph"/>
      </w:pPr>
      <w:r>
        <w:t xml:space="preserve">Outcome-based frameworks describe desired results and may allow multiple implementations. Prescriptive sources may specify methods, frequencies, technologies, or records. A prescriptive requirement may be one implementation path toward an outcome, but the outcome does not necessarily satisfy the prescriptive detail.</w:t>
      </w:r>
    </w:p>
    <w:p>
      <w:pPr>
        <w:pStyle w:val="BodyText"/>
      </w:pPr>
      <w:r>
        <w:t xml:space="preserve">Record the relationship as</w:t>
      </w:r>
      <w:r>
        <w:t xml:space="preserve"> </w:t>
      </w:r>
      <w:r>
        <w:t xml:space="preserve">“</w:t>
      </w:r>
      <w:r>
        <w:t xml:space="preserve">supports,</w:t>
      </w:r>
      <w:r>
        <w:t xml:space="preserve">”</w:t>
      </w:r>
      <w:r>
        <w:t xml:space="preserve"> </w:t>
      </w:r>
      <w:r>
        <w:t xml:space="preserve">“</w:t>
      </w:r>
      <w:r>
        <w:t xml:space="preserve">partial overlap,</w:t>
      </w:r>
      <w:r>
        <w:t xml:space="preserve">”</w:t>
      </w:r>
      <w:r>
        <w:t xml:space="preserve"> </w:t>
      </w:r>
      <w:r>
        <w:t xml:space="preserve">or another qualified type unless all relevant conditions align.</w:t>
      </w:r>
    </w:p>
    <w:bookmarkEnd w:id="37"/>
    <w:bookmarkStart w:id="38" w:name="manage-source-granularity"/>
    <w:p>
      <w:pPr>
        <w:pStyle w:val="Heading2"/>
      </w:pPr>
      <w:r>
        <w:t xml:space="preserve">7. Manage source granularity</w:t>
      </w:r>
    </w:p>
    <w:p>
      <w:pPr>
        <w:pStyle w:val="FirstParagraph"/>
      </w:pPr>
      <w:r>
        <w:t xml:space="preserve">Use a granularity label:</w:t>
      </w:r>
    </w:p>
    <w:p>
      <w:pPr>
        <w:numPr>
          <w:ilvl w:val="0"/>
          <w:numId w:val="1012"/>
        </w:numPr>
        <w:pStyle w:val="Compact"/>
      </w:pPr>
      <w:r>
        <w:t xml:space="preserve">framework function or domain;</w:t>
      </w:r>
    </w:p>
    <w:p>
      <w:pPr>
        <w:numPr>
          <w:ilvl w:val="0"/>
          <w:numId w:val="1012"/>
        </w:numPr>
        <w:pStyle w:val="Compact"/>
      </w:pPr>
      <w:r>
        <w:t xml:space="preserve">category or objective;</w:t>
      </w:r>
    </w:p>
    <w:p>
      <w:pPr>
        <w:numPr>
          <w:ilvl w:val="0"/>
          <w:numId w:val="1012"/>
        </w:numPr>
        <w:pStyle w:val="Compact"/>
      </w:pPr>
      <w:r>
        <w:t xml:space="preserve">control family;</w:t>
      </w:r>
    </w:p>
    <w:p>
      <w:pPr>
        <w:numPr>
          <w:ilvl w:val="0"/>
          <w:numId w:val="1012"/>
        </w:numPr>
        <w:pStyle w:val="Compact"/>
      </w:pPr>
      <w:r>
        <w:t xml:space="preserve">control or requirement;</w:t>
      </w:r>
    </w:p>
    <w:p>
      <w:pPr>
        <w:numPr>
          <w:ilvl w:val="0"/>
          <w:numId w:val="1012"/>
        </w:numPr>
        <w:pStyle w:val="Compact"/>
      </w:pPr>
      <w:r>
        <w:t xml:space="preserve">control enhancement or subrequirement;</w:t>
      </w:r>
    </w:p>
    <w:p>
      <w:pPr>
        <w:numPr>
          <w:ilvl w:val="0"/>
          <w:numId w:val="1012"/>
        </w:numPr>
        <w:pStyle w:val="Compact"/>
      </w:pPr>
      <w:r>
        <w:t xml:space="preserve">implementation statement;</w:t>
      </w:r>
    </w:p>
    <w:p>
      <w:pPr>
        <w:numPr>
          <w:ilvl w:val="0"/>
          <w:numId w:val="1012"/>
        </w:numPr>
        <w:pStyle w:val="Compact"/>
      </w:pPr>
      <w:r>
        <w:t xml:space="preserve">assessment procedure;</w:t>
      </w:r>
    </w:p>
    <w:p>
      <w:pPr>
        <w:numPr>
          <w:ilvl w:val="0"/>
          <w:numId w:val="1012"/>
        </w:numPr>
        <w:pStyle w:val="Compact"/>
      </w:pPr>
      <w:r>
        <w:t xml:space="preserve">evidence attribute.</w:t>
      </w:r>
    </w:p>
    <w:p>
      <w:pPr>
        <w:pStyle w:val="FirstParagraph"/>
      </w:pPr>
      <w:r>
        <w:t xml:space="preserve">Mapping records should normally compare the same or adjacent granularity levels. High-level mappings may be retained for navigation, but they must not be used as detailed compliance assertions.</w:t>
      </w:r>
    </w:p>
    <w:bookmarkEnd w:id="38"/>
    <w:bookmarkStart w:id="39" w:name="identify-hidden-scope-differences"/>
    <w:p>
      <w:pPr>
        <w:pStyle w:val="Heading2"/>
      </w:pPr>
      <w:r>
        <w:t xml:space="preserve">8. Identify hidden scope differences</w:t>
      </w:r>
    </w:p>
    <w:p>
      <w:pPr>
        <w:pStyle w:val="FirstParagraph"/>
      </w:pPr>
      <w:r>
        <w:t xml:space="preserve">Two requirements may look similar while differing in:</w:t>
      </w:r>
    </w:p>
    <w:p>
      <w:pPr>
        <w:numPr>
          <w:ilvl w:val="0"/>
          <w:numId w:val="1013"/>
        </w:numPr>
        <w:pStyle w:val="Compact"/>
      </w:pPr>
      <w:r>
        <w:t xml:space="preserve">protected data type;</w:t>
      </w:r>
    </w:p>
    <w:p>
      <w:pPr>
        <w:numPr>
          <w:ilvl w:val="0"/>
          <w:numId w:val="1013"/>
        </w:numPr>
        <w:pStyle w:val="Compact"/>
      </w:pPr>
      <w:r>
        <w:t xml:space="preserve">covered entity or regulated actor;</w:t>
      </w:r>
    </w:p>
    <w:p>
      <w:pPr>
        <w:numPr>
          <w:ilvl w:val="0"/>
          <w:numId w:val="1013"/>
        </w:numPr>
        <w:pStyle w:val="Compact"/>
      </w:pPr>
      <w:r>
        <w:t xml:space="preserve">internal versus external systems;</w:t>
      </w:r>
    </w:p>
    <w:p>
      <w:pPr>
        <w:numPr>
          <w:ilvl w:val="0"/>
          <w:numId w:val="1013"/>
        </w:numPr>
        <w:pStyle w:val="Compact"/>
      </w:pPr>
      <w:r>
        <w:t xml:space="preserve">production versus development environments;</w:t>
      </w:r>
    </w:p>
    <w:p>
      <w:pPr>
        <w:numPr>
          <w:ilvl w:val="0"/>
          <w:numId w:val="1013"/>
        </w:numPr>
        <w:pStyle w:val="Compact"/>
      </w:pPr>
      <w:r>
        <w:t xml:space="preserve">all assets versus high-risk assets;</w:t>
      </w:r>
    </w:p>
    <w:p>
      <w:pPr>
        <w:numPr>
          <w:ilvl w:val="0"/>
          <w:numId w:val="1013"/>
        </w:numPr>
        <w:pStyle w:val="Compact"/>
      </w:pPr>
      <w:r>
        <w:t xml:space="preserve">design requirement versus operating requirement;</w:t>
      </w:r>
    </w:p>
    <w:p>
      <w:pPr>
        <w:numPr>
          <w:ilvl w:val="0"/>
          <w:numId w:val="1013"/>
        </w:numPr>
        <w:pStyle w:val="Compact"/>
      </w:pPr>
      <w:r>
        <w:t xml:space="preserve">policy existence versus implementation evidence;</w:t>
      </w:r>
    </w:p>
    <w:p>
      <w:pPr>
        <w:numPr>
          <w:ilvl w:val="0"/>
          <w:numId w:val="1013"/>
        </w:numPr>
        <w:pStyle w:val="Compact"/>
      </w:pPr>
      <w:r>
        <w:t xml:space="preserve">preventive versus detective objective;</w:t>
      </w:r>
    </w:p>
    <w:p>
      <w:pPr>
        <w:numPr>
          <w:ilvl w:val="0"/>
          <w:numId w:val="1013"/>
        </w:numPr>
        <w:pStyle w:val="Compact"/>
      </w:pPr>
      <w:r>
        <w:t xml:space="preserve">organization-wide versus system-specific scope.</w:t>
      </w:r>
    </w:p>
    <w:p>
      <w:pPr>
        <w:pStyle w:val="FirstParagraph"/>
      </w:pPr>
      <w:r>
        <w:t xml:space="preserve">Document these differences before assigning relationship strength.</w:t>
      </w:r>
    </w:p>
    <w:bookmarkEnd w:id="39"/>
    <w:bookmarkStart w:id="40" w:name="decomposition-quality-checks"/>
    <w:p>
      <w:pPr>
        <w:pStyle w:val="Heading2"/>
      </w:pPr>
      <w:r>
        <w:t xml:space="preserve">9. Decomposition quality checks</w:t>
      </w:r>
    </w:p>
    <w:p>
      <w:pPr>
        <w:pStyle w:val="FirstParagraph"/>
      </w:pPr>
      <w:r>
        <w:t xml:space="preserve">A decomposed requirement is ready for mapping when:</w:t>
      </w:r>
    </w:p>
    <w:p>
      <w:pPr>
        <w:numPr>
          <w:ilvl w:val="0"/>
          <w:numId w:val="1014"/>
        </w:numPr>
        <w:pStyle w:val="Compact"/>
      </w:pPr>
      <w:r>
        <w:t xml:space="preserve">the official source and version are traceable;</w:t>
      </w:r>
    </w:p>
    <w:p>
      <w:pPr>
        <w:numPr>
          <w:ilvl w:val="0"/>
          <w:numId w:val="1014"/>
        </w:numPr>
        <w:pStyle w:val="Compact"/>
      </w:pPr>
      <w:r>
        <w:t xml:space="preserve">the unit is understandable without changing its meaning;</w:t>
      </w:r>
    </w:p>
    <w:p>
      <w:pPr>
        <w:numPr>
          <w:ilvl w:val="0"/>
          <w:numId w:val="1014"/>
        </w:numPr>
        <w:pStyle w:val="Compact"/>
      </w:pPr>
      <w:r>
        <w:t xml:space="preserve">mandatory qualifiers are retained;</w:t>
      </w:r>
    </w:p>
    <w:p>
      <w:pPr>
        <w:numPr>
          <w:ilvl w:val="0"/>
          <w:numId w:val="1014"/>
        </w:numPr>
        <w:pStyle w:val="Compact"/>
      </w:pPr>
      <w:r>
        <w:t xml:space="preserve">applicability conditions are explicit;</w:t>
      </w:r>
    </w:p>
    <w:p>
      <w:pPr>
        <w:numPr>
          <w:ilvl w:val="0"/>
          <w:numId w:val="1014"/>
        </w:numPr>
        <w:pStyle w:val="Compact"/>
      </w:pPr>
      <w:r>
        <w:t xml:space="preserve">the granularity level is identified;</w:t>
      </w:r>
    </w:p>
    <w:p>
      <w:pPr>
        <w:numPr>
          <w:ilvl w:val="0"/>
          <w:numId w:val="1014"/>
        </w:numPr>
        <w:pStyle w:val="Compact"/>
      </w:pPr>
      <w:r>
        <w:t xml:space="preserve">the normalized objective is separate from source language;</w:t>
      </w:r>
    </w:p>
    <w:p>
      <w:pPr>
        <w:numPr>
          <w:ilvl w:val="0"/>
          <w:numId w:val="1014"/>
        </w:numPr>
        <w:pStyle w:val="Compact"/>
      </w:pPr>
      <w:r>
        <w:t xml:space="preserve">licensing restrictions are respected;</w:t>
      </w:r>
    </w:p>
    <w:p>
      <w:pPr>
        <w:numPr>
          <w:ilvl w:val="0"/>
          <w:numId w:val="1014"/>
        </w:numPr>
        <w:pStyle w:val="Compact"/>
      </w:pPr>
      <w:r>
        <w:t xml:space="preserve">an analyst can explain what evidence would and would not demonstrate the objective.</w:t>
      </w:r>
    </w:p>
    <w:bookmarkEnd w:id="40"/>
    <w:bookmarkEnd w:id="41"/>
    <w:bookmarkStart w:id="52" w:name="Xd9751695f9acea8a510be39beb7d2223db7d7ef"/>
    <w:p>
      <w:pPr>
        <w:pStyle w:val="Heading1"/>
      </w:pPr>
      <w:r>
        <w:t xml:space="preserve">Relationship Analysis and Coverage Decisions</w:t>
      </w:r>
    </w:p>
    <w:bookmarkStart w:id="42" w:name="compare-dimensions-not-keywords"/>
    <w:p>
      <w:pPr>
        <w:pStyle w:val="Heading2"/>
      </w:pPr>
      <w:r>
        <w:t xml:space="preserve">1. Compare dimensions, not keywords</w:t>
      </w:r>
    </w:p>
    <w:p>
      <w:pPr>
        <w:pStyle w:val="FirstParagraph"/>
      </w:pPr>
      <w:r>
        <w:t xml:space="preserve">A defensible relationship decision compares meaning across multiple dimensions. Keyword similarity is only a discovery aid. For each proposed mapping, compare:</w:t>
      </w:r>
    </w:p>
    <w:p>
      <w:pPr>
        <w:numPr>
          <w:ilvl w:val="0"/>
          <w:numId w:val="1015"/>
        </w:numPr>
        <w:pStyle w:val="Compact"/>
      </w:pPr>
      <w:r>
        <w:t xml:space="preserve">purpose and intended outcome;</w:t>
      </w:r>
    </w:p>
    <w:p>
      <w:pPr>
        <w:numPr>
          <w:ilvl w:val="0"/>
          <w:numId w:val="1015"/>
        </w:numPr>
        <w:pStyle w:val="Compact"/>
      </w:pPr>
      <w:r>
        <w:t xml:space="preserve">actor and accountability;</w:t>
      </w:r>
    </w:p>
    <w:p>
      <w:pPr>
        <w:numPr>
          <w:ilvl w:val="0"/>
          <w:numId w:val="1015"/>
        </w:numPr>
        <w:pStyle w:val="Compact"/>
      </w:pPr>
      <w:r>
        <w:t xml:space="preserve">protected object or process;</w:t>
      </w:r>
    </w:p>
    <w:p>
      <w:pPr>
        <w:numPr>
          <w:ilvl w:val="0"/>
          <w:numId w:val="1015"/>
        </w:numPr>
        <w:pStyle w:val="Compact"/>
      </w:pPr>
      <w:r>
        <w:t xml:space="preserve">scope and applicability;</w:t>
      </w:r>
    </w:p>
    <w:p>
      <w:pPr>
        <w:numPr>
          <w:ilvl w:val="0"/>
          <w:numId w:val="1015"/>
        </w:numPr>
        <w:pStyle w:val="Compact"/>
      </w:pPr>
      <w:r>
        <w:t xml:space="preserve">required action;</w:t>
      </w:r>
    </w:p>
    <w:p>
      <w:pPr>
        <w:numPr>
          <w:ilvl w:val="0"/>
          <w:numId w:val="1015"/>
        </w:numPr>
        <w:pStyle w:val="Compact"/>
      </w:pPr>
      <w:r>
        <w:t xml:space="preserve">timing and frequency;</w:t>
      </w:r>
    </w:p>
    <w:p>
      <w:pPr>
        <w:numPr>
          <w:ilvl w:val="0"/>
          <w:numId w:val="1015"/>
        </w:numPr>
        <w:pStyle w:val="Compact"/>
      </w:pPr>
      <w:r>
        <w:t xml:space="preserve">implementation specificity;</w:t>
      </w:r>
    </w:p>
    <w:p>
      <w:pPr>
        <w:numPr>
          <w:ilvl w:val="0"/>
          <w:numId w:val="1015"/>
        </w:numPr>
        <w:pStyle w:val="Compact"/>
      </w:pPr>
      <w:r>
        <w:t xml:space="preserve">evidence expectation;</w:t>
      </w:r>
    </w:p>
    <w:p>
      <w:pPr>
        <w:numPr>
          <w:ilvl w:val="0"/>
          <w:numId w:val="1015"/>
        </w:numPr>
        <w:pStyle w:val="Compact"/>
      </w:pPr>
      <w:r>
        <w:t xml:space="preserve">exception or alternative conditions;</w:t>
      </w:r>
    </w:p>
    <w:p>
      <w:pPr>
        <w:numPr>
          <w:ilvl w:val="0"/>
          <w:numId w:val="1015"/>
        </w:numPr>
        <w:pStyle w:val="Compact"/>
      </w:pPr>
      <w:r>
        <w:t xml:space="preserve">assurance or independence requirement.</w:t>
      </w:r>
    </w:p>
    <w:bookmarkEnd w:id="42"/>
    <w:bookmarkStart w:id="43" w:name="determine-directionality"/>
    <w:p>
      <w:pPr>
        <w:pStyle w:val="Heading2"/>
      </w:pPr>
      <w:r>
        <w:t xml:space="preserve">2. Determine directionality</w:t>
      </w:r>
    </w:p>
    <w:p>
      <w:pPr>
        <w:pStyle w:val="FirstParagraph"/>
      </w:pPr>
      <w:r>
        <w:t xml:space="preserve">Mappings are not automatically symmetrical. A detailed target may satisfy part of a broad source objective, while the broad source does not satisfy the target’s detailed conditions. Record direction explicitly:</w:t>
      </w:r>
    </w:p>
    <w:p>
      <w:pPr>
        <w:numPr>
          <w:ilvl w:val="0"/>
          <w:numId w:val="1016"/>
        </w:numPr>
        <w:pStyle w:val="Compact"/>
      </w:pPr>
      <w:r>
        <w:t xml:space="preserve">source-to-target;</w:t>
      </w:r>
    </w:p>
    <w:p>
      <w:pPr>
        <w:numPr>
          <w:ilvl w:val="0"/>
          <w:numId w:val="1016"/>
        </w:numPr>
        <w:pStyle w:val="Compact"/>
      </w:pPr>
      <w:r>
        <w:t xml:space="preserve">target-to-source;</w:t>
      </w:r>
    </w:p>
    <w:p>
      <w:pPr>
        <w:numPr>
          <w:ilvl w:val="0"/>
          <w:numId w:val="1016"/>
        </w:numPr>
        <w:pStyle w:val="Compact"/>
      </w:pPr>
      <w:r>
        <w:t xml:space="preserve">bidirectional only after separate validation in both directions.</w:t>
      </w:r>
    </w:p>
    <w:bookmarkEnd w:id="43"/>
    <w:bookmarkStart w:id="44" w:name="evaluate-coverage"/>
    <w:p>
      <w:pPr>
        <w:pStyle w:val="Heading2"/>
      </w:pPr>
      <w:r>
        <w:t xml:space="preserve">3. Evaluate coverage</w:t>
      </w:r>
    </w:p>
    <w:p>
      <w:pPr>
        <w:pStyle w:val="FirstParagraph"/>
      </w:pPr>
      <w:r>
        <w:t xml:space="preserve">Use a coverage decision supported by rationale:</w:t>
      </w:r>
    </w:p>
    <w:p>
      <w:pPr>
        <w:numPr>
          <w:ilvl w:val="0"/>
          <w:numId w:val="1017"/>
        </w:numPr>
        <w:pStyle w:val="Compact"/>
      </w:pPr>
      <w:r>
        <w:rPr>
          <w:bCs/>
          <w:b/>
        </w:rPr>
        <w:t xml:space="preserve">complete for stated scope</w:t>
      </w:r>
      <w:r>
        <w:t xml:space="preserve"> </w:t>
      </w:r>
      <w:r>
        <w:t xml:space="preserve">— every material element is addressed within the recorded scope;</w:t>
      </w:r>
    </w:p>
    <w:p>
      <w:pPr>
        <w:numPr>
          <w:ilvl w:val="0"/>
          <w:numId w:val="1017"/>
        </w:numPr>
        <w:pStyle w:val="Compact"/>
      </w:pPr>
      <w:r>
        <w:rPr>
          <w:bCs/>
          <w:b/>
        </w:rPr>
        <w:t xml:space="preserve">substantial</w:t>
      </w:r>
      <w:r>
        <w:t xml:space="preserve"> </w:t>
      </w:r>
      <w:r>
        <w:t xml:space="preserve">— most material elements are addressed, with limited residual conditions;</w:t>
      </w:r>
    </w:p>
    <w:p>
      <w:pPr>
        <w:numPr>
          <w:ilvl w:val="0"/>
          <w:numId w:val="1017"/>
        </w:numPr>
        <w:pStyle w:val="Compact"/>
      </w:pPr>
      <w:r>
        <w:rPr>
          <w:bCs/>
          <w:b/>
        </w:rPr>
        <w:t xml:space="preserve">partial</w:t>
      </w:r>
      <w:r>
        <w:t xml:space="preserve"> </w:t>
      </w:r>
      <w:r>
        <w:t xml:space="preserve">— meaningful elements are addressed, but material gaps remain;</w:t>
      </w:r>
    </w:p>
    <w:p>
      <w:pPr>
        <w:numPr>
          <w:ilvl w:val="0"/>
          <w:numId w:val="1017"/>
        </w:numPr>
        <w:pStyle w:val="Compact"/>
      </w:pPr>
      <w:r>
        <w:rPr>
          <w:bCs/>
          <w:b/>
        </w:rPr>
        <w:t xml:space="preserve">minimal</w:t>
      </w:r>
      <w:r>
        <w:t xml:space="preserve"> </w:t>
      </w:r>
      <w:r>
        <w:t xml:space="preserve">— only a small component or enabling activity is addressed;</w:t>
      </w:r>
    </w:p>
    <w:p>
      <w:pPr>
        <w:numPr>
          <w:ilvl w:val="0"/>
          <w:numId w:val="1017"/>
        </w:numPr>
        <w:pStyle w:val="Compact"/>
      </w:pPr>
      <w:r>
        <w:rPr>
          <w:bCs/>
          <w:b/>
        </w:rPr>
        <w:t xml:space="preserve">none</w:t>
      </w:r>
      <w:r>
        <w:t xml:space="preserve"> </w:t>
      </w:r>
      <w:r>
        <w:t xml:space="preserve">— no defensible coverage exists.</w:t>
      </w:r>
    </w:p>
    <w:p>
      <w:pPr>
        <w:pStyle w:val="FirstParagraph"/>
      </w:pPr>
      <w:r>
        <w:t xml:space="preserve">Coverage should be evaluated independently from implementation maturity. A theoretically complete relationship may still have no implemented control or usable evidence.</w:t>
      </w:r>
    </w:p>
    <w:bookmarkEnd w:id="44"/>
    <w:bookmarkStart w:id="45" w:name="handle-one-to-many-relationships"/>
    <w:p>
      <w:pPr>
        <w:pStyle w:val="Heading2"/>
      </w:pPr>
      <w:r>
        <w:t xml:space="preserve">4. Handle one-to-many relationships</w:t>
      </w:r>
    </w:p>
    <w:p>
      <w:pPr>
        <w:pStyle w:val="FirstParagraph"/>
      </w:pPr>
      <w:r>
        <w:t xml:space="preserve">A source requirement may require several target controls. Create either:</w:t>
      </w:r>
    </w:p>
    <w:p>
      <w:pPr>
        <w:numPr>
          <w:ilvl w:val="0"/>
          <w:numId w:val="1018"/>
        </w:numPr>
        <w:pStyle w:val="Compact"/>
      </w:pPr>
      <w:r>
        <w:t xml:space="preserve">separate mapping rows linked by a common relationship-group identifier; or</w:t>
      </w:r>
    </w:p>
    <w:p>
      <w:pPr>
        <w:numPr>
          <w:ilvl w:val="0"/>
          <w:numId w:val="1018"/>
        </w:numPr>
        <w:pStyle w:val="Compact"/>
      </w:pPr>
      <w:r>
        <w:t xml:space="preserve">a parent relationship record with child mappings.</w:t>
      </w:r>
    </w:p>
    <w:p>
      <w:pPr>
        <w:pStyle w:val="FirstParagraph"/>
      </w:pPr>
      <w:r>
        <w:t xml:space="preserve">Do not mark any single child as complete if complete coverage depends on the group. Record the aggregation rule and residual gap.</w:t>
      </w:r>
    </w:p>
    <w:bookmarkEnd w:id="45"/>
    <w:bookmarkStart w:id="46" w:name="handle-many-to-one-relationships"/>
    <w:p>
      <w:pPr>
        <w:pStyle w:val="Heading2"/>
      </w:pPr>
      <w:r>
        <w:t xml:space="preserve">5. Handle many-to-one relationships</w:t>
      </w:r>
    </w:p>
    <w:p>
      <w:pPr>
        <w:pStyle w:val="FirstParagraph"/>
      </w:pPr>
      <w:r>
        <w:t xml:space="preserve">A target control may support several source requirements. Reuse may be efficient, but validate each relationship independently because scope, evidence period, actor, and quality conditions can differ.</w:t>
      </w:r>
    </w:p>
    <w:bookmarkEnd w:id="46"/>
    <w:bookmarkStart w:id="47" w:name="Xccb0e07a84a9c090e1a3e19d99286e1fe05a1f7"/>
    <w:p>
      <w:pPr>
        <w:pStyle w:val="Heading2"/>
      </w:pPr>
      <w:r>
        <w:t xml:space="preserve">6. Identify compensating and alternative approaches</w:t>
      </w:r>
    </w:p>
    <w:p>
      <w:pPr>
        <w:pStyle w:val="FirstParagraph"/>
      </w:pPr>
      <w:r>
        <w:t xml:space="preserve">A compensating measure is not an automatic equivalent. Record:</w:t>
      </w:r>
    </w:p>
    <w:p>
      <w:pPr>
        <w:numPr>
          <w:ilvl w:val="0"/>
          <w:numId w:val="1019"/>
        </w:numPr>
        <w:pStyle w:val="Compact"/>
      </w:pPr>
      <w:r>
        <w:t xml:space="preserve">the original objective;</w:t>
      </w:r>
    </w:p>
    <w:p>
      <w:pPr>
        <w:numPr>
          <w:ilvl w:val="0"/>
          <w:numId w:val="1019"/>
        </w:numPr>
        <w:pStyle w:val="Compact"/>
      </w:pPr>
      <w:r>
        <w:t xml:space="preserve">why the primary method is infeasible or inappropriate;</w:t>
      </w:r>
    </w:p>
    <w:p>
      <w:pPr>
        <w:numPr>
          <w:ilvl w:val="0"/>
          <w:numId w:val="1019"/>
        </w:numPr>
        <w:pStyle w:val="Compact"/>
      </w:pPr>
      <w:r>
        <w:t xml:space="preserve">the alternative implementation;</w:t>
      </w:r>
    </w:p>
    <w:p>
      <w:pPr>
        <w:numPr>
          <w:ilvl w:val="0"/>
          <w:numId w:val="1019"/>
        </w:numPr>
        <w:pStyle w:val="Compact"/>
      </w:pPr>
      <w:r>
        <w:t xml:space="preserve">comparable rigor and protection;</w:t>
      </w:r>
    </w:p>
    <w:p>
      <w:pPr>
        <w:numPr>
          <w:ilvl w:val="0"/>
          <w:numId w:val="1019"/>
        </w:numPr>
        <w:pStyle w:val="Compact"/>
      </w:pPr>
      <w:r>
        <w:t xml:space="preserve">approval authority;</w:t>
      </w:r>
    </w:p>
    <w:p>
      <w:pPr>
        <w:numPr>
          <w:ilvl w:val="0"/>
          <w:numId w:val="1019"/>
        </w:numPr>
        <w:pStyle w:val="Compact"/>
      </w:pPr>
      <w:r>
        <w:t xml:space="preserve">monitoring and expiration;</w:t>
      </w:r>
    </w:p>
    <w:p>
      <w:pPr>
        <w:numPr>
          <w:ilvl w:val="0"/>
          <w:numId w:val="1019"/>
        </w:numPr>
        <w:pStyle w:val="Compact"/>
      </w:pPr>
      <w:r>
        <w:t xml:space="preserve">source-specific acceptance conditions.</w:t>
      </w:r>
    </w:p>
    <w:p>
      <w:pPr>
        <w:pStyle w:val="FirstParagraph"/>
      </w:pPr>
      <w:r>
        <w:t xml:space="preserve">Where a source defines a formal compensating-control process, follow that process rather than relying on a generic mapping label.</w:t>
      </w:r>
    </w:p>
    <w:bookmarkEnd w:id="47"/>
    <w:bookmarkStart w:id="48" w:name="record-conflicts-and-constraints"/>
    <w:p>
      <w:pPr>
        <w:pStyle w:val="Heading2"/>
      </w:pPr>
      <w:r>
        <w:t xml:space="preserve">7. Record conflicts and constraints</w:t>
      </w:r>
    </w:p>
    <w:p>
      <w:pPr>
        <w:pStyle w:val="FirstParagraph"/>
      </w:pPr>
      <w:r>
        <w:t xml:space="preserve">Mappings should expose, not hide, conflicts. Examples include:</w:t>
      </w:r>
    </w:p>
    <w:p>
      <w:pPr>
        <w:numPr>
          <w:ilvl w:val="0"/>
          <w:numId w:val="1020"/>
        </w:numPr>
        <w:pStyle w:val="Compact"/>
      </w:pPr>
      <w:r>
        <w:t xml:space="preserve">different retention periods;</w:t>
      </w:r>
    </w:p>
    <w:p>
      <w:pPr>
        <w:numPr>
          <w:ilvl w:val="0"/>
          <w:numId w:val="1020"/>
        </w:numPr>
        <w:pStyle w:val="Compact"/>
      </w:pPr>
      <w:r>
        <w:t xml:space="preserve">inconsistent notification timelines;</w:t>
      </w:r>
    </w:p>
    <w:p>
      <w:pPr>
        <w:numPr>
          <w:ilvl w:val="0"/>
          <w:numId w:val="1020"/>
        </w:numPr>
        <w:pStyle w:val="Compact"/>
      </w:pPr>
      <w:r>
        <w:t xml:space="preserve">regional data-location restrictions;</w:t>
      </w:r>
    </w:p>
    <w:p>
      <w:pPr>
        <w:numPr>
          <w:ilvl w:val="0"/>
          <w:numId w:val="1020"/>
        </w:numPr>
        <w:pStyle w:val="Compact"/>
      </w:pPr>
      <w:r>
        <w:t xml:space="preserve">different testing frequencies;</w:t>
      </w:r>
    </w:p>
    <w:p>
      <w:pPr>
        <w:numPr>
          <w:ilvl w:val="0"/>
          <w:numId w:val="1020"/>
        </w:numPr>
        <w:pStyle w:val="Compact"/>
      </w:pPr>
      <w:r>
        <w:t xml:space="preserve">incompatible access or segregation expectations;</w:t>
      </w:r>
    </w:p>
    <w:p>
      <w:pPr>
        <w:numPr>
          <w:ilvl w:val="0"/>
          <w:numId w:val="1020"/>
        </w:numPr>
        <w:pStyle w:val="Compact"/>
      </w:pPr>
      <w:r>
        <w:t xml:space="preserve">source-specific evidence formats;</w:t>
      </w:r>
    </w:p>
    <w:p>
      <w:pPr>
        <w:numPr>
          <w:ilvl w:val="0"/>
          <w:numId w:val="1020"/>
        </w:numPr>
        <w:pStyle w:val="Compact"/>
      </w:pPr>
      <w:r>
        <w:t xml:space="preserve">legal restrictions on monitoring or workforce data.</w:t>
      </w:r>
    </w:p>
    <w:p>
      <w:pPr>
        <w:pStyle w:val="FirstParagraph"/>
      </w:pPr>
      <w:r>
        <w:t xml:space="preserve">Route conflicts to qualified legal, privacy, compliance, security, or business owners. A mapping analyst should not resolve a legal conflict by choosing the least restrictive requirement.</w:t>
      </w:r>
    </w:p>
    <w:bookmarkEnd w:id="48"/>
    <w:bookmarkStart w:id="49" w:name="assign-confidence"/>
    <w:p>
      <w:pPr>
        <w:pStyle w:val="Heading2"/>
      </w:pPr>
      <w:r>
        <w:t xml:space="preserve">8. Assign confidence</w:t>
      </w:r>
    </w:p>
    <w:p>
      <w:pPr>
        <w:pStyle w:val="FirstParagraph"/>
      </w:pPr>
      <w:r>
        <w:t xml:space="preserve">Confidence should reflect evidence quality, reviewer expertise, ambiguity, and source currency. Record reasons for medium or low confidence and prohibit unsupported high-confidence defaults.</w:t>
      </w:r>
    </w:p>
    <w:bookmarkEnd w:id="49"/>
    <w:bookmarkStart w:id="50" w:name="require-rationale-that-can-be-challenged"/>
    <w:p>
      <w:pPr>
        <w:pStyle w:val="Heading2"/>
      </w:pPr>
      <w:r>
        <w:t xml:space="preserve">9. Require rationale that can be challenged</w:t>
      </w:r>
    </w:p>
    <w:p>
      <w:pPr>
        <w:pStyle w:val="FirstParagraph"/>
      </w:pPr>
      <w:r>
        <w:t xml:space="preserve">A useful rationale explains:</w:t>
      </w:r>
    </w:p>
    <w:p>
      <w:pPr>
        <w:numPr>
          <w:ilvl w:val="0"/>
          <w:numId w:val="1021"/>
        </w:numPr>
        <w:pStyle w:val="Compact"/>
      </w:pPr>
      <w:r>
        <w:t xml:space="preserve">the common objective;</w:t>
      </w:r>
    </w:p>
    <w:p>
      <w:pPr>
        <w:numPr>
          <w:ilvl w:val="0"/>
          <w:numId w:val="1021"/>
        </w:numPr>
        <w:pStyle w:val="Compact"/>
      </w:pPr>
      <w:r>
        <w:t xml:space="preserve">the matching elements;</w:t>
      </w:r>
    </w:p>
    <w:p>
      <w:pPr>
        <w:numPr>
          <w:ilvl w:val="0"/>
          <w:numId w:val="1021"/>
        </w:numPr>
        <w:pStyle w:val="Compact"/>
      </w:pPr>
      <w:r>
        <w:t xml:space="preserve">the nonmatching elements;</w:t>
      </w:r>
    </w:p>
    <w:p>
      <w:pPr>
        <w:numPr>
          <w:ilvl w:val="0"/>
          <w:numId w:val="1021"/>
        </w:numPr>
        <w:pStyle w:val="Compact"/>
      </w:pPr>
      <w:r>
        <w:t xml:space="preserve">scope assumptions;</w:t>
      </w:r>
    </w:p>
    <w:p>
      <w:pPr>
        <w:numPr>
          <w:ilvl w:val="0"/>
          <w:numId w:val="1021"/>
        </w:numPr>
        <w:pStyle w:val="Compact"/>
      </w:pPr>
      <w:r>
        <w:t xml:space="preserve">implementation dependencies;</w:t>
      </w:r>
    </w:p>
    <w:p>
      <w:pPr>
        <w:numPr>
          <w:ilvl w:val="0"/>
          <w:numId w:val="1021"/>
        </w:numPr>
        <w:pStyle w:val="Compact"/>
      </w:pPr>
      <w:r>
        <w:t xml:space="preserve">residual gaps;</w:t>
      </w:r>
    </w:p>
    <w:p>
      <w:pPr>
        <w:numPr>
          <w:ilvl w:val="0"/>
          <w:numId w:val="1021"/>
        </w:numPr>
        <w:pStyle w:val="Compact"/>
      </w:pPr>
      <w:r>
        <w:t xml:space="preserve">why the selected relationship and coverage levels are appropriate.</w:t>
      </w:r>
    </w:p>
    <w:p>
      <w:pPr>
        <w:pStyle w:val="FirstParagraph"/>
      </w:pPr>
      <w:r>
        <w:t xml:space="preserve">Avoid statements such as</w:t>
      </w:r>
      <w:r>
        <w:t xml:space="preserve"> </w:t>
      </w:r>
      <w:r>
        <w:t xml:space="preserve">“</w:t>
      </w:r>
      <w:r>
        <w:t xml:space="preserve">same topic,</w:t>
      </w:r>
      <w:r>
        <w:t xml:space="preserve">”</w:t>
      </w:r>
      <w:r>
        <w:t xml:space="preserve"> </w:t>
      </w:r>
      <w:r>
        <w:t xml:space="preserve">“</w:t>
      </w:r>
      <w:r>
        <w:t xml:space="preserve">industry standard,</w:t>
      </w:r>
      <w:r>
        <w:t xml:space="preserve">”</w:t>
      </w:r>
      <w:r>
        <w:t xml:space="preserve"> </w:t>
      </w:r>
      <w:r>
        <w:t xml:space="preserve">or</w:t>
      </w:r>
      <w:r>
        <w:t xml:space="preserve"> </w:t>
      </w:r>
      <w:r>
        <w:t xml:space="preserve">“</w:t>
      </w:r>
      <w:r>
        <w:t xml:space="preserve">commonly mapped</w:t>
      </w:r>
      <w:r>
        <w:t xml:space="preserve">”</w:t>
      </w:r>
      <w:r>
        <w:t xml:space="preserve"> </w:t>
      </w:r>
      <w:r>
        <w:t xml:space="preserve">without analysis.</w:t>
      </w:r>
    </w:p>
    <w:bookmarkEnd w:id="50"/>
    <w:bookmarkStart w:id="51" w:name="independent-review"/>
    <w:p>
      <w:pPr>
        <w:pStyle w:val="Heading2"/>
      </w:pPr>
      <w:r>
        <w:t xml:space="preserve">10. Independent review</w:t>
      </w:r>
    </w:p>
    <w:p>
      <w:pPr>
        <w:pStyle w:val="FirstParagraph"/>
      </w:pPr>
      <w:r>
        <w:t xml:space="preserve">The reviewer should be able to reject, qualify, or split a proposed mapping. Review should address source fidelity, granularity, scope, relationship type, coverage, confidence, licensing, and intended use. The decision and comments must be retained.</w:t>
      </w:r>
    </w:p>
    <w:bookmarkEnd w:id="51"/>
    <w:bookmarkEnd w:id="52"/>
    <w:bookmarkStart w:id="63" w:name="Xd866feaf22b44d1d52f1f5dccf4d0ab7cd82a7e"/>
    <w:p>
      <w:pPr>
        <w:pStyle w:val="Heading1"/>
      </w:pPr>
      <w:r>
        <w:t xml:space="preserve">Implementation, Evidence, and Common-Control Linkage</w:t>
      </w:r>
    </w:p>
    <w:bookmarkStart w:id="53" w:name="keep-three-relationship-layers-separate"/>
    <w:p>
      <w:pPr>
        <w:pStyle w:val="Heading2"/>
      </w:pPr>
      <w:r>
        <w:t xml:space="preserve">1. Keep three relationship layers separate</w:t>
      </w:r>
    </w:p>
    <w:p>
      <w:pPr>
        <w:pStyle w:val="FirstParagraph"/>
      </w:pPr>
      <w:r>
        <w:t xml:space="preserve">A mature mapping model distinguishes:</w:t>
      </w:r>
    </w:p>
    <w:p>
      <w:pPr>
        <w:numPr>
          <w:ilvl w:val="0"/>
          <w:numId w:val="1022"/>
        </w:numPr>
        <w:pStyle w:val="Compact"/>
      </w:pPr>
      <w:r>
        <w:rPr>
          <w:bCs/>
          <w:b/>
        </w:rPr>
        <w:t xml:space="preserve">source-to-source mapping</w:t>
      </w:r>
      <w:r>
        <w:t xml:space="preserve"> </w:t>
      </w:r>
      <w:r>
        <w:t xml:space="preserve">— the analytical relationship between external requirements or framework elements;</w:t>
      </w:r>
    </w:p>
    <w:p>
      <w:pPr>
        <w:numPr>
          <w:ilvl w:val="0"/>
          <w:numId w:val="1022"/>
        </w:numPr>
        <w:pStyle w:val="Compact"/>
      </w:pPr>
      <w:r>
        <w:rPr>
          <w:bCs/>
          <w:b/>
        </w:rPr>
        <w:t xml:space="preserve">source-to-control mapping</w:t>
      </w:r>
      <w:r>
        <w:t xml:space="preserve"> </w:t>
      </w:r>
      <w:r>
        <w:t xml:space="preserve">— how an organization control is intended to address a source objective;</w:t>
      </w:r>
    </w:p>
    <w:p>
      <w:pPr>
        <w:numPr>
          <w:ilvl w:val="0"/>
          <w:numId w:val="1022"/>
        </w:numPr>
        <w:pStyle w:val="Compact"/>
      </w:pPr>
      <w:r>
        <w:rPr>
          <w:bCs/>
          <w:b/>
        </w:rPr>
        <w:t xml:space="preserve">control-to-evidence mapping</w:t>
      </w:r>
      <w:r>
        <w:t xml:space="preserve"> </w:t>
      </w:r>
      <w:r>
        <w:t xml:space="preserve">— what records demonstrate design, implementation, and operation.</w:t>
      </w:r>
    </w:p>
    <w:p>
      <w:pPr>
        <w:pStyle w:val="FirstParagraph"/>
      </w:pPr>
      <w:r>
        <w:t xml:space="preserve">Combining these layers into one field creates ambiguity and can turn a theoretical crosswalk into an unsupported compliance claim.</w:t>
      </w:r>
    </w:p>
    <w:bookmarkEnd w:id="53"/>
    <w:bookmarkStart w:id="54" w:name="define-the-organization-control"/>
    <w:p>
      <w:pPr>
        <w:pStyle w:val="Heading2"/>
      </w:pPr>
      <w:r>
        <w:t xml:space="preserve">2. Define the organization control</w:t>
      </w:r>
    </w:p>
    <w:p>
      <w:pPr>
        <w:pStyle w:val="FirstParagraph"/>
      </w:pPr>
      <w:r>
        <w:t xml:space="preserve">An organization control record should identify:</w:t>
      </w:r>
    </w:p>
    <w:p>
      <w:pPr>
        <w:numPr>
          <w:ilvl w:val="0"/>
          <w:numId w:val="1023"/>
        </w:numPr>
        <w:pStyle w:val="Compact"/>
      </w:pPr>
      <w:r>
        <w:t xml:space="preserve">control identifier and title;</w:t>
      </w:r>
    </w:p>
    <w:p>
      <w:pPr>
        <w:numPr>
          <w:ilvl w:val="0"/>
          <w:numId w:val="1023"/>
        </w:numPr>
        <w:pStyle w:val="Compact"/>
      </w:pPr>
      <w:r>
        <w:t xml:space="preserve">objective and control statement;</w:t>
      </w:r>
    </w:p>
    <w:p>
      <w:pPr>
        <w:numPr>
          <w:ilvl w:val="0"/>
          <w:numId w:val="1023"/>
        </w:numPr>
        <w:pStyle w:val="Compact"/>
      </w:pPr>
      <w:r>
        <w:t xml:space="preserve">owner and operator;</w:t>
      </w:r>
    </w:p>
    <w:p>
      <w:pPr>
        <w:numPr>
          <w:ilvl w:val="0"/>
          <w:numId w:val="1023"/>
        </w:numPr>
        <w:pStyle w:val="Compact"/>
      </w:pPr>
      <w:r>
        <w:t xml:space="preserve">scope and inherited boundaries;</w:t>
      </w:r>
    </w:p>
    <w:p>
      <w:pPr>
        <w:numPr>
          <w:ilvl w:val="0"/>
          <w:numId w:val="1023"/>
        </w:numPr>
        <w:pStyle w:val="Compact"/>
      </w:pPr>
      <w:r>
        <w:t xml:space="preserve">preventive, detective, corrective, directive, or recovery type;</w:t>
      </w:r>
    </w:p>
    <w:p>
      <w:pPr>
        <w:numPr>
          <w:ilvl w:val="0"/>
          <w:numId w:val="1023"/>
        </w:numPr>
        <w:pStyle w:val="Compact"/>
      </w:pPr>
      <w:r>
        <w:t xml:space="preserve">manual, automated, or hybrid operation;</w:t>
      </w:r>
    </w:p>
    <w:p>
      <w:pPr>
        <w:numPr>
          <w:ilvl w:val="0"/>
          <w:numId w:val="1023"/>
        </w:numPr>
        <w:pStyle w:val="Compact"/>
      </w:pPr>
      <w:r>
        <w:t xml:space="preserve">frequency and trigger;</w:t>
      </w:r>
    </w:p>
    <w:p>
      <w:pPr>
        <w:numPr>
          <w:ilvl w:val="0"/>
          <w:numId w:val="1023"/>
        </w:numPr>
        <w:pStyle w:val="Compact"/>
      </w:pPr>
      <w:r>
        <w:t xml:space="preserve">systems, data, processes, and populations covered;</w:t>
      </w:r>
    </w:p>
    <w:p>
      <w:pPr>
        <w:numPr>
          <w:ilvl w:val="0"/>
          <w:numId w:val="1023"/>
        </w:numPr>
        <w:pStyle w:val="Compact"/>
      </w:pPr>
      <w:r>
        <w:t xml:space="preserve">dependencies and exceptions;</w:t>
      </w:r>
    </w:p>
    <w:p>
      <w:pPr>
        <w:numPr>
          <w:ilvl w:val="0"/>
          <w:numId w:val="1023"/>
        </w:numPr>
        <w:pStyle w:val="Compact"/>
      </w:pPr>
      <w:r>
        <w:t xml:space="preserve">expected evidence;</w:t>
      </w:r>
    </w:p>
    <w:p>
      <w:pPr>
        <w:numPr>
          <w:ilvl w:val="0"/>
          <w:numId w:val="1023"/>
        </w:numPr>
        <w:pStyle w:val="Compact"/>
      </w:pPr>
      <w:r>
        <w:t xml:space="preserve">testing approach and status.</w:t>
      </w:r>
    </w:p>
    <w:bookmarkEnd w:id="54"/>
    <w:bookmarkStart w:id="55" w:name="validate-common-control-reuse"/>
    <w:p>
      <w:pPr>
        <w:pStyle w:val="Heading2"/>
      </w:pPr>
      <w:r>
        <w:t xml:space="preserve">3. Validate common-control reuse</w:t>
      </w:r>
    </w:p>
    <w:p>
      <w:pPr>
        <w:pStyle w:val="FirstParagraph"/>
      </w:pPr>
      <w:r>
        <w:t xml:space="preserve">A common control may support several systems or requirements. Reuse is defensible only when the consuming scope is identified and inheritance is validated. Record:</w:t>
      </w:r>
    </w:p>
    <w:p>
      <w:pPr>
        <w:numPr>
          <w:ilvl w:val="0"/>
          <w:numId w:val="1024"/>
        </w:numPr>
        <w:pStyle w:val="Compact"/>
      </w:pPr>
      <w:r>
        <w:t xml:space="preserve">common-control provider;</w:t>
      </w:r>
    </w:p>
    <w:p>
      <w:pPr>
        <w:numPr>
          <w:ilvl w:val="0"/>
          <w:numId w:val="1024"/>
        </w:numPr>
        <w:pStyle w:val="Compact"/>
      </w:pPr>
      <w:r>
        <w:t xml:space="preserve">consumers;</w:t>
      </w:r>
    </w:p>
    <w:p>
      <w:pPr>
        <w:numPr>
          <w:ilvl w:val="0"/>
          <w:numId w:val="1024"/>
        </w:numPr>
        <w:pStyle w:val="Compact"/>
      </w:pPr>
      <w:r>
        <w:t xml:space="preserve">service or boundary covered;</w:t>
      </w:r>
    </w:p>
    <w:p>
      <w:pPr>
        <w:numPr>
          <w:ilvl w:val="0"/>
          <w:numId w:val="1024"/>
        </w:numPr>
        <w:pStyle w:val="Compact"/>
      </w:pPr>
      <w:r>
        <w:t xml:space="preserve">responsibilities retained by the consumer;</w:t>
      </w:r>
    </w:p>
    <w:p>
      <w:pPr>
        <w:numPr>
          <w:ilvl w:val="0"/>
          <w:numId w:val="1024"/>
        </w:numPr>
        <w:pStyle w:val="Compact"/>
      </w:pPr>
      <w:r>
        <w:t xml:space="preserve">evidence availability;</w:t>
      </w:r>
    </w:p>
    <w:p>
      <w:pPr>
        <w:numPr>
          <w:ilvl w:val="0"/>
          <w:numId w:val="1024"/>
        </w:numPr>
        <w:pStyle w:val="Compact"/>
      </w:pPr>
      <w:r>
        <w:t xml:space="preserve">operating period;</w:t>
      </w:r>
    </w:p>
    <w:p>
      <w:pPr>
        <w:numPr>
          <w:ilvl w:val="0"/>
          <w:numId w:val="1024"/>
        </w:numPr>
        <w:pStyle w:val="Compact"/>
      </w:pPr>
      <w:r>
        <w:t xml:space="preserve">exceptions and local supplements;</w:t>
      </w:r>
    </w:p>
    <w:p>
      <w:pPr>
        <w:numPr>
          <w:ilvl w:val="0"/>
          <w:numId w:val="1024"/>
        </w:numPr>
        <w:pStyle w:val="Compact"/>
      </w:pPr>
      <w:r>
        <w:t xml:space="preserve">approval and reassessment trigger.</w:t>
      </w:r>
    </w:p>
    <w:bookmarkEnd w:id="55"/>
    <w:bookmarkStart w:id="56" w:name="distinguish-design-from-operation"/>
    <w:p>
      <w:pPr>
        <w:pStyle w:val="Heading2"/>
      </w:pPr>
      <w:r>
        <w:t xml:space="preserve">4. Distinguish design from operation</w:t>
      </w:r>
    </w:p>
    <w:p>
      <w:pPr>
        <w:pStyle w:val="FirstParagraph"/>
      </w:pPr>
      <w:r>
        <w:t xml:space="preserve">A policy, architecture, or procedure may demonstrate design intent. It does not by itself prove that a control operated effectively. Evidence types may include:</w:t>
      </w:r>
    </w:p>
    <w:p>
      <w:pPr>
        <w:numPr>
          <w:ilvl w:val="0"/>
          <w:numId w:val="1025"/>
        </w:numPr>
        <w:pStyle w:val="Compact"/>
      </w:pPr>
      <w:r>
        <w:t xml:space="preserve">approved policy and procedure records;</w:t>
      </w:r>
    </w:p>
    <w:p>
      <w:pPr>
        <w:numPr>
          <w:ilvl w:val="0"/>
          <w:numId w:val="1025"/>
        </w:numPr>
        <w:pStyle w:val="Compact"/>
      </w:pPr>
      <w:r>
        <w:t xml:space="preserve">configuration exports;</w:t>
      </w:r>
    </w:p>
    <w:p>
      <w:pPr>
        <w:numPr>
          <w:ilvl w:val="0"/>
          <w:numId w:val="1025"/>
        </w:numPr>
        <w:pStyle w:val="Compact"/>
      </w:pPr>
      <w:r>
        <w:t xml:space="preserve">system-generated logs;</w:t>
      </w:r>
    </w:p>
    <w:p>
      <w:pPr>
        <w:numPr>
          <w:ilvl w:val="0"/>
          <w:numId w:val="1025"/>
        </w:numPr>
        <w:pStyle w:val="Compact"/>
      </w:pPr>
      <w:r>
        <w:t xml:space="preserve">tickets and approvals;</w:t>
      </w:r>
    </w:p>
    <w:p>
      <w:pPr>
        <w:numPr>
          <w:ilvl w:val="0"/>
          <w:numId w:val="1025"/>
        </w:numPr>
        <w:pStyle w:val="Compact"/>
      </w:pPr>
      <w:r>
        <w:t xml:space="preserve">training completion records;</w:t>
      </w:r>
    </w:p>
    <w:p>
      <w:pPr>
        <w:numPr>
          <w:ilvl w:val="0"/>
          <w:numId w:val="1025"/>
        </w:numPr>
        <w:pStyle w:val="Compact"/>
      </w:pPr>
      <w:r>
        <w:t xml:space="preserve">inventories and reconciliations;</w:t>
      </w:r>
    </w:p>
    <w:p>
      <w:pPr>
        <w:numPr>
          <w:ilvl w:val="0"/>
          <w:numId w:val="1025"/>
        </w:numPr>
        <w:pStyle w:val="Compact"/>
      </w:pPr>
      <w:r>
        <w:t xml:space="preserve">monitoring results;</w:t>
      </w:r>
    </w:p>
    <w:p>
      <w:pPr>
        <w:numPr>
          <w:ilvl w:val="0"/>
          <w:numId w:val="1025"/>
        </w:numPr>
        <w:pStyle w:val="Compact"/>
      </w:pPr>
      <w:r>
        <w:t xml:space="preserve">test and exercise records;</w:t>
      </w:r>
    </w:p>
    <w:p>
      <w:pPr>
        <w:numPr>
          <w:ilvl w:val="0"/>
          <w:numId w:val="1025"/>
        </w:numPr>
        <w:pStyle w:val="Compact"/>
      </w:pPr>
      <w:r>
        <w:t xml:space="preserve">exception records;</w:t>
      </w:r>
    </w:p>
    <w:p>
      <w:pPr>
        <w:numPr>
          <w:ilvl w:val="0"/>
          <w:numId w:val="1025"/>
        </w:numPr>
        <w:pStyle w:val="Compact"/>
      </w:pPr>
      <w:r>
        <w:t xml:space="preserve">independent assessment workpapers.</w:t>
      </w:r>
    </w:p>
    <w:p>
      <w:pPr>
        <w:pStyle w:val="FirstParagraph"/>
      </w:pPr>
      <w:r>
        <w:t xml:space="preserve">Record whether evidence supports design, implementation, operating effectiveness, or only contextual understanding.</w:t>
      </w:r>
    </w:p>
    <w:bookmarkEnd w:id="56"/>
    <w:bookmarkStart w:id="57" w:name="match-evidence-to-the-mapped-requirement"/>
    <w:p>
      <w:pPr>
        <w:pStyle w:val="Heading2"/>
      </w:pPr>
      <w:r>
        <w:t xml:space="preserve">5. Match evidence to the mapped requirement</w:t>
      </w:r>
    </w:p>
    <w:p>
      <w:pPr>
        <w:pStyle w:val="FirstParagraph"/>
      </w:pPr>
      <w:r>
        <w:t xml:space="preserve">Evidence acceptable for one source may be insufficient for another because of differences in period, sampling, independence, retention, technical detail, or population coverage. Each source relationship should identify its evidence conditions rather than inheriting them automatically from the common control.</w:t>
      </w:r>
    </w:p>
    <w:bookmarkEnd w:id="57"/>
    <w:bookmarkStart w:id="58" w:name="record-evidence-freshness-and-lineage"/>
    <w:p>
      <w:pPr>
        <w:pStyle w:val="Heading2"/>
      </w:pPr>
      <w:r>
        <w:t xml:space="preserve">6. Record evidence freshness and lineage</w:t>
      </w:r>
    </w:p>
    <w:p>
      <w:pPr>
        <w:pStyle w:val="FirstParagraph"/>
      </w:pPr>
      <w:r>
        <w:t xml:space="preserve">Evidence references should include:</w:t>
      </w:r>
    </w:p>
    <w:p>
      <w:pPr>
        <w:numPr>
          <w:ilvl w:val="0"/>
          <w:numId w:val="1026"/>
        </w:numPr>
        <w:pStyle w:val="Compact"/>
      </w:pPr>
      <w:r>
        <w:t xml:space="preserve">repository or system of record;</w:t>
      </w:r>
    </w:p>
    <w:p>
      <w:pPr>
        <w:numPr>
          <w:ilvl w:val="0"/>
          <w:numId w:val="1026"/>
        </w:numPr>
        <w:pStyle w:val="Compact"/>
      </w:pPr>
      <w:r>
        <w:t xml:space="preserve">owner and custodian;</w:t>
      </w:r>
    </w:p>
    <w:p>
      <w:pPr>
        <w:numPr>
          <w:ilvl w:val="0"/>
          <w:numId w:val="1026"/>
        </w:numPr>
        <w:pStyle w:val="Compact"/>
      </w:pPr>
      <w:r>
        <w:t xml:space="preserve">collection date and covered period;</w:t>
      </w:r>
    </w:p>
    <w:p>
      <w:pPr>
        <w:numPr>
          <w:ilvl w:val="0"/>
          <w:numId w:val="1026"/>
        </w:numPr>
        <w:pStyle w:val="Compact"/>
      </w:pPr>
      <w:r>
        <w:t xml:space="preserve">source-system lineage;</w:t>
      </w:r>
    </w:p>
    <w:p>
      <w:pPr>
        <w:numPr>
          <w:ilvl w:val="0"/>
          <w:numId w:val="1026"/>
        </w:numPr>
        <w:pStyle w:val="Compact"/>
      </w:pPr>
      <w:r>
        <w:t xml:space="preserve">completeness and integrity checks;</w:t>
      </w:r>
    </w:p>
    <w:p>
      <w:pPr>
        <w:numPr>
          <w:ilvl w:val="0"/>
          <w:numId w:val="1026"/>
        </w:numPr>
        <w:pStyle w:val="Compact"/>
      </w:pPr>
      <w:r>
        <w:t xml:space="preserve">access restrictions;</w:t>
      </w:r>
    </w:p>
    <w:p>
      <w:pPr>
        <w:numPr>
          <w:ilvl w:val="0"/>
          <w:numId w:val="1026"/>
        </w:numPr>
        <w:pStyle w:val="Compact"/>
      </w:pPr>
      <w:r>
        <w:t xml:space="preserve">retention period;</w:t>
      </w:r>
    </w:p>
    <w:p>
      <w:pPr>
        <w:numPr>
          <w:ilvl w:val="0"/>
          <w:numId w:val="1026"/>
        </w:numPr>
        <w:pStyle w:val="Compact"/>
      </w:pPr>
      <w:r>
        <w:t xml:space="preserve">reviewer and review date;</w:t>
      </w:r>
    </w:p>
    <w:p>
      <w:pPr>
        <w:numPr>
          <w:ilvl w:val="0"/>
          <w:numId w:val="1026"/>
        </w:numPr>
        <w:pStyle w:val="Compact"/>
      </w:pPr>
      <w:r>
        <w:t xml:space="preserve">known limitations.</w:t>
      </w:r>
    </w:p>
    <w:bookmarkEnd w:id="58"/>
    <w:bookmarkStart w:id="59" w:name="manage-shared-responsibility-models"/>
    <w:p>
      <w:pPr>
        <w:pStyle w:val="Heading2"/>
      </w:pPr>
      <w:r>
        <w:t xml:space="preserve">7. Manage shared-responsibility models</w:t>
      </w:r>
    </w:p>
    <w:p>
      <w:pPr>
        <w:pStyle w:val="FirstParagraph"/>
      </w:pPr>
      <w:r>
        <w:t xml:space="preserve">For cloud, managed services, and suppliers, distinguish:</w:t>
      </w:r>
    </w:p>
    <w:p>
      <w:pPr>
        <w:numPr>
          <w:ilvl w:val="0"/>
          <w:numId w:val="1027"/>
        </w:numPr>
        <w:pStyle w:val="Compact"/>
      </w:pPr>
      <w:r>
        <w:t xml:space="preserve">provider responsibility;</w:t>
      </w:r>
    </w:p>
    <w:p>
      <w:pPr>
        <w:numPr>
          <w:ilvl w:val="0"/>
          <w:numId w:val="1027"/>
        </w:numPr>
        <w:pStyle w:val="Compact"/>
      </w:pPr>
      <w:r>
        <w:t xml:space="preserve">customer responsibility;</w:t>
      </w:r>
    </w:p>
    <w:p>
      <w:pPr>
        <w:numPr>
          <w:ilvl w:val="0"/>
          <w:numId w:val="1027"/>
        </w:numPr>
        <w:pStyle w:val="Compact"/>
      </w:pPr>
      <w:r>
        <w:t xml:space="preserve">shared activity;</w:t>
      </w:r>
    </w:p>
    <w:p>
      <w:pPr>
        <w:numPr>
          <w:ilvl w:val="0"/>
          <w:numId w:val="1027"/>
        </w:numPr>
        <w:pStyle w:val="Compact"/>
      </w:pPr>
      <w:r>
        <w:t xml:space="preserve">inherited evidence;</w:t>
      </w:r>
    </w:p>
    <w:p>
      <w:pPr>
        <w:numPr>
          <w:ilvl w:val="0"/>
          <w:numId w:val="1027"/>
        </w:numPr>
        <w:pStyle w:val="Compact"/>
      </w:pPr>
      <w:r>
        <w:t xml:space="preserve">customer configuration or monitoring obligation;</w:t>
      </w:r>
    </w:p>
    <w:p>
      <w:pPr>
        <w:numPr>
          <w:ilvl w:val="0"/>
          <w:numId w:val="1027"/>
        </w:numPr>
        <w:pStyle w:val="Compact"/>
      </w:pPr>
      <w:r>
        <w:t xml:space="preserve">contractual assurance limitations.</w:t>
      </w:r>
    </w:p>
    <w:p>
      <w:pPr>
        <w:pStyle w:val="FirstParagraph"/>
      </w:pPr>
      <w:r>
        <w:t xml:space="preserve">A provider certification or report may support a requirement but rarely eliminates customer responsibilities.</w:t>
      </w:r>
    </w:p>
    <w:bookmarkEnd w:id="59"/>
    <w:bookmarkStart w:id="60" w:name="prevent-evidence-overclaiming"/>
    <w:p>
      <w:pPr>
        <w:pStyle w:val="Heading2"/>
      </w:pPr>
      <w:r>
        <w:t xml:space="preserve">8. Prevent evidence overclaiming</w:t>
      </w:r>
    </w:p>
    <w:p>
      <w:pPr>
        <w:pStyle w:val="FirstParagraph"/>
      </w:pPr>
      <w:r>
        <w:t xml:space="preserve">Do not mark a requirement satisfied merely because an evidence artifact exists. Confirm that the artifact is authentic, complete, relevant, within period, within scope, and connected to the actual control operation.</w:t>
      </w:r>
    </w:p>
    <w:bookmarkEnd w:id="60"/>
    <w:bookmarkStart w:id="61" w:name="link-findings-and-exceptions"/>
    <w:p>
      <w:pPr>
        <w:pStyle w:val="Heading2"/>
      </w:pPr>
      <w:r>
        <w:t xml:space="preserve">9. Link findings and exceptions</w:t>
      </w:r>
    </w:p>
    <w:p>
      <w:pPr>
        <w:pStyle w:val="FirstParagraph"/>
      </w:pPr>
      <w:r>
        <w:t xml:space="preserve">Where implementation or evidence is incomplete, link the mapping record to:</w:t>
      </w:r>
    </w:p>
    <w:p>
      <w:pPr>
        <w:numPr>
          <w:ilvl w:val="0"/>
          <w:numId w:val="1028"/>
        </w:numPr>
        <w:pStyle w:val="Compact"/>
      </w:pPr>
      <w:r>
        <w:t xml:space="preserve">gap register;</w:t>
      </w:r>
    </w:p>
    <w:p>
      <w:pPr>
        <w:numPr>
          <w:ilvl w:val="0"/>
          <w:numId w:val="1028"/>
        </w:numPr>
        <w:pStyle w:val="Compact"/>
      </w:pPr>
      <w:r>
        <w:t xml:space="preserve">exception or risk-acceptance record;</w:t>
      </w:r>
    </w:p>
    <w:p>
      <w:pPr>
        <w:numPr>
          <w:ilvl w:val="0"/>
          <w:numId w:val="1028"/>
        </w:numPr>
        <w:pStyle w:val="Compact"/>
      </w:pPr>
      <w:r>
        <w:t xml:space="preserve">remediation plan;</w:t>
      </w:r>
    </w:p>
    <w:p>
      <w:pPr>
        <w:numPr>
          <w:ilvl w:val="0"/>
          <w:numId w:val="1028"/>
        </w:numPr>
        <w:pStyle w:val="Compact"/>
      </w:pPr>
      <w:r>
        <w:t xml:space="preserve">owner and due date;</w:t>
      </w:r>
    </w:p>
    <w:p>
      <w:pPr>
        <w:numPr>
          <w:ilvl w:val="0"/>
          <w:numId w:val="1028"/>
        </w:numPr>
        <w:pStyle w:val="Compact"/>
      </w:pPr>
      <w:r>
        <w:t xml:space="preserve">interim safeguard;</w:t>
      </w:r>
    </w:p>
    <w:p>
      <w:pPr>
        <w:numPr>
          <w:ilvl w:val="0"/>
          <w:numId w:val="1028"/>
        </w:numPr>
        <w:pStyle w:val="Compact"/>
      </w:pPr>
      <w:r>
        <w:t xml:space="preserve">validation evidence;</w:t>
      </w:r>
    </w:p>
    <w:p>
      <w:pPr>
        <w:numPr>
          <w:ilvl w:val="0"/>
          <w:numId w:val="1028"/>
        </w:numPr>
        <w:pStyle w:val="Compact"/>
      </w:pPr>
      <w:r>
        <w:t xml:space="preserve">closure decision.</w:t>
      </w:r>
    </w:p>
    <w:bookmarkEnd w:id="61"/>
    <w:bookmarkStart w:id="62" w:name="reporting-language"/>
    <w:p>
      <w:pPr>
        <w:pStyle w:val="Heading2"/>
      </w:pPr>
      <w:r>
        <w:t xml:space="preserve">10. Reporting language</w:t>
      </w:r>
    </w:p>
    <w:p>
      <w:pPr>
        <w:pStyle w:val="FirstParagraph"/>
      </w:pPr>
      <w:r>
        <w:t xml:space="preserve">Use language such as:</w:t>
      </w:r>
    </w:p>
    <w:p>
      <w:pPr>
        <w:numPr>
          <w:ilvl w:val="0"/>
          <w:numId w:val="1029"/>
        </w:numPr>
        <w:pStyle w:val="Compact"/>
      </w:pPr>
      <w:r>
        <w:t xml:space="preserve">“</w:t>
      </w:r>
      <w:r>
        <w:t xml:space="preserve">the control is intended to support…</w:t>
      </w:r>
      <w:r>
        <w:t xml:space="preserve">”</w:t>
      </w:r>
      <w:r>
        <w:t xml:space="preserve">;</w:t>
      </w:r>
    </w:p>
    <w:p>
      <w:pPr>
        <w:numPr>
          <w:ilvl w:val="0"/>
          <w:numId w:val="1029"/>
        </w:numPr>
        <w:pStyle w:val="Compact"/>
      </w:pPr>
      <w:r>
        <w:t xml:space="preserve">“</w:t>
      </w:r>
      <w:r>
        <w:t xml:space="preserve">the available evidence indicates…</w:t>
      </w:r>
      <w:r>
        <w:t xml:space="preserve">”</w:t>
      </w:r>
      <w:r>
        <w:t xml:space="preserve">;</w:t>
      </w:r>
    </w:p>
    <w:p>
      <w:pPr>
        <w:numPr>
          <w:ilvl w:val="0"/>
          <w:numId w:val="1029"/>
        </w:numPr>
        <w:pStyle w:val="Compact"/>
      </w:pPr>
      <w:r>
        <w:t xml:space="preserve">“</w:t>
      </w:r>
      <w:r>
        <w:t xml:space="preserve">coverage is partial because…</w:t>
      </w:r>
      <w:r>
        <w:t xml:space="preserve">”</w:t>
      </w:r>
      <w:r>
        <w:t xml:space="preserve">;</w:t>
      </w:r>
    </w:p>
    <w:p>
      <w:pPr>
        <w:numPr>
          <w:ilvl w:val="0"/>
          <w:numId w:val="1029"/>
        </w:numPr>
        <w:pStyle w:val="Compact"/>
      </w:pPr>
      <w:r>
        <w:t xml:space="preserve">“</w:t>
      </w:r>
      <w:r>
        <w:t xml:space="preserve">additional validation is required…</w:t>
      </w:r>
      <w:r>
        <w:t xml:space="preserve">”</w:t>
      </w:r>
      <w:r>
        <w:t xml:space="preserve">;</w:t>
      </w:r>
    </w:p>
    <w:p>
      <w:pPr>
        <w:numPr>
          <w:ilvl w:val="0"/>
          <w:numId w:val="1029"/>
        </w:numPr>
        <w:pStyle w:val="Compact"/>
      </w:pPr>
      <w:r>
        <w:t xml:space="preserve">“</w:t>
      </w:r>
      <w:r>
        <w:t xml:space="preserve">the mapping does not establish compliance.</w:t>
      </w:r>
      <w:r>
        <w:t xml:space="preserve">”</w:t>
      </w:r>
    </w:p>
    <w:p>
      <w:pPr>
        <w:pStyle w:val="FirstParagraph"/>
      </w:pPr>
      <w:r>
        <w:t xml:space="preserve">Avoid categorical claims unsupported by assessment evidence.</w:t>
      </w:r>
    </w:p>
    <w:bookmarkEnd w:id="62"/>
    <w:bookmarkEnd w:id="63"/>
    <w:bookmarkStart w:id="72" w:name="gap-overlap-conflict-and-prioritization"/>
    <w:p>
      <w:pPr>
        <w:pStyle w:val="Heading1"/>
      </w:pPr>
      <w:r>
        <w:t xml:space="preserve">Gap, Overlap, Conflict, and Prioritization</w:t>
      </w:r>
    </w:p>
    <w:bookmarkStart w:id="64" w:name="treat-mapping-as-analysis-not-decoration"/>
    <w:p>
      <w:pPr>
        <w:pStyle w:val="Heading2"/>
      </w:pPr>
      <w:r>
        <w:t xml:space="preserve">1. Treat mapping as analysis, not decoration</w:t>
      </w:r>
    </w:p>
    <w:p>
      <w:pPr>
        <w:pStyle w:val="FirstParagraph"/>
      </w:pPr>
      <w:r>
        <w:t xml:space="preserve">The value of a crosswalk is not the number of colored cells. It is the ability to expose where obligations are covered, duplicated, unsupported, ambiguous, or in conflict.</w:t>
      </w:r>
    </w:p>
    <w:bookmarkEnd w:id="64"/>
    <w:bookmarkStart w:id="65" w:name="identify-gap-types"/>
    <w:p>
      <w:pPr>
        <w:pStyle w:val="Heading2"/>
      </w:pPr>
      <w:r>
        <w:t xml:space="preserve">2. Identify gap types</w:t>
      </w:r>
    </w:p>
    <w:p>
      <w:pPr>
        <w:pStyle w:val="FirstParagraph"/>
      </w:pPr>
      <w:r>
        <w:t xml:space="preserve">Classify gaps so remediation can be assigned correctly:</w:t>
      </w:r>
    </w:p>
    <w:p>
      <w:pPr>
        <w:numPr>
          <w:ilvl w:val="0"/>
          <w:numId w:val="1030"/>
        </w:numPr>
        <w:pStyle w:val="Compact"/>
      </w:pPr>
      <w:r>
        <w:rPr>
          <w:bCs/>
          <w:b/>
        </w:rPr>
        <w:t xml:space="preserve">requirement gap</w:t>
      </w:r>
      <w:r>
        <w:t xml:space="preserve"> </w:t>
      </w:r>
      <w:r>
        <w:t xml:space="preserve">— no organization control addresses a source objective;</w:t>
      </w:r>
    </w:p>
    <w:p>
      <w:pPr>
        <w:numPr>
          <w:ilvl w:val="0"/>
          <w:numId w:val="1030"/>
        </w:numPr>
        <w:pStyle w:val="Compact"/>
      </w:pPr>
      <w:r>
        <w:rPr>
          <w:bCs/>
          <w:b/>
        </w:rPr>
        <w:t xml:space="preserve">scope gap</w:t>
      </w:r>
      <w:r>
        <w:t xml:space="preserve"> </w:t>
      </w:r>
      <w:r>
        <w:t xml:space="preserve">— a control exists but does not cover all required systems, data, entities, or populations;</w:t>
      </w:r>
    </w:p>
    <w:p>
      <w:pPr>
        <w:numPr>
          <w:ilvl w:val="0"/>
          <w:numId w:val="1030"/>
        </w:numPr>
        <w:pStyle w:val="Compact"/>
      </w:pPr>
      <w:r>
        <w:rPr>
          <w:bCs/>
          <w:b/>
        </w:rPr>
        <w:t xml:space="preserve">design gap</w:t>
      </w:r>
      <w:r>
        <w:t xml:space="preserve"> </w:t>
      </w:r>
      <w:r>
        <w:t xml:space="preserve">— the control statement or procedure omits a material condition;</w:t>
      </w:r>
    </w:p>
    <w:p>
      <w:pPr>
        <w:numPr>
          <w:ilvl w:val="0"/>
          <w:numId w:val="1030"/>
        </w:numPr>
        <w:pStyle w:val="Compact"/>
      </w:pPr>
      <w:r>
        <w:rPr>
          <w:bCs/>
          <w:b/>
        </w:rPr>
        <w:t xml:space="preserve">implementation gap</w:t>
      </w:r>
      <w:r>
        <w:t xml:space="preserve"> </w:t>
      </w:r>
      <w:r>
        <w:t xml:space="preserve">— the designed control is not deployed or consistently performed;</w:t>
      </w:r>
    </w:p>
    <w:p>
      <w:pPr>
        <w:numPr>
          <w:ilvl w:val="0"/>
          <w:numId w:val="1030"/>
        </w:numPr>
        <w:pStyle w:val="Compact"/>
      </w:pPr>
      <w:r>
        <w:rPr>
          <w:bCs/>
          <w:b/>
        </w:rPr>
        <w:t xml:space="preserve">evidence gap</w:t>
      </w:r>
      <w:r>
        <w:t xml:space="preserve"> </w:t>
      </w:r>
      <w:r>
        <w:t xml:space="preserve">— operation may exist, but sufficient evidence is unavailable;</w:t>
      </w:r>
    </w:p>
    <w:p>
      <w:pPr>
        <w:numPr>
          <w:ilvl w:val="0"/>
          <w:numId w:val="1030"/>
        </w:numPr>
        <w:pStyle w:val="Compact"/>
      </w:pPr>
      <w:r>
        <w:rPr>
          <w:bCs/>
          <w:b/>
        </w:rPr>
        <w:t xml:space="preserve">assurance gap</w:t>
      </w:r>
      <w:r>
        <w:t xml:space="preserve"> </w:t>
      </w:r>
      <w:r>
        <w:t xml:space="preserve">— required independence, testing, sampling, or reporting is absent;</w:t>
      </w:r>
    </w:p>
    <w:p>
      <w:pPr>
        <w:numPr>
          <w:ilvl w:val="0"/>
          <w:numId w:val="1030"/>
        </w:numPr>
        <w:pStyle w:val="Compact"/>
      </w:pPr>
      <w:r>
        <w:rPr>
          <w:bCs/>
          <w:b/>
        </w:rPr>
        <w:t xml:space="preserve">ownership gap</w:t>
      </w:r>
      <w:r>
        <w:t xml:space="preserve"> </w:t>
      </w:r>
      <w:r>
        <w:t xml:space="preserve">— accountability is unclear;</w:t>
      </w:r>
    </w:p>
    <w:p>
      <w:pPr>
        <w:numPr>
          <w:ilvl w:val="0"/>
          <w:numId w:val="1030"/>
        </w:numPr>
        <w:pStyle w:val="Compact"/>
      </w:pPr>
      <w:r>
        <w:rPr>
          <w:bCs/>
          <w:b/>
        </w:rPr>
        <w:t xml:space="preserve">version gap</w:t>
      </w:r>
      <w:r>
        <w:t xml:space="preserve"> </w:t>
      </w:r>
      <w:r>
        <w:t xml:space="preserve">— the mapping relies on superseded sources or changed identifiers;</w:t>
      </w:r>
    </w:p>
    <w:p>
      <w:pPr>
        <w:numPr>
          <w:ilvl w:val="0"/>
          <w:numId w:val="1030"/>
        </w:numPr>
        <w:pStyle w:val="Compact"/>
      </w:pPr>
      <w:r>
        <w:rPr>
          <w:bCs/>
          <w:b/>
        </w:rPr>
        <w:t xml:space="preserve">licensing gap</w:t>
      </w:r>
      <w:r>
        <w:t xml:space="preserve"> </w:t>
      </w:r>
      <w:r>
        <w:t xml:space="preserve">— source use or reproduction rights are unresolved.</w:t>
      </w:r>
    </w:p>
    <w:bookmarkEnd w:id="65"/>
    <w:bookmarkStart w:id="66" w:name="identify-overlaps"/>
    <w:p>
      <w:pPr>
        <w:pStyle w:val="Heading2"/>
      </w:pPr>
      <w:r>
        <w:t xml:space="preserve">3. Identify overlaps</w:t>
      </w:r>
    </w:p>
    <w:p>
      <w:pPr>
        <w:pStyle w:val="FirstParagraph"/>
      </w:pPr>
      <w:r>
        <w:t xml:space="preserve">Overlaps may indicate efficient reuse or unnecessary duplication. Record whether overlap is:</w:t>
      </w:r>
    </w:p>
    <w:p>
      <w:pPr>
        <w:numPr>
          <w:ilvl w:val="0"/>
          <w:numId w:val="1031"/>
        </w:numPr>
        <w:pStyle w:val="Compact"/>
      </w:pPr>
      <w:r>
        <w:t xml:space="preserve">intentional common-control reuse;</w:t>
      </w:r>
    </w:p>
    <w:p>
      <w:pPr>
        <w:numPr>
          <w:ilvl w:val="0"/>
          <w:numId w:val="1031"/>
        </w:numPr>
        <w:pStyle w:val="Compact"/>
      </w:pPr>
      <w:r>
        <w:t xml:space="preserve">complementary layered protection;</w:t>
      </w:r>
    </w:p>
    <w:p>
      <w:pPr>
        <w:numPr>
          <w:ilvl w:val="0"/>
          <w:numId w:val="1031"/>
        </w:numPr>
        <w:pStyle w:val="Compact"/>
      </w:pPr>
      <w:r>
        <w:t xml:space="preserve">duplicate control activity;</w:t>
      </w:r>
    </w:p>
    <w:p>
      <w:pPr>
        <w:numPr>
          <w:ilvl w:val="0"/>
          <w:numId w:val="1031"/>
        </w:numPr>
        <w:pStyle w:val="Compact"/>
      </w:pPr>
      <w:r>
        <w:t xml:space="preserve">duplicate evidence collection;</w:t>
      </w:r>
    </w:p>
    <w:p>
      <w:pPr>
        <w:numPr>
          <w:ilvl w:val="0"/>
          <w:numId w:val="1031"/>
        </w:numPr>
        <w:pStyle w:val="Compact"/>
      </w:pPr>
      <w:r>
        <w:t xml:space="preserve">duplicate assessment effort;</w:t>
      </w:r>
    </w:p>
    <w:p>
      <w:pPr>
        <w:numPr>
          <w:ilvl w:val="0"/>
          <w:numId w:val="1031"/>
        </w:numPr>
        <w:pStyle w:val="Compact"/>
      </w:pPr>
      <w:r>
        <w:t xml:space="preserve">conflicting ownership;</w:t>
      </w:r>
    </w:p>
    <w:p>
      <w:pPr>
        <w:numPr>
          <w:ilvl w:val="0"/>
          <w:numId w:val="1031"/>
        </w:numPr>
        <w:pStyle w:val="Compact"/>
      </w:pPr>
      <w:r>
        <w:t xml:space="preserve">inconsistent implementation of the same objective.</w:t>
      </w:r>
    </w:p>
    <w:p>
      <w:pPr>
        <w:pStyle w:val="FirstParagraph"/>
      </w:pPr>
      <w:r>
        <w:t xml:space="preserve">Do not remove overlapping controls solely to simplify the map. Defense in depth, segregation, jurisdictional scope, or independent assurance may justify overlap.</w:t>
      </w:r>
    </w:p>
    <w:bookmarkEnd w:id="66"/>
    <w:bookmarkStart w:id="67" w:name="analyze-conflicts"/>
    <w:p>
      <w:pPr>
        <w:pStyle w:val="Heading2"/>
      </w:pPr>
      <w:r>
        <w:t xml:space="preserve">4. Analyze conflicts</w:t>
      </w:r>
    </w:p>
    <w:p>
      <w:pPr>
        <w:pStyle w:val="FirstParagraph"/>
      </w:pPr>
      <w:r>
        <w:t xml:space="preserve">A conflict record should identify:</w:t>
      </w:r>
    </w:p>
    <w:p>
      <w:pPr>
        <w:numPr>
          <w:ilvl w:val="0"/>
          <w:numId w:val="1032"/>
        </w:numPr>
        <w:pStyle w:val="Compact"/>
      </w:pPr>
      <w:r>
        <w:t xml:space="preserve">the competing source requirements;</w:t>
      </w:r>
    </w:p>
    <w:p>
      <w:pPr>
        <w:numPr>
          <w:ilvl w:val="0"/>
          <w:numId w:val="1032"/>
        </w:numPr>
        <w:pStyle w:val="Compact"/>
      </w:pPr>
      <w:r>
        <w:t xml:space="preserve">affected scope and jurisdiction;</w:t>
      </w:r>
    </w:p>
    <w:p>
      <w:pPr>
        <w:numPr>
          <w:ilvl w:val="0"/>
          <w:numId w:val="1032"/>
        </w:numPr>
        <w:pStyle w:val="Compact"/>
      </w:pPr>
      <w:r>
        <w:t xml:space="preserve">type of conflict;</w:t>
      </w:r>
    </w:p>
    <w:p>
      <w:pPr>
        <w:numPr>
          <w:ilvl w:val="0"/>
          <w:numId w:val="1032"/>
        </w:numPr>
        <w:pStyle w:val="Compact"/>
      </w:pPr>
      <w:r>
        <w:t xml:space="preserve">strictest feasible interpretation;</w:t>
      </w:r>
    </w:p>
    <w:p>
      <w:pPr>
        <w:numPr>
          <w:ilvl w:val="0"/>
          <w:numId w:val="1032"/>
        </w:numPr>
        <w:pStyle w:val="Compact"/>
      </w:pPr>
      <w:r>
        <w:t xml:space="preserve">qualified decision authority;</w:t>
      </w:r>
    </w:p>
    <w:p>
      <w:pPr>
        <w:numPr>
          <w:ilvl w:val="0"/>
          <w:numId w:val="1032"/>
        </w:numPr>
        <w:pStyle w:val="Compact"/>
      </w:pPr>
      <w:r>
        <w:t xml:space="preserve">legal or contractual review needed;</w:t>
      </w:r>
    </w:p>
    <w:p>
      <w:pPr>
        <w:numPr>
          <w:ilvl w:val="0"/>
          <w:numId w:val="1032"/>
        </w:numPr>
        <w:pStyle w:val="Compact"/>
      </w:pPr>
      <w:r>
        <w:t xml:space="preserve">interim safeguard;</w:t>
      </w:r>
    </w:p>
    <w:p>
      <w:pPr>
        <w:numPr>
          <w:ilvl w:val="0"/>
          <w:numId w:val="1032"/>
        </w:numPr>
        <w:pStyle w:val="Compact"/>
      </w:pPr>
      <w:r>
        <w:t xml:space="preserve">decision and rationale;</w:t>
      </w:r>
    </w:p>
    <w:p>
      <w:pPr>
        <w:numPr>
          <w:ilvl w:val="0"/>
          <w:numId w:val="1032"/>
        </w:numPr>
        <w:pStyle w:val="Compact"/>
      </w:pPr>
      <w:r>
        <w:t xml:space="preserve">review date and trigger.</w:t>
      </w:r>
    </w:p>
    <w:bookmarkEnd w:id="67"/>
    <w:bookmarkStart w:id="68" w:name="prioritize-remediation"/>
    <w:p>
      <w:pPr>
        <w:pStyle w:val="Heading2"/>
      </w:pPr>
      <w:r>
        <w:t xml:space="preserve">5. Prioritize remediation</w:t>
      </w:r>
    </w:p>
    <w:p>
      <w:pPr>
        <w:pStyle w:val="FirstParagraph"/>
      </w:pPr>
      <w:r>
        <w:t xml:space="preserve">Prioritization should consider:</w:t>
      </w:r>
    </w:p>
    <w:p>
      <w:pPr>
        <w:numPr>
          <w:ilvl w:val="0"/>
          <w:numId w:val="1033"/>
        </w:numPr>
        <w:pStyle w:val="Compact"/>
      </w:pPr>
      <w:r>
        <w:t xml:space="preserve">legal or contractual mandate;</w:t>
      </w:r>
    </w:p>
    <w:p>
      <w:pPr>
        <w:numPr>
          <w:ilvl w:val="0"/>
          <w:numId w:val="1033"/>
        </w:numPr>
        <w:pStyle w:val="Compact"/>
      </w:pPr>
      <w:r>
        <w:t xml:space="preserve">affected data and critical service;</w:t>
      </w:r>
    </w:p>
    <w:p>
      <w:pPr>
        <w:numPr>
          <w:ilvl w:val="0"/>
          <w:numId w:val="1033"/>
        </w:numPr>
        <w:pStyle w:val="Compact"/>
      </w:pPr>
      <w:r>
        <w:t xml:space="preserve">threat and vulnerability exposure;</w:t>
      </w:r>
    </w:p>
    <w:p>
      <w:pPr>
        <w:numPr>
          <w:ilvl w:val="0"/>
          <w:numId w:val="1033"/>
        </w:numPr>
        <w:pStyle w:val="Compact"/>
      </w:pPr>
      <w:r>
        <w:t xml:space="preserve">business impact;</w:t>
      </w:r>
    </w:p>
    <w:p>
      <w:pPr>
        <w:numPr>
          <w:ilvl w:val="0"/>
          <w:numId w:val="1033"/>
        </w:numPr>
        <w:pStyle w:val="Compact"/>
      </w:pPr>
      <w:r>
        <w:t xml:space="preserve">breadth of framework coverage;</w:t>
      </w:r>
    </w:p>
    <w:p>
      <w:pPr>
        <w:numPr>
          <w:ilvl w:val="0"/>
          <w:numId w:val="1033"/>
        </w:numPr>
        <w:pStyle w:val="Compact"/>
      </w:pPr>
      <w:r>
        <w:t xml:space="preserve">assessment or renewal date;</w:t>
      </w:r>
    </w:p>
    <w:p>
      <w:pPr>
        <w:numPr>
          <w:ilvl w:val="0"/>
          <w:numId w:val="1033"/>
        </w:numPr>
        <w:pStyle w:val="Compact"/>
      </w:pPr>
      <w:r>
        <w:t xml:space="preserve">control dependency;</w:t>
      </w:r>
    </w:p>
    <w:p>
      <w:pPr>
        <w:numPr>
          <w:ilvl w:val="0"/>
          <w:numId w:val="1033"/>
        </w:numPr>
        <w:pStyle w:val="Compact"/>
      </w:pPr>
      <w:r>
        <w:t xml:space="preserve">evidence availability;</w:t>
      </w:r>
    </w:p>
    <w:p>
      <w:pPr>
        <w:numPr>
          <w:ilvl w:val="0"/>
          <w:numId w:val="1033"/>
        </w:numPr>
        <w:pStyle w:val="Compact"/>
      </w:pPr>
      <w:r>
        <w:t xml:space="preserve">effort and sequencing;</w:t>
      </w:r>
    </w:p>
    <w:p>
      <w:pPr>
        <w:numPr>
          <w:ilvl w:val="0"/>
          <w:numId w:val="1033"/>
        </w:numPr>
        <w:pStyle w:val="Compact"/>
      </w:pPr>
      <w:r>
        <w:t xml:space="preserve">interim risk treatment.</w:t>
      </w:r>
    </w:p>
    <w:p>
      <w:pPr>
        <w:pStyle w:val="FirstParagraph"/>
      </w:pPr>
      <w:r>
        <w:t xml:space="preserve">A gap that affects many mapped requirements may be a high-leverage remediation, but breadth alone does not override legal urgency or risk severity.</w:t>
      </w:r>
    </w:p>
    <w:bookmarkEnd w:id="68"/>
    <w:bookmarkStart w:id="69" w:name="avoid-double-counting"/>
    <w:p>
      <w:pPr>
        <w:pStyle w:val="Heading2"/>
      </w:pPr>
      <w:r>
        <w:t xml:space="preserve">6. Avoid double-counting</w:t>
      </w:r>
    </w:p>
    <w:p>
      <w:pPr>
        <w:pStyle w:val="FirstParagraph"/>
      </w:pPr>
      <w:r>
        <w:t xml:space="preserve">One underlying control gap may create many source-level gaps. Preserve each source relationship for traceability, but link them to a common root cause and remediation record. This prevents inflated issue counts while retaining requirement visibility.</w:t>
      </w:r>
    </w:p>
    <w:bookmarkEnd w:id="69"/>
    <w:bookmarkStart w:id="70" w:name="report-residual-uncertainty"/>
    <w:p>
      <w:pPr>
        <w:pStyle w:val="Heading2"/>
      </w:pPr>
      <w:r>
        <w:t xml:space="preserve">7. Report residual uncertainty</w:t>
      </w:r>
    </w:p>
    <w:p>
      <w:pPr>
        <w:pStyle w:val="FirstParagraph"/>
      </w:pPr>
      <w:r>
        <w:t xml:space="preserve">Report mapping uncertainty separately from implementation gaps. A low-confidence relationship may require source clarification even when the control is operating effectively.</w:t>
      </w:r>
    </w:p>
    <w:bookmarkEnd w:id="70"/>
    <w:bookmarkStart w:id="71" w:name="executive-reporting"/>
    <w:p>
      <w:pPr>
        <w:pStyle w:val="Heading2"/>
      </w:pPr>
      <w:r>
        <w:t xml:space="preserve">8. Executive reporting</w:t>
      </w:r>
    </w:p>
    <w:p>
      <w:pPr>
        <w:pStyle w:val="FirstParagraph"/>
      </w:pPr>
      <w:r>
        <w:t xml:space="preserve">Useful reporting includes:</w:t>
      </w:r>
    </w:p>
    <w:p>
      <w:pPr>
        <w:numPr>
          <w:ilvl w:val="0"/>
          <w:numId w:val="1034"/>
        </w:numPr>
        <w:pStyle w:val="Compact"/>
      </w:pPr>
      <w:r>
        <w:t xml:space="preserve">approved mappings by relationship and confidence;</w:t>
      </w:r>
    </w:p>
    <w:p>
      <w:pPr>
        <w:numPr>
          <w:ilvl w:val="0"/>
          <w:numId w:val="1034"/>
        </w:numPr>
        <w:pStyle w:val="Compact"/>
      </w:pPr>
      <w:r>
        <w:t xml:space="preserve">requirements with no mapping;</w:t>
      </w:r>
    </w:p>
    <w:p>
      <w:pPr>
        <w:numPr>
          <w:ilvl w:val="0"/>
          <w:numId w:val="1034"/>
        </w:numPr>
        <w:pStyle w:val="Compact"/>
      </w:pPr>
      <w:r>
        <w:t xml:space="preserve">partial mappings with material residual conditions;</w:t>
      </w:r>
    </w:p>
    <w:p>
      <w:pPr>
        <w:numPr>
          <w:ilvl w:val="0"/>
          <w:numId w:val="1034"/>
        </w:numPr>
        <w:pStyle w:val="Compact"/>
      </w:pPr>
      <w:r>
        <w:t xml:space="preserve">control gaps grouped by root cause;</w:t>
      </w:r>
    </w:p>
    <w:p>
      <w:pPr>
        <w:numPr>
          <w:ilvl w:val="0"/>
          <w:numId w:val="1034"/>
        </w:numPr>
        <w:pStyle w:val="Compact"/>
      </w:pPr>
      <w:r>
        <w:t xml:space="preserve">duplicated activities or evidence requests;</w:t>
      </w:r>
    </w:p>
    <w:p>
      <w:pPr>
        <w:numPr>
          <w:ilvl w:val="0"/>
          <w:numId w:val="1034"/>
        </w:numPr>
        <w:pStyle w:val="Compact"/>
      </w:pPr>
      <w:r>
        <w:t xml:space="preserve">unresolved conflicts;</w:t>
      </w:r>
    </w:p>
    <w:p>
      <w:pPr>
        <w:numPr>
          <w:ilvl w:val="0"/>
          <w:numId w:val="1034"/>
        </w:numPr>
        <w:pStyle w:val="Compact"/>
      </w:pPr>
      <w:r>
        <w:t xml:space="preserve">mappings due for review;</w:t>
      </w:r>
    </w:p>
    <w:p>
      <w:pPr>
        <w:numPr>
          <w:ilvl w:val="0"/>
          <w:numId w:val="1034"/>
        </w:numPr>
        <w:pStyle w:val="Compact"/>
      </w:pPr>
      <w:r>
        <w:t xml:space="preserve">changes caused by source-version updates;</w:t>
      </w:r>
    </w:p>
    <w:p>
      <w:pPr>
        <w:numPr>
          <w:ilvl w:val="0"/>
          <w:numId w:val="1034"/>
        </w:numPr>
        <w:pStyle w:val="Compact"/>
      </w:pPr>
      <w:r>
        <w:t xml:space="preserve">remediation status and overdue decisions.</w:t>
      </w:r>
    </w:p>
    <w:p>
      <w:pPr>
        <w:pStyle w:val="FirstParagraph"/>
      </w:pPr>
      <w:r>
        <w:t xml:space="preserve">Do not present a percentage of mapped requirements as a compliance percentage.</w:t>
      </w:r>
    </w:p>
    <w:bookmarkEnd w:id="71"/>
    <w:bookmarkEnd w:id="72"/>
    <w:bookmarkStart w:id="83" w:name="review-change-control-and-retirement"/>
    <w:p>
      <w:pPr>
        <w:pStyle w:val="Heading1"/>
      </w:pPr>
      <w:r>
        <w:t xml:space="preserve">Review, Change Control, and Retirement</w:t>
      </w:r>
    </w:p>
    <w:bookmarkStart w:id="73" w:name="treat-mappings-as-controlled-records"/>
    <w:p>
      <w:pPr>
        <w:pStyle w:val="Heading2"/>
      </w:pPr>
      <w:r>
        <w:t xml:space="preserve">1. Treat mappings as controlled records</w:t>
      </w:r>
    </w:p>
    <w:p>
      <w:pPr>
        <w:pStyle w:val="FirstParagraph"/>
      </w:pPr>
      <w:r>
        <w:t xml:space="preserve">A mapping set is a versioned analytical product. It should have an owner, approved methodology, release identifier, effective date, source manifest, reviewer record, change log, and retirement process.</w:t>
      </w:r>
    </w:p>
    <w:bookmarkEnd w:id="73"/>
    <w:bookmarkStart w:id="74" w:name="establish-review-triggers"/>
    <w:p>
      <w:pPr>
        <w:pStyle w:val="Heading2"/>
      </w:pPr>
      <w:r>
        <w:t xml:space="preserve">2. Establish review triggers</w:t>
      </w:r>
    </w:p>
    <w:p>
      <w:pPr>
        <w:pStyle w:val="FirstParagraph"/>
      </w:pPr>
      <w:r>
        <w:t xml:space="preserve">Review mappings when:</w:t>
      </w:r>
    </w:p>
    <w:p>
      <w:pPr>
        <w:numPr>
          <w:ilvl w:val="0"/>
          <w:numId w:val="1035"/>
        </w:numPr>
        <w:pStyle w:val="Compact"/>
      </w:pPr>
      <w:r>
        <w:t xml:space="preserve">either source framework or regulation changes;</w:t>
      </w:r>
    </w:p>
    <w:p>
      <w:pPr>
        <w:numPr>
          <w:ilvl w:val="0"/>
          <w:numId w:val="1035"/>
        </w:numPr>
        <w:pStyle w:val="Compact"/>
      </w:pPr>
      <w:r>
        <w:t xml:space="preserve">an official interpretation, erratum, or amendment is issued;</w:t>
      </w:r>
    </w:p>
    <w:p>
      <w:pPr>
        <w:numPr>
          <w:ilvl w:val="0"/>
          <w:numId w:val="1035"/>
        </w:numPr>
        <w:pStyle w:val="Compact"/>
      </w:pPr>
      <w:r>
        <w:t xml:space="preserve">source identifiers or control structures change;</w:t>
      </w:r>
    </w:p>
    <w:p>
      <w:pPr>
        <w:numPr>
          <w:ilvl w:val="0"/>
          <w:numId w:val="1035"/>
        </w:numPr>
        <w:pStyle w:val="Compact"/>
      </w:pPr>
      <w:r>
        <w:t xml:space="preserve">the organization’s control design changes;</w:t>
      </w:r>
    </w:p>
    <w:p>
      <w:pPr>
        <w:numPr>
          <w:ilvl w:val="0"/>
          <w:numId w:val="1035"/>
        </w:numPr>
        <w:pStyle w:val="Compact"/>
      </w:pPr>
      <w:r>
        <w:t xml:space="preserve">system, service, data, entity, or jurisdiction scope changes;</w:t>
      </w:r>
    </w:p>
    <w:p>
      <w:pPr>
        <w:numPr>
          <w:ilvl w:val="0"/>
          <w:numId w:val="1035"/>
        </w:numPr>
        <w:pStyle w:val="Compact"/>
      </w:pPr>
      <w:r>
        <w:t xml:space="preserve">supplier or shared-responsibility arrangements change;</w:t>
      </w:r>
    </w:p>
    <w:p>
      <w:pPr>
        <w:numPr>
          <w:ilvl w:val="0"/>
          <w:numId w:val="1035"/>
        </w:numPr>
        <w:pStyle w:val="Compact"/>
      </w:pPr>
      <w:r>
        <w:t xml:space="preserve">audit findings challenge a relationship;</w:t>
      </w:r>
    </w:p>
    <w:p>
      <w:pPr>
        <w:numPr>
          <w:ilvl w:val="0"/>
          <w:numId w:val="1035"/>
        </w:numPr>
        <w:pStyle w:val="Compact"/>
      </w:pPr>
      <w:r>
        <w:t xml:space="preserve">evidence demonstrates that an assumed control does not operate as expected;</w:t>
      </w:r>
    </w:p>
    <w:p>
      <w:pPr>
        <w:numPr>
          <w:ilvl w:val="0"/>
          <w:numId w:val="1035"/>
        </w:numPr>
        <w:pStyle w:val="Compact"/>
      </w:pPr>
      <w:r>
        <w:t xml:space="preserve">licensing or source-access conditions change;</w:t>
      </w:r>
    </w:p>
    <w:p>
      <w:pPr>
        <w:numPr>
          <w:ilvl w:val="0"/>
          <w:numId w:val="1035"/>
        </w:numPr>
        <w:pStyle w:val="Compact"/>
      </w:pPr>
      <w:r>
        <w:t xml:space="preserve">the intended use of the mapping changes.</w:t>
      </w:r>
    </w:p>
    <w:p>
      <w:pPr>
        <w:pStyle w:val="FirstParagraph"/>
      </w:pPr>
      <w:r>
        <w:t xml:space="preserve">Also assign a periodic review date even when no event occurs.</w:t>
      </w:r>
    </w:p>
    <w:bookmarkEnd w:id="74"/>
    <w:bookmarkStart w:id="75" w:name="perform-impact-analysis"/>
    <w:p>
      <w:pPr>
        <w:pStyle w:val="Heading2"/>
      </w:pPr>
      <w:r>
        <w:t xml:space="preserve">3. Perform impact analysis</w:t>
      </w:r>
    </w:p>
    <w:p>
      <w:pPr>
        <w:pStyle w:val="FirstParagraph"/>
      </w:pPr>
      <w:r>
        <w:t xml:space="preserve">For each change, identify:</w:t>
      </w:r>
    </w:p>
    <w:p>
      <w:pPr>
        <w:numPr>
          <w:ilvl w:val="0"/>
          <w:numId w:val="1036"/>
        </w:numPr>
        <w:pStyle w:val="Compact"/>
      </w:pPr>
      <w:r>
        <w:t xml:space="preserve">affected mapping sets and rows;</w:t>
      </w:r>
    </w:p>
    <w:p>
      <w:pPr>
        <w:numPr>
          <w:ilvl w:val="0"/>
          <w:numId w:val="1036"/>
        </w:numPr>
        <w:pStyle w:val="Compact"/>
      </w:pPr>
      <w:r>
        <w:t xml:space="preserve">changed source meaning or identifier;</w:t>
      </w:r>
    </w:p>
    <w:p>
      <w:pPr>
        <w:numPr>
          <w:ilvl w:val="0"/>
          <w:numId w:val="1036"/>
        </w:numPr>
        <w:pStyle w:val="Compact"/>
      </w:pPr>
      <w:r>
        <w:t xml:space="preserve">affected organization controls;</w:t>
      </w:r>
    </w:p>
    <w:p>
      <w:pPr>
        <w:numPr>
          <w:ilvl w:val="0"/>
          <w:numId w:val="1036"/>
        </w:numPr>
        <w:pStyle w:val="Compact"/>
      </w:pPr>
      <w:r>
        <w:t xml:space="preserve">impacted evidence and tests;</w:t>
      </w:r>
    </w:p>
    <w:p>
      <w:pPr>
        <w:numPr>
          <w:ilvl w:val="0"/>
          <w:numId w:val="1036"/>
        </w:numPr>
        <w:pStyle w:val="Compact"/>
      </w:pPr>
      <w:r>
        <w:t xml:space="preserve">gaps created or closed;</w:t>
      </w:r>
    </w:p>
    <w:p>
      <w:pPr>
        <w:numPr>
          <w:ilvl w:val="0"/>
          <w:numId w:val="1036"/>
        </w:numPr>
        <w:pStyle w:val="Compact"/>
      </w:pPr>
      <w:r>
        <w:t xml:space="preserve">reports, dashboards, policies, and audit workpapers that depend on the mapping;</w:t>
      </w:r>
    </w:p>
    <w:p>
      <w:pPr>
        <w:numPr>
          <w:ilvl w:val="0"/>
          <w:numId w:val="1036"/>
        </w:numPr>
        <w:pStyle w:val="Compact"/>
      </w:pPr>
      <w:r>
        <w:t xml:space="preserve">users who must be notified;</w:t>
      </w:r>
    </w:p>
    <w:p>
      <w:pPr>
        <w:numPr>
          <w:ilvl w:val="0"/>
          <w:numId w:val="1036"/>
        </w:numPr>
        <w:pStyle w:val="Compact"/>
      </w:pPr>
      <w:r>
        <w:t xml:space="preserve">whether prior conclusions remain valid.</w:t>
      </w:r>
    </w:p>
    <w:bookmarkEnd w:id="75"/>
    <w:bookmarkStart w:id="76" w:name="version-mapping-sets"/>
    <w:p>
      <w:pPr>
        <w:pStyle w:val="Heading2"/>
      </w:pPr>
      <w:r>
        <w:t xml:space="preserve">4. Version mapping sets</w:t>
      </w:r>
    </w:p>
    <w:p>
      <w:pPr>
        <w:pStyle w:val="FirstParagraph"/>
      </w:pPr>
      <w:r>
        <w:t xml:space="preserve">Use a controlled version scheme. A major version may reflect methodology or source-structure changes; a minor version may reflect approved additions or corrections. Record the exact source versions included in every release.</w:t>
      </w:r>
    </w:p>
    <w:p>
      <w:pPr>
        <w:pStyle w:val="BodyText"/>
      </w:pPr>
      <w:r>
        <w:t xml:space="preserve">Do not overwrite an approved historical mapping without preserving the prior state.</w:t>
      </w:r>
    </w:p>
    <w:bookmarkEnd w:id="76"/>
    <w:bookmarkStart w:id="77" w:name="Xb310ffd896c65411b767d81b5aa41ebf457a322"/>
    <w:p>
      <w:pPr>
        <w:pStyle w:val="Heading2"/>
      </w:pPr>
      <w:r>
        <w:t xml:space="preserve">5. Revalidate inherited and imported mappings</w:t>
      </w:r>
    </w:p>
    <w:p>
      <w:pPr>
        <w:pStyle w:val="FirstParagraph"/>
      </w:pPr>
      <w:r>
        <w:t xml:space="preserve">External mappings can accelerate analysis, but they remain third-party assertions. Before adoption:</w:t>
      </w:r>
    </w:p>
    <w:p>
      <w:pPr>
        <w:numPr>
          <w:ilvl w:val="0"/>
          <w:numId w:val="1037"/>
        </w:numPr>
        <w:pStyle w:val="Compact"/>
      </w:pPr>
      <w:r>
        <w:t xml:space="preserve">identify publisher and methodology;</w:t>
      </w:r>
    </w:p>
    <w:p>
      <w:pPr>
        <w:numPr>
          <w:ilvl w:val="0"/>
          <w:numId w:val="1037"/>
        </w:numPr>
        <w:pStyle w:val="Compact"/>
      </w:pPr>
      <w:r>
        <w:t xml:space="preserve">confirm source versions;</w:t>
      </w:r>
    </w:p>
    <w:p>
      <w:pPr>
        <w:numPr>
          <w:ilvl w:val="0"/>
          <w:numId w:val="1037"/>
        </w:numPr>
        <w:pStyle w:val="Compact"/>
      </w:pPr>
      <w:r>
        <w:t xml:space="preserve">review licensing and attribution;</w:t>
      </w:r>
    </w:p>
    <w:p>
      <w:pPr>
        <w:numPr>
          <w:ilvl w:val="0"/>
          <w:numId w:val="1037"/>
        </w:numPr>
        <w:pStyle w:val="Compact"/>
      </w:pPr>
      <w:r>
        <w:t xml:space="preserve">test representative relationships;</w:t>
      </w:r>
    </w:p>
    <w:p>
      <w:pPr>
        <w:numPr>
          <w:ilvl w:val="0"/>
          <w:numId w:val="1037"/>
        </w:numPr>
        <w:pStyle w:val="Compact"/>
      </w:pPr>
      <w:r>
        <w:t xml:space="preserve">identify scope assumptions;</w:t>
      </w:r>
    </w:p>
    <w:p>
      <w:pPr>
        <w:numPr>
          <w:ilvl w:val="0"/>
          <w:numId w:val="1037"/>
        </w:numPr>
        <w:pStyle w:val="Compact"/>
      </w:pPr>
      <w:r>
        <w:t xml:space="preserve">document local modifications;</w:t>
      </w:r>
    </w:p>
    <w:p>
      <w:pPr>
        <w:numPr>
          <w:ilvl w:val="0"/>
          <w:numId w:val="1037"/>
        </w:numPr>
        <w:pStyle w:val="Compact"/>
      </w:pPr>
      <w:r>
        <w:t xml:space="preserve">assign internal ownership and approval.</w:t>
      </w:r>
    </w:p>
    <w:bookmarkEnd w:id="77"/>
    <w:bookmarkStart w:id="78" w:name="retire-mappings-safely"/>
    <w:p>
      <w:pPr>
        <w:pStyle w:val="Heading2"/>
      </w:pPr>
      <w:r>
        <w:t xml:space="preserve">6. Retire mappings safely</w:t>
      </w:r>
    </w:p>
    <w:p>
      <w:pPr>
        <w:pStyle w:val="FirstParagraph"/>
      </w:pPr>
      <w:r>
        <w:t xml:space="preserve">Retirement is appropriate when a source is withdrawn, a relationship is invalidated, the intended use ends, or a replacement mapping is approved. A retired record should retain:</w:t>
      </w:r>
    </w:p>
    <w:p>
      <w:pPr>
        <w:numPr>
          <w:ilvl w:val="0"/>
          <w:numId w:val="1038"/>
        </w:numPr>
        <w:pStyle w:val="Compact"/>
      </w:pPr>
      <w:r>
        <w:t xml:space="preserve">retirement date;</w:t>
      </w:r>
    </w:p>
    <w:p>
      <w:pPr>
        <w:numPr>
          <w:ilvl w:val="0"/>
          <w:numId w:val="1038"/>
        </w:numPr>
        <w:pStyle w:val="Compact"/>
      </w:pPr>
      <w:r>
        <w:t xml:space="preserve">reason;</w:t>
      </w:r>
    </w:p>
    <w:p>
      <w:pPr>
        <w:numPr>
          <w:ilvl w:val="0"/>
          <w:numId w:val="1038"/>
        </w:numPr>
        <w:pStyle w:val="Compact"/>
      </w:pPr>
      <w:r>
        <w:t xml:space="preserve">approving authority;</w:t>
      </w:r>
    </w:p>
    <w:p>
      <w:pPr>
        <w:numPr>
          <w:ilvl w:val="0"/>
          <w:numId w:val="1038"/>
        </w:numPr>
        <w:pStyle w:val="Compact"/>
      </w:pPr>
      <w:r>
        <w:t xml:space="preserve">replacement record or version;</w:t>
      </w:r>
    </w:p>
    <w:p>
      <w:pPr>
        <w:numPr>
          <w:ilvl w:val="0"/>
          <w:numId w:val="1038"/>
        </w:numPr>
        <w:pStyle w:val="Compact"/>
      </w:pPr>
      <w:r>
        <w:t xml:space="preserve">affected reports and users;</w:t>
      </w:r>
    </w:p>
    <w:p>
      <w:pPr>
        <w:numPr>
          <w:ilvl w:val="0"/>
          <w:numId w:val="1038"/>
        </w:numPr>
        <w:pStyle w:val="Compact"/>
      </w:pPr>
      <w:r>
        <w:t xml:space="preserve">retention period;</w:t>
      </w:r>
    </w:p>
    <w:p>
      <w:pPr>
        <w:numPr>
          <w:ilvl w:val="0"/>
          <w:numId w:val="1038"/>
        </w:numPr>
        <w:pStyle w:val="Compact"/>
      </w:pPr>
      <w:r>
        <w:t xml:space="preserve">warning against future use.</w:t>
      </w:r>
    </w:p>
    <w:bookmarkEnd w:id="78"/>
    <w:bookmarkStart w:id="79" w:name="correct-errors-transparently"/>
    <w:p>
      <w:pPr>
        <w:pStyle w:val="Heading2"/>
      </w:pPr>
      <w:r>
        <w:t xml:space="preserve">7. Correct errors transparently</w:t>
      </w:r>
    </w:p>
    <w:p>
      <w:pPr>
        <w:pStyle w:val="FirstParagraph"/>
      </w:pPr>
      <w:r>
        <w:t xml:space="preserve">When an approved mapping is found to be wrong:</w:t>
      </w:r>
    </w:p>
    <w:p>
      <w:pPr>
        <w:numPr>
          <w:ilvl w:val="0"/>
          <w:numId w:val="1039"/>
        </w:numPr>
        <w:pStyle w:val="Compact"/>
      </w:pPr>
      <w:r>
        <w:t xml:space="preserve">suspend affected claims or reports;</w:t>
      </w:r>
    </w:p>
    <w:p>
      <w:pPr>
        <w:numPr>
          <w:ilvl w:val="0"/>
          <w:numId w:val="1039"/>
        </w:numPr>
        <w:pStyle w:val="Compact"/>
      </w:pPr>
      <w:r>
        <w:t xml:space="preserve">identify downstream use;</w:t>
      </w:r>
    </w:p>
    <w:p>
      <w:pPr>
        <w:numPr>
          <w:ilvl w:val="0"/>
          <w:numId w:val="1039"/>
        </w:numPr>
        <w:pStyle w:val="Compact"/>
      </w:pPr>
      <w:r>
        <w:t xml:space="preserve">correct the mapping with review evidence;</w:t>
      </w:r>
    </w:p>
    <w:p>
      <w:pPr>
        <w:numPr>
          <w:ilvl w:val="0"/>
          <w:numId w:val="1039"/>
        </w:numPr>
        <w:pStyle w:val="Compact"/>
      </w:pPr>
      <w:r>
        <w:t xml:space="preserve">notify relevant users;</w:t>
      </w:r>
    </w:p>
    <w:p>
      <w:pPr>
        <w:numPr>
          <w:ilvl w:val="0"/>
          <w:numId w:val="1039"/>
        </w:numPr>
        <w:pStyle w:val="Compact"/>
      </w:pPr>
      <w:r>
        <w:t xml:space="preserve">reassess gaps, controls, and audit conclusions;</w:t>
      </w:r>
    </w:p>
    <w:p>
      <w:pPr>
        <w:numPr>
          <w:ilvl w:val="0"/>
          <w:numId w:val="1039"/>
        </w:numPr>
        <w:pStyle w:val="Compact"/>
      </w:pPr>
      <w:r>
        <w:t xml:space="preserve">retain the correction history.</w:t>
      </w:r>
    </w:p>
    <w:bookmarkEnd w:id="79"/>
    <w:bookmarkStart w:id="80" w:name="quality-assurance-sampling"/>
    <w:p>
      <w:pPr>
        <w:pStyle w:val="Heading2"/>
      </w:pPr>
      <w:r>
        <w:t xml:space="preserve">8. Quality assurance sampling</w:t>
      </w:r>
    </w:p>
    <w:p>
      <w:pPr>
        <w:pStyle w:val="FirstParagraph"/>
      </w:pPr>
      <w:r>
        <w:t xml:space="preserve">Periodically sample mapping records for:</w:t>
      </w:r>
    </w:p>
    <w:p>
      <w:pPr>
        <w:numPr>
          <w:ilvl w:val="0"/>
          <w:numId w:val="1040"/>
        </w:numPr>
        <w:pStyle w:val="Compact"/>
      </w:pPr>
      <w:r>
        <w:t xml:space="preserve">current source versions;</w:t>
      </w:r>
    </w:p>
    <w:p>
      <w:pPr>
        <w:numPr>
          <w:ilvl w:val="0"/>
          <w:numId w:val="1040"/>
        </w:numPr>
        <w:pStyle w:val="Compact"/>
      </w:pPr>
      <w:r>
        <w:t xml:space="preserve">complete identifiers;</w:t>
      </w:r>
    </w:p>
    <w:p>
      <w:pPr>
        <w:numPr>
          <w:ilvl w:val="0"/>
          <w:numId w:val="1040"/>
        </w:numPr>
        <w:pStyle w:val="Compact"/>
      </w:pPr>
      <w:r>
        <w:t xml:space="preserve">correct granularity;</w:t>
      </w:r>
    </w:p>
    <w:p>
      <w:pPr>
        <w:numPr>
          <w:ilvl w:val="0"/>
          <w:numId w:val="1040"/>
        </w:numPr>
        <w:pStyle w:val="Compact"/>
      </w:pPr>
      <w:r>
        <w:t xml:space="preserve">explicit direction and relationship type;</w:t>
      </w:r>
    </w:p>
    <w:p>
      <w:pPr>
        <w:numPr>
          <w:ilvl w:val="0"/>
          <w:numId w:val="1040"/>
        </w:numPr>
        <w:pStyle w:val="Compact"/>
      </w:pPr>
      <w:r>
        <w:t xml:space="preserve">supportable confidence;</w:t>
      </w:r>
    </w:p>
    <w:p>
      <w:pPr>
        <w:numPr>
          <w:ilvl w:val="0"/>
          <w:numId w:val="1040"/>
        </w:numPr>
        <w:pStyle w:val="Compact"/>
      </w:pPr>
      <w:r>
        <w:t xml:space="preserve">rationale and limitations;</w:t>
      </w:r>
    </w:p>
    <w:p>
      <w:pPr>
        <w:numPr>
          <w:ilvl w:val="0"/>
          <w:numId w:val="1040"/>
        </w:numPr>
        <w:pStyle w:val="Compact"/>
      </w:pPr>
      <w:r>
        <w:t xml:space="preserve">valid implementation and evidence links;</w:t>
      </w:r>
    </w:p>
    <w:p>
      <w:pPr>
        <w:numPr>
          <w:ilvl w:val="0"/>
          <w:numId w:val="1040"/>
        </w:numPr>
        <w:pStyle w:val="Compact"/>
      </w:pPr>
      <w:r>
        <w:t xml:space="preserve">independent review;</w:t>
      </w:r>
    </w:p>
    <w:p>
      <w:pPr>
        <w:numPr>
          <w:ilvl w:val="0"/>
          <w:numId w:val="1040"/>
        </w:numPr>
        <w:pStyle w:val="Compact"/>
      </w:pPr>
      <w:r>
        <w:t xml:space="preserve">timely review dates;</w:t>
      </w:r>
    </w:p>
    <w:p>
      <w:pPr>
        <w:numPr>
          <w:ilvl w:val="0"/>
          <w:numId w:val="1040"/>
        </w:numPr>
        <w:pStyle w:val="Compact"/>
      </w:pPr>
      <w:r>
        <w:t xml:space="preserve">absence of prohibited compliance claims.</w:t>
      </w:r>
    </w:p>
    <w:bookmarkEnd w:id="80"/>
    <w:bookmarkStart w:id="81" w:name="release-criteria"/>
    <w:p>
      <w:pPr>
        <w:pStyle w:val="Heading2"/>
      </w:pPr>
      <w:r>
        <w:t xml:space="preserve">9. Release criteria</w:t>
      </w:r>
    </w:p>
    <w:p>
      <w:pPr>
        <w:pStyle w:val="FirstParagraph"/>
      </w:pPr>
      <w:r>
        <w:t xml:space="preserve">A mapping release should fail closed if:</w:t>
      </w:r>
    </w:p>
    <w:p>
      <w:pPr>
        <w:numPr>
          <w:ilvl w:val="0"/>
          <w:numId w:val="1041"/>
        </w:numPr>
        <w:pStyle w:val="Compact"/>
      </w:pPr>
      <w:r>
        <w:t xml:space="preserve">required source records are missing;</w:t>
      </w:r>
    </w:p>
    <w:p>
      <w:pPr>
        <w:numPr>
          <w:ilvl w:val="0"/>
          <w:numId w:val="1041"/>
        </w:numPr>
        <w:pStyle w:val="Compact"/>
      </w:pPr>
      <w:r>
        <w:t xml:space="preserve">proprietary text is included without an established access basis;</w:t>
      </w:r>
    </w:p>
    <w:p>
      <w:pPr>
        <w:numPr>
          <w:ilvl w:val="0"/>
          <w:numId w:val="1041"/>
        </w:numPr>
        <w:pStyle w:val="Compact"/>
      </w:pPr>
      <w:r>
        <w:t xml:space="preserve">relationship definitions are inconsistent;</w:t>
      </w:r>
    </w:p>
    <w:p>
      <w:pPr>
        <w:numPr>
          <w:ilvl w:val="0"/>
          <w:numId w:val="1041"/>
        </w:numPr>
        <w:pStyle w:val="Compact"/>
      </w:pPr>
      <w:r>
        <w:t xml:space="preserve">unreviewed mappings are represented as approved;</w:t>
      </w:r>
    </w:p>
    <w:p>
      <w:pPr>
        <w:numPr>
          <w:ilvl w:val="0"/>
          <w:numId w:val="1041"/>
        </w:numPr>
        <w:pStyle w:val="Compact"/>
      </w:pPr>
      <w:r>
        <w:t xml:space="preserve">unresolved placeholders remain;</w:t>
      </w:r>
    </w:p>
    <w:p>
      <w:pPr>
        <w:numPr>
          <w:ilvl w:val="0"/>
          <w:numId w:val="1041"/>
        </w:numPr>
        <w:pStyle w:val="Compact"/>
      </w:pPr>
      <w:r>
        <w:t xml:space="preserve">source versions are unknown;</w:t>
      </w:r>
    </w:p>
    <w:p>
      <w:pPr>
        <w:numPr>
          <w:ilvl w:val="0"/>
          <w:numId w:val="1041"/>
        </w:numPr>
        <w:pStyle w:val="Compact"/>
      </w:pPr>
      <w:r>
        <w:t xml:space="preserve">confidence or limitations are omitted;</w:t>
      </w:r>
    </w:p>
    <w:p>
      <w:pPr>
        <w:numPr>
          <w:ilvl w:val="0"/>
          <w:numId w:val="1041"/>
        </w:numPr>
        <w:pStyle w:val="Compact"/>
      </w:pPr>
      <w:r>
        <w:t xml:space="preserve">output integrity checks fail.</w:t>
      </w:r>
    </w:p>
    <w:bookmarkEnd w:id="81"/>
    <w:bookmarkStart w:id="82" w:name="human-review-boundaries"/>
    <w:p>
      <w:pPr>
        <w:pStyle w:val="Heading2"/>
      </w:pPr>
      <w:r>
        <w:t xml:space="preserve">10. Human-review boundaries</w:t>
      </w:r>
    </w:p>
    <w:p>
      <w:pPr>
        <w:pStyle w:val="FirstParagraph"/>
      </w:pPr>
      <w:r>
        <w:t xml:space="preserve">Automation can verify field counts, identifiers, dates, required values, broken references, checksum integrity, document structure, and some consistency rules. It cannot determine legal equivalence, interpret proprietary standards authoritatively, validate native-language nuance, or replace qualified audit and control judgment.</w:t>
      </w:r>
    </w:p>
    <w:bookmarkEnd w:id="82"/>
    <w:bookmarkEnd w:id="83"/>
    <w:bookmarkStart w:id="86" w:name="authoritative-source-register"/>
    <w:p>
      <w:pPr>
        <w:pStyle w:val="Heading1"/>
      </w:pPr>
      <w:r>
        <w:t xml:space="preserve">Authoritative Source Register</w:t>
      </w:r>
    </w:p>
    <w:p>
      <w:pPr>
        <w:pStyle w:val="FirstParagraph"/>
      </w:pPr>
      <w:r>
        <w:t xml:space="preserve">Verified 1 August 2026. This register records source identity and version; it does not reproduce proprietary standards text.</w:t>
      </w:r>
    </w:p>
    <w:bookmarkStart w:id="84" w:name="primary-sources"/>
    <w:p>
      <w:pPr>
        <w:pStyle w:val="Heading2"/>
      </w:pPr>
      <w:r>
        <w:t xml:space="preserve">Primary sources</w:t>
      </w:r>
    </w:p>
    <w:p>
      <w:pPr>
        <w:numPr>
          <w:ilvl w:val="0"/>
          <w:numId w:val="1042"/>
        </w:numPr>
        <w:pStyle w:val="Compact"/>
      </w:pPr>
      <w:r>
        <w:rPr>
          <w:bCs/>
          <w:b/>
        </w:rPr>
        <w:t xml:space="preserve">NIST Cybersecurity Framework 2.0</w:t>
      </w:r>
      <w:r>
        <w:t xml:space="preserve"> </w:t>
      </w:r>
      <w:r>
        <w:t xml:space="preserve">— National Institute of Standards and Technology, published February 2024. Official framework and reference resources: https://www.nist.gov/cyberframework</w:t>
      </w:r>
    </w:p>
    <w:p>
      <w:pPr>
        <w:numPr>
          <w:ilvl w:val="0"/>
          <w:numId w:val="1042"/>
        </w:numPr>
        <w:pStyle w:val="Compact"/>
      </w:pPr>
      <w:r>
        <w:rPr>
          <w:bCs/>
          <w:b/>
        </w:rPr>
        <w:t xml:space="preserve">NIST SP 800-53 Rev. 5, Release 5.2.0</w:t>
      </w:r>
      <w:r>
        <w:t xml:space="preserve"> </w:t>
      </w:r>
      <w:r>
        <w:t xml:space="preserve">—</w:t>
      </w:r>
      <w:r>
        <w:t xml:space="preserve"> </w:t>
      </w:r>
      <w:r>
        <w:rPr>
          <w:iCs/>
          <w:i/>
        </w:rPr>
        <w:t xml:space="preserve">Security and Privacy Controls for Information Systems and Organizations</w:t>
      </w:r>
      <w:r>
        <w:t xml:space="preserve">. NIST planning note dated 27 August 2025 records Release 5.2.0: https://csrc.nist.gov/pubs/sp/800/53/r5/upd1/final</w:t>
      </w:r>
    </w:p>
    <w:p>
      <w:pPr>
        <w:numPr>
          <w:ilvl w:val="0"/>
          <w:numId w:val="1042"/>
        </w:numPr>
        <w:pStyle w:val="Compact"/>
      </w:pPr>
      <w:r>
        <w:rPr>
          <w:bCs/>
          <w:b/>
        </w:rPr>
        <w:t xml:space="preserve">CIS Critical Security Controls v8.1</w:t>
      </w:r>
      <w:r>
        <w:t xml:space="preserve"> </w:t>
      </w:r>
      <w:r>
        <w:t xml:space="preserve">— Center for Internet Security. Official v8.1 page and downloadable materials: https://www.cisecurity.org/controls/v8-1</w:t>
      </w:r>
    </w:p>
    <w:p>
      <w:pPr>
        <w:numPr>
          <w:ilvl w:val="0"/>
          <w:numId w:val="1042"/>
        </w:numPr>
        <w:pStyle w:val="Compact"/>
      </w:pPr>
      <w:r>
        <w:rPr>
          <w:bCs/>
          <w:b/>
        </w:rPr>
        <w:t xml:space="preserve">CIS Controls Navigator v8.1</w:t>
      </w:r>
      <w:r>
        <w:t xml:space="preserve"> </w:t>
      </w:r>
      <w:r>
        <w:t xml:space="preserve">— official interactive mapping resource: https://www.cisecurity.org/controls/cis-controls-navigator</w:t>
      </w:r>
    </w:p>
    <w:p>
      <w:pPr>
        <w:numPr>
          <w:ilvl w:val="0"/>
          <w:numId w:val="1042"/>
        </w:numPr>
        <w:pStyle w:val="Compact"/>
      </w:pPr>
      <w:r>
        <w:rPr>
          <w:bCs/>
          <w:b/>
        </w:rPr>
        <w:t xml:space="preserve">ISO/IEC 27001:2022</w:t>
      </w:r>
      <w:r>
        <w:t xml:space="preserve"> </w:t>
      </w:r>
      <w:r>
        <w:t xml:space="preserve">—</w:t>
      </w:r>
      <w:r>
        <w:t xml:space="preserve"> </w:t>
      </w:r>
      <w:r>
        <w:rPr>
          <w:iCs/>
          <w:i/>
        </w:rPr>
        <w:t xml:space="preserve">Information security management systems — Requirements</w:t>
      </w:r>
      <w:r>
        <w:t xml:space="preserve">. Official ISO lifecycle page: https://www.iso.org/standard/27001.html</w:t>
      </w:r>
    </w:p>
    <w:p>
      <w:pPr>
        <w:numPr>
          <w:ilvl w:val="0"/>
          <w:numId w:val="1042"/>
        </w:numPr>
        <w:pStyle w:val="Compact"/>
      </w:pPr>
      <w:r>
        <w:rPr>
          <w:bCs/>
          <w:b/>
        </w:rPr>
        <w:t xml:space="preserve">ISO/IEC 27001:2022/Amd 1:2024</w:t>
      </w:r>
      <w:r>
        <w:t xml:space="preserve"> </w:t>
      </w:r>
      <w:r>
        <w:t xml:space="preserve">— Climate action amendment, published February 2024: https://www.iso.org/standard/88435.html</w:t>
      </w:r>
    </w:p>
    <w:p>
      <w:pPr>
        <w:numPr>
          <w:ilvl w:val="0"/>
          <w:numId w:val="1042"/>
        </w:numPr>
        <w:pStyle w:val="Compact"/>
      </w:pPr>
      <w:r>
        <w:rPr>
          <w:bCs/>
          <w:b/>
        </w:rPr>
        <w:t xml:space="preserve">PCI DSS v4.0.1</w:t>
      </w:r>
      <w:r>
        <w:t xml:space="preserve"> </w:t>
      </w:r>
      <w:r>
        <w:t xml:space="preserve">— PCI Security Standards Council document library, June 2024: https://www.pcisecuritystandards.org/document_library/?class=pcidss&amp;doc=pci_dss</w:t>
      </w:r>
    </w:p>
    <w:p>
      <w:pPr>
        <w:numPr>
          <w:ilvl w:val="0"/>
          <w:numId w:val="1042"/>
        </w:numPr>
        <w:pStyle w:val="Compact"/>
      </w:pPr>
      <w:r>
        <w:rPr>
          <w:bCs/>
          <w:b/>
        </w:rPr>
        <w:t xml:space="preserve">HIPAA Security Rule</w:t>
      </w:r>
      <w:r>
        <w:t xml:space="preserve"> </w:t>
      </w:r>
      <w:r>
        <w:t xml:space="preserve">— U.S. Department of Health and Human Services, current rule at 45 CFR Part 160 and Part 164, Subparts A and C: https://www.hhs.gov/hipaa/for-professionals/security/index.html</w:t>
      </w:r>
    </w:p>
    <w:p>
      <w:pPr>
        <w:numPr>
          <w:ilvl w:val="0"/>
          <w:numId w:val="1042"/>
        </w:numPr>
        <w:pStyle w:val="Compact"/>
      </w:pPr>
      <w:r>
        <w:rPr>
          <w:bCs/>
          <w:b/>
        </w:rPr>
        <w:t xml:space="preserve">Regulation (EU) 2016/679 (GDPR)</w:t>
      </w:r>
      <w:r>
        <w:t xml:space="preserve"> </w:t>
      </w:r>
      <w:r>
        <w:t xml:space="preserve">— official consolidated regulation text: https://eur-lex.europa.eu/eli/reg/2016/679/oj</w:t>
      </w:r>
    </w:p>
    <w:bookmarkEnd w:id="84"/>
    <w:bookmarkStart w:id="85" w:name="source-use-controls"/>
    <w:p>
      <w:pPr>
        <w:pStyle w:val="Heading2"/>
      </w:pPr>
      <w:r>
        <w:t xml:space="preserve">Source-use controls</w:t>
      </w:r>
    </w:p>
    <w:p>
      <w:pPr>
        <w:numPr>
          <w:ilvl w:val="0"/>
          <w:numId w:val="1043"/>
        </w:numPr>
        <w:pStyle w:val="Compact"/>
      </w:pPr>
      <w:r>
        <w:t xml:space="preserve">Verify source versions before creating or approving a mapping.</w:t>
      </w:r>
    </w:p>
    <w:p>
      <w:pPr>
        <w:numPr>
          <w:ilvl w:val="0"/>
          <w:numId w:val="1043"/>
        </w:numPr>
        <w:pStyle w:val="Compact"/>
      </w:pPr>
      <w:r>
        <w:t xml:space="preserve">Retain the source identifier, title, publisher, version, publication date, retrieval date, and authoritative location.</w:t>
      </w:r>
    </w:p>
    <w:p>
      <w:pPr>
        <w:numPr>
          <w:ilvl w:val="0"/>
          <w:numId w:val="1043"/>
        </w:numPr>
        <w:pStyle w:val="Compact"/>
      </w:pPr>
      <w:r>
        <w:t xml:space="preserve">Use licensed copies where a standard is not freely reproducible.</w:t>
      </w:r>
    </w:p>
    <w:p>
      <w:pPr>
        <w:numPr>
          <w:ilvl w:val="0"/>
          <w:numId w:val="1043"/>
        </w:numPr>
        <w:pStyle w:val="Compact"/>
      </w:pPr>
      <w:r>
        <w:t xml:space="preserve">Record organization-authored summaries separately from official source text.</w:t>
      </w:r>
    </w:p>
    <w:p>
      <w:pPr>
        <w:numPr>
          <w:ilvl w:val="0"/>
          <w:numId w:val="1043"/>
        </w:numPr>
        <w:pStyle w:val="Compact"/>
      </w:pPr>
      <w:r>
        <w:t xml:space="preserve">Do not infer equivalence merely because two requirements use similar words.</w:t>
      </w:r>
    </w:p>
    <w:p>
      <w:pPr>
        <w:numPr>
          <w:ilvl w:val="0"/>
          <w:numId w:val="1043"/>
        </w:numPr>
        <w:pStyle w:val="Compact"/>
      </w:pPr>
      <w:r>
        <w:t xml:space="preserve">Review mappings when either source changes or when implementation scope changes.</w:t>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Mapping and Crosswalk Practical Manual</dc:title>
  <dc:creator>Alberto Al Leiva</dc:creator>
  <dc:language>en-US</dc:language>
  <dc:subject>GRC, control mapping, crosswalks, cybersecurity, privacy, audit and compliance</dc:subject>
  <cp:keywords/>
  <dcterms:created xsi:type="dcterms:W3CDTF">2026-08-01T19:10:37Z</dcterms:created>
  <dcterms:modified xsi:type="dcterms:W3CDTF">2026-08-01T19:10:37Z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 August 2026</vt:lpwstr>
  </property>
  <property fmtid="{D5CDD505-2E9C-101B-9397-08002B2CF9AE}" pid="3" name="rights">
    <vt:lpwstr>CC BY-NC-SA 4.0 unless a file states otherwise</vt:lpwstr>
  </property>
  <property fmtid="{D5CDD505-2E9C-101B-9397-08002B2CF9AE}" pid="4" name="status">
    <vt:lpwstr>Controlled English publication candidate</vt:lpwstr>
  </property>
</Properties>
</file>