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165.png" ContentType="image/png"/>
  <Override PartName="/word/media/rId30.png" ContentType="image/png"/>
  <Override PartName="/word/media/rId40.png" ContentType="image/png"/>
  <Override PartName="/word/media/rId50.png" ContentType="image/png"/>
  <Override PartName="/word/media/rId59.png" ContentType="image/png"/>
  <Override PartName="/word/media/rId67.png" ContentType="image/png"/>
  <Override PartName="/word/media/rId73.png" ContentType="image/png"/>
  <Override PartName="/word/media/rId81.png" ContentType="image/png"/>
  <Override PartName="/word/media/rId8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rPr>
          <w:bCs/>
          <w:b/>
        </w:rPr>
        <w:t xml:space="preserve">Status da revisão:</w:t>
      </w:r>
      <w:r>
        <w:t xml:space="preserve"> </w:t>
      </w:r>
      <w:r>
        <w:t xml:space="preserve">Rascunho de tradução assistida por máquina. Requer revisão humana de terminologia, significado, links, formatação e atualidade técnica antes de ser marcado como edição final.</w:t>
      </w:r>
    </w:p>
    <w:p>
      <w:pPr>
        <w:pStyle w:val="FirstParagraph"/>
      </w:pPr>
      <w:r>
        <w:t xml:space="preserve">**NIST QUADRO DE GESTÃO DE RISCOS</w:t>
      </w:r>
    </w:p>
    <w:p>
      <w:pPr>
        <w:pStyle w:val="BodyText"/>
      </w:pPr>
      <w:r>
        <w:t xml:space="preserve">**AND SP 800-53 LIBERTAÇÃO 5.2.0</w:t>
      </w:r>
    </w:p>
    <w:p>
      <w:pPr>
        <w:pStyle w:val="BodyText"/>
      </w:pPr>
      <w:r>
        <w:t xml:space="preserve">Prático Gerente e Manual de Analista Júnior</w:t>
      </w:r>
    </w:p>
    <w:p>
      <w:pPr>
        <w:pStyle w:val="BodyText"/>
      </w:pPr>
      <w:r>
        <w:t xml:space="preserve">O que este manual faz: Explica as sete etapas do RMF, todas as 20 famílias de controle SP 800-53, linhas de base, adaptação, implementação, avaliação, autorização, monitoramento, OSCAL, ferramentas de código aberto, decisões de gestão e trabalho de analista pronto para o trabalho. □</w:t>
      </w:r>
      <w:r>
        <w:t xml:space="preserve"> </w:t>
      </w:r>
      <w:r>
        <w:t xml:space="preserve">□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–</w:t>
      </w:r>
    </w:p>
    <w:p>
      <w:pPr>
        <w:pStyle w:val="BodyText"/>
      </w:pPr>
      <w:r>
        <w:t xml:space="preserve">** Alberto (Al) Leiva**</w:t>
      </w:r>
    </w:p>
    <w:p>
      <w:pPr>
        <w:pStyle w:val="BodyText"/>
      </w:pPr>
      <w:r>
        <w:t xml:space="preserve">Primeira edição • Julho de 2026</w:t>
      </w:r>
    </w:p>
    <w:p>
      <w:pPr>
        <w:pStyle w:val="BodyText"/>
      </w:pPr>
      <w:r>
        <w:t xml:space="preserve">Prefácio</w:t>
      </w:r>
    </w:p>
    <w:p>
      <w:pPr>
        <w:pStyle w:val="BodyText"/>
      </w:pPr>
      <w:r>
        <w:t xml:space="preserve">O Risk Management Framework é uma forma disciplinada de conectar necessidades de missão, design de sistema, segurança, privacidade, evidências e decisões de risco responsáveis ao longo de um ciclo de vida do sistema. SP 800-53 é o catálogo de controle utilizado dentro desse processo; não é uma lista de verificação que cria automaticamente segurança ou uma autorização.</w:t>
      </w:r>
    </w:p>
    <w:p>
      <w:pPr>
        <w:pStyle w:val="BodyText"/>
      </w:pPr>
      <w:r>
        <w:t xml:space="preserve">Este manual usa linguagem simples, documentos de trabalho realistas e laboratórios seguros. Os termos federais são explicados, mas as organizações não federais podem adaptar os conceitos. Requisitos e autoridade variam de acordo com a lei, agência, contrato, setor, sistema e risco. Use fontes oficiais atuais e segurança qualificada, privacidade, engenharia, legal, aquisição, auditoria e autorizar profissionais para decisões reais.</w:t>
      </w:r>
    </w:p>
    <w:bookmarkStart w:id="20" w:name="X318fbfee1bd3fad54db50c67cf3ffbbb5d3d4b3"/>
    <w:p>
      <w:pPr>
        <w:pStyle w:val="Heading2"/>
      </w:pPr>
      <w:r>
        <w:t xml:space="preserve">Nota de informação actual:** Verificada em 14 de Julho de 2026: SP 800-37 Rev. 2 continua a ser a RMF final atual; SP 800-53 e SP 800-53A estão na Release 5.2.0 (2025 de Agosto); SP 800-53B linhas de base foram relançadas sem alterações basais; SP 800-18 Rev. 2 foi finalizada em 30 de Junho de 2026.</w:t>
      </w:r>
    </w:p>
    <w:bookmarkEnd w:id="20"/>
    <w:bookmarkStart w:id="21" w:name="como-usar-este-manual"/>
    <w:p>
      <w:pPr>
        <w:pStyle w:val="Heading2"/>
      </w:pPr>
      <w:r>
        <w:t xml:space="preserve">Como usar este manual</w:t>
      </w:r>
    </w:p>
    <w:p>
      <w:pPr>
        <w:numPr>
          <w:ilvl w:val="0"/>
          <w:numId w:val="1001"/>
        </w:numPr>
      </w:pPr>
      <w:r>
        <w:t xml:space="preserve">Gerentes: comece com Capítulos 1–4, 7–13, 17–18 e 27.</w:t>
      </w:r>
    </w:p>
    <w:p>
      <w:pPr>
        <w:numPr>
          <w:ilvl w:val="0"/>
          <w:numId w:val="1001"/>
        </w:numPr>
      </w:pPr>
      <w:r>
        <w:t xml:space="preserve">Analistas júnior: estudar em ordem, praticar Capítulos 26 e 28–29, e usar os modelos.</w:t>
      </w:r>
    </w:p>
    <w:p>
      <w:pPr>
        <w:numPr>
          <w:ilvl w:val="0"/>
          <w:numId w:val="1001"/>
        </w:numPr>
      </w:pPr>
      <w:r>
        <w:t xml:space="preserve">Donos de sistemas e engenheiros: foco em fronteiras, seleção, implementação, evidências, monitoramento e capítulos familiares.</w:t>
      </w:r>
    </w:p>
    <w:p>
      <w:pPr>
        <w:numPr>
          <w:ilvl w:val="0"/>
          <w:numId w:val="1001"/>
        </w:numPr>
      </w:pPr>
      <w:r>
        <w:t xml:space="preserve">Assessores: foco nos Capítulos 10, 15-18, 25 e 30.</w:t>
      </w:r>
    </w:p>
    <w:p>
      <w:pPr>
        <w:numPr>
          <w:ilvl w:val="0"/>
          <w:numId w:val="1001"/>
        </w:numPr>
      </w:pPr>
      <w:r>
        <w:t xml:space="preserve">Adapte cada artefato à autoridade da organização, tolerância ao risco, sistema e obrigações.</w:t>
      </w:r>
    </w:p>
    <w:p>
      <w:pPr>
        <w:pStyle w:val="FirstParagraph"/>
      </w:pPr>
      <w:r>
        <w:t xml:space="preserve">Sumário</w:t>
      </w:r>
    </w:p>
    <w:p>
      <w:pPr>
        <w:pStyle w:val="BodyText"/>
      </w:pPr>
      <w:r>
        <w:t xml:space="preserve">Este documento contém um índice nativo do Word e um guia de capítulo permanente.</w:t>
      </w:r>
    </w:p>
    <w:p>
      <w:pPr>
        <w:pStyle w:val="BodyText"/>
      </w:pPr>
      <w:hyperlink w:anchor="preface">
        <w:r>
          <w:rPr>
            <w:rStyle w:val="Hyperlink"/>
          </w:rPr>
          <w:t xml:space="preserve">Prefácio [2](#preface)</w:t>
        </w:r>
      </w:hyperlink>
    </w:p>
    <w:p>
      <w:pPr>
        <w:pStyle w:val="BodyText"/>
      </w:pPr>
      <w:hyperlink w:anchor="how-to-use-this-manual">
        <w:r>
          <w:rPr>
            <w:rStyle w:val="Hyperlink"/>
          </w:rPr>
          <w:t xml:space="preserve">Como usar este manual [2](#how-to-use-this-manual)</w:t>
        </w:r>
      </w:hyperlink>
    </w:p>
    <w:p>
      <w:pPr>
        <w:pStyle w:val="BodyText"/>
      </w:pPr>
      <w:hyperlink w:anchor="table-of-contents">
        <w:r>
          <w:rPr>
            <w:rStyle w:val="Hyperlink"/>
          </w:rPr>
          <w:t xml:space="preserve">Quadro de conteúdos [3](#table-of-contents)</w:t>
        </w:r>
      </w:hyperlink>
    </w:p>
    <w:p>
      <w:pPr>
        <w:pStyle w:val="BodyText"/>
      </w:pPr>
      <w:hyperlink w:anchor="chapter-guide">
        <w:r>
          <w:rPr>
            <w:rStyle w:val="Hyperlink"/>
          </w:rPr>
          <w:t xml:space="preserve">Guia do Capítulo [7](#chapter-guide)</w:t>
        </w:r>
      </w:hyperlink>
    </w:p>
    <w:p>
      <w:pPr>
        <w:pStyle w:val="BodyText"/>
      </w:pPr>
      <w:hyperlink w:anchor="rmf-and-sp-800-53-foundations">
        <w:r>
          <w:rPr>
            <w:rStyle w:val="Hyperlink"/>
          </w:rPr>
          <w:t xml:space="preserve">1. RMF e SP 800-53 Fundações [8](#rmf-and-sp-800-53-foundations)</w:t>
        </w:r>
      </w:hyperlink>
    </w:p>
    <w:p>
      <w:pPr>
        <w:pStyle w:val="BodyText"/>
      </w:pPr>
      <w:hyperlink w:anchor="current-nist-publication-suite">
        <w:r>
          <w:rPr>
            <w:rStyle w:val="Hyperlink"/>
          </w:rPr>
          <w:t xml:space="preserve">2. Suíte de Publicação NIST [9](#current-nist-publication-suite)</w:t>
        </w:r>
      </w:hyperlink>
    </w:p>
    <w:p>
      <w:pPr>
        <w:pStyle w:val="BodyText"/>
      </w:pPr>
      <w:hyperlink w:anchor="governance-roles-and-risk-decisions">
        <w:r>
          <w:rPr>
            <w:rStyle w:val="Hyperlink"/>
          </w:rPr>
          <w:t xml:space="preserve">3. Governação, Funções e Decisões de Risco [10](#governance-roles-and-risk-decisions)</w:t>
        </w:r>
      </w:hyperlink>
    </w:p>
    <w:p>
      <w:pPr>
        <w:pStyle w:val="BodyText"/>
      </w:pPr>
      <w:hyperlink w:anchor="X4281a3e7d75ba25f0f3cb11cc65ade1bc148882">
        <w:r>
          <w:rPr>
            <w:rStyle w:val="Hyperlink"/>
          </w:rPr>
          <w:t xml:space="preserve">4. Ciclo de vida do sistema, âmbito e limite de autorização [11](#system-life-cycle-scope-and-authorization-boundary)</w:t>
        </w:r>
      </w:hyperlink>
    </w:p>
    <w:p>
      <w:pPr>
        <w:pStyle w:val="BodyText"/>
      </w:pPr>
      <w:hyperlink w:anchor="boundary-questions">
        <w:r>
          <w:rPr>
            <w:rStyle w:val="Hyperlink"/>
          </w:rPr>
          <w:t xml:space="preserve">4.1 Questões limite [11](#boundary-questions)</w:t>
        </w:r>
      </w:hyperlink>
    </w:p>
    <w:p>
      <w:pPr>
        <w:pStyle w:val="BodyText"/>
      </w:pPr>
      <w:hyperlink w:anchor="prepare-at-the-organization-level">
        <w:r>
          <w:rPr>
            <w:rStyle w:val="Hyperlink"/>
          </w:rPr>
          <w:t xml:space="preserve">5. Preparar ao nível da organização [12](#prepare-at-the-organization-level)</w:t>
        </w:r>
      </w:hyperlink>
    </w:p>
    <w:p>
      <w:pPr>
        <w:pStyle w:val="BodyText"/>
      </w:pPr>
      <w:hyperlink w:anchor="organization-preparation">
        <w:r>
          <w:rPr>
            <w:rStyle w:val="Hyperlink"/>
          </w:rPr>
          <w:t xml:space="preserve">5.1 Preparação da organização [12](#organization-preparation)</w:t>
        </w:r>
      </w:hyperlink>
    </w:p>
    <w:p>
      <w:pPr>
        <w:pStyle w:val="BodyText"/>
      </w:pPr>
      <w:hyperlink w:anchor="prepare-at-the-system-level">
        <w:r>
          <w:rPr>
            <w:rStyle w:val="Hyperlink"/>
          </w:rPr>
          <w:t xml:space="preserve">6. Preparar ao nível do sistema [13](#prepare-at-the-system-level)</w:t>
        </w:r>
      </w:hyperlink>
    </w:p>
    <w:p>
      <w:pPr>
        <w:pStyle w:val="BodyText"/>
      </w:pPr>
      <w:hyperlink w:anchor="system-preparation">
        <w:r>
          <w:rPr>
            <w:rStyle w:val="Hyperlink"/>
          </w:rPr>
          <w:t xml:space="preserve">6.1 Preparação do sistema [13](#system-preparation)</w:t>
        </w:r>
      </w:hyperlink>
    </w:p>
    <w:p>
      <w:pPr>
        <w:pStyle w:val="BodyText"/>
      </w:pPr>
      <w:hyperlink w:anchor="categorize-the-system">
        <w:r>
          <w:rPr>
            <w:rStyle w:val="Hyperlink"/>
          </w:rPr>
          <w:t xml:space="preserve">7. Categorizar o Sistema [14](#categorize-the-system)</w:t>
        </w:r>
      </w:hyperlink>
    </w:p>
    <w:p>
      <w:pPr>
        <w:pStyle w:val="BodyText"/>
      </w:pPr>
      <w:hyperlink w:anchor="method">
        <w:r>
          <w:rPr>
            <w:rStyle w:val="Hyperlink"/>
          </w:rPr>
          <w:t xml:space="preserve">7.1 Método [14](#method)</w:t>
        </w:r>
      </w:hyperlink>
    </w:p>
    <w:p>
      <w:pPr>
        <w:pStyle w:val="BodyText"/>
      </w:pPr>
      <w:hyperlink w:anchor="select-controls">
        <w:r>
          <w:rPr>
            <w:rStyle w:val="Hyperlink"/>
          </w:rPr>
          <w:t xml:space="preserve">8. Selecione controles [15](#select-controls)</w:t>
        </w:r>
      </w:hyperlink>
    </w:p>
    <w:p>
      <w:pPr>
        <w:pStyle w:val="BodyText"/>
      </w:pPr>
      <w:hyperlink w:anchor="selection-sequence">
        <w:r>
          <w:rPr>
            <w:rStyle w:val="Hyperlink"/>
          </w:rPr>
          <w:t xml:space="preserve">8,1 Sequência de seleção [15](#selection-sequence)</w:t>
        </w:r>
      </w:hyperlink>
    </w:p>
    <w:p>
      <w:pPr>
        <w:pStyle w:val="BodyText"/>
      </w:pPr>
      <w:hyperlink w:anchor="implement-controls">
        <w:r>
          <w:rPr>
            <w:rStyle w:val="Hyperlink"/>
          </w:rPr>
          <w:t xml:space="preserve">9. Controlos de Implementação [16](#implement-controls)</w:t>
        </w:r>
      </w:hyperlink>
    </w:p>
    <w:p>
      <w:pPr>
        <w:pStyle w:val="BodyText"/>
      </w:pPr>
      <w:hyperlink w:anchor="implementation-workflow">
        <w:r>
          <w:rPr>
            <w:rStyle w:val="Hyperlink"/>
          </w:rPr>
          <w:t xml:space="preserve">9.1 Fluxo de trabalho de implementação [16](#implementation-workflow)</w:t>
        </w:r>
      </w:hyperlink>
    </w:p>
    <w:p>
      <w:pPr>
        <w:pStyle w:val="BodyText"/>
      </w:pPr>
      <w:hyperlink w:anchor="assess-controls">
        <w:r>
          <w:rPr>
            <w:rStyle w:val="Hyperlink"/>
          </w:rPr>
          <w:t xml:space="preserve">10. Controlos de avaliação [17](#assess-controls)</w:t>
        </w:r>
      </w:hyperlink>
    </w:p>
    <w:p>
      <w:pPr>
        <w:pStyle w:val="BodyText"/>
      </w:pPr>
      <w:hyperlink w:anchor="assessment-sequence">
        <w:r>
          <w:rPr>
            <w:rStyle w:val="Hyperlink"/>
          </w:rPr>
          <w:t xml:space="preserve">10.1 Sequência de avaliação [17](#assessment-sequence)</w:t>
        </w:r>
      </w:hyperlink>
    </w:p>
    <w:p>
      <w:pPr>
        <w:pStyle w:val="BodyText"/>
      </w:pPr>
      <w:hyperlink w:anchor="authorize-the-system-or-common-controls">
        <w:r>
          <w:rPr>
            <w:rStyle w:val="Hyperlink"/>
          </w:rPr>
          <w:t xml:space="preserve">11. Autorizar o sistema ou os controlos comuns [18](#authorize-the-system-or-common-controls)</w:t>
        </w:r>
      </w:hyperlink>
    </w:p>
    <w:p>
      <w:pPr>
        <w:pStyle w:val="BodyText"/>
      </w:pPr>
      <w:hyperlink w:anchor="authorization-package">
        <w:r>
          <w:rPr>
            <w:rStyle w:val="Hyperlink"/>
          </w:rPr>
          <w:t xml:space="preserve">11.1 Pacote de autorização [18](#authorization-package)</w:t>
        </w:r>
      </w:hyperlink>
    </w:p>
    <w:p>
      <w:pPr>
        <w:pStyle w:val="BodyText"/>
      </w:pPr>
      <w:hyperlink w:anchor="monitor-continuously">
        <w:r>
          <w:rPr>
            <w:rStyle w:val="Hyperlink"/>
          </w:rPr>
          <w:t xml:space="preserve">12. Monitorar continuamente [19](#monitor-continuously)</w:t>
        </w:r>
      </w:hyperlink>
    </w:p>
    <w:p>
      <w:pPr>
        <w:pStyle w:val="BodyText"/>
      </w:pPr>
      <w:hyperlink w:anchor="monitoring-activities">
        <w:r>
          <w:rPr>
            <w:rStyle w:val="Hyperlink"/>
          </w:rPr>
          <w:t xml:space="preserve">12.1 Actividades de monitorização [19](#monitoring-activities)</w:t>
        </w:r>
      </w:hyperlink>
    </w:p>
    <w:p>
      <w:pPr>
        <w:pStyle w:val="BodyText"/>
      </w:pPr>
      <w:hyperlink w:anchor="control-baselines-and-tailoring">
        <w:r>
          <w:rPr>
            <w:rStyle w:val="Hyperlink"/>
          </w:rPr>
          <w:t xml:space="preserve">13. Bases de controlo e Alfaiataria [20](#control-baselines-and-tailoring)</w:t>
        </w:r>
      </w:hyperlink>
    </w:p>
    <w:p>
      <w:pPr>
        <w:pStyle w:val="BodyText"/>
      </w:pPr>
      <w:hyperlink w:anchor="tailoring-record">
        <w:r>
          <w:rPr>
            <w:rStyle w:val="Hyperlink"/>
          </w:rPr>
          <w:t xml:space="preserve">13.1 Registo de adaptação [20](#tailoring-record)</w:t>
        </w:r>
      </w:hyperlink>
    </w:p>
    <w:p>
      <w:pPr>
        <w:pStyle w:val="BodyText"/>
      </w:pPr>
      <w:hyperlink w:anchor="X4bb5e9786d8058774ae0b324e40c2e806ae60b1">
        <w:r>
          <w:rPr>
            <w:rStyle w:val="Hyperlink"/>
          </w:rPr>
          <w:t xml:space="preserve">14. Controlos comuns, híbridos e específicos do sistema [21](#common-hybrid-and-system-specific-controls)</w:t>
        </w:r>
      </w:hyperlink>
    </w:p>
    <w:p>
      <w:pPr>
        <w:pStyle w:val="BodyText"/>
      </w:pPr>
      <w:hyperlink w:anchor="inheritance-checks">
        <w:r>
          <w:rPr>
            <w:rStyle w:val="Hyperlink"/>
          </w:rPr>
          <w:t xml:space="preserve">14.1 Controlos de herdade [21](#inheritance-checks)</w:t>
        </w:r>
      </w:hyperlink>
    </w:p>
    <w:p>
      <w:pPr>
        <w:pStyle w:val="BodyText"/>
      </w:pPr>
      <w:hyperlink w:anchor="writing-strong-implementation-statements">
        <w:r>
          <w:rPr>
            <w:rStyle w:val="Hyperlink"/>
          </w:rPr>
          <w:t xml:space="preserve">15. Escrita de fortes declarações de implementação [22](#writing-strong-implementation-statements)</w:t>
        </w:r>
      </w:hyperlink>
    </w:p>
    <w:p>
      <w:pPr>
        <w:pStyle w:val="BodyText"/>
      </w:pPr>
      <w:hyperlink w:anchor="statement-checklist">
        <w:r>
          <w:rPr>
            <w:rStyle w:val="Hyperlink"/>
          </w:rPr>
          <w:t xml:space="preserve">15.1 Lista de verificação da declaração [22](#statement-checklist)</w:t>
        </w:r>
      </w:hyperlink>
    </w:p>
    <w:p>
      <w:pPr>
        <w:pStyle w:val="BodyText"/>
      </w:pPr>
      <w:hyperlink w:anchor="assessment-planning-and-evidence">
        <w:r>
          <w:rPr>
            <w:rStyle w:val="Hyperlink"/>
          </w:rPr>
          <w:t xml:space="preserve">16. Planeamento de avaliação e provas [23](#assessment-planning-and-evidence)</w:t>
        </w:r>
      </w:hyperlink>
    </w:p>
    <w:p>
      <w:pPr>
        <w:pStyle w:val="BodyText"/>
      </w:pPr>
      <w:hyperlink w:anchor="population-and-sampling">
        <w:r>
          <w:rPr>
            <w:rStyle w:val="Hyperlink"/>
          </w:rPr>
          <w:t xml:space="preserve">16.1 População e amostragem [23](#population-and-sampling)</w:t>
        </w:r>
      </w:hyperlink>
    </w:p>
    <w:p>
      <w:pPr>
        <w:pStyle w:val="BodyText"/>
      </w:pPr>
      <w:hyperlink w:anchor="authorization-package-and-poam">
        <w:r>
          <w:rPr>
            <w:rStyle w:val="Hyperlink"/>
          </w:rPr>
          <w:t xml:space="preserve">17. Pacote de autorização e POA&amp;M [24](#authorization-package-and-poam)</w:t>
        </w:r>
      </w:hyperlink>
    </w:p>
    <w:p>
      <w:pPr>
        <w:pStyle w:val="BodyText"/>
      </w:pPr>
      <w:hyperlink w:anchor="poam-quality">
        <w:r>
          <w:rPr>
            <w:rStyle w:val="Hyperlink"/>
          </w:rPr>
          <w:t xml:space="preserve">17.1 Qualidade POA&amp;M [24](#poam-quality)</w:t>
        </w:r>
      </w:hyperlink>
    </w:p>
    <w:p>
      <w:pPr>
        <w:pStyle w:val="BodyText"/>
      </w:pPr>
      <w:hyperlink w:anchor="continuous-monitoring-strategy">
        <w:r>
          <w:rPr>
            <w:rStyle w:val="Hyperlink"/>
          </w:rPr>
          <w:t xml:space="preserve">18. Estratégia de monitorização contínua [25](#continuous-monitoring-strategy)</w:t>
        </w:r>
      </w:hyperlink>
    </w:p>
    <w:p>
      <w:pPr>
        <w:pStyle w:val="BodyText"/>
      </w:pPr>
      <w:hyperlink w:anchor="oscal-and-automation">
        <w:r>
          <w:rPr>
            <w:rStyle w:val="Hyperlink"/>
          </w:rPr>
          <w:t xml:space="preserve">19. OSCAL e Automação [26](#oscal-and-automation)</w:t>
        </w:r>
      </w:hyperlink>
    </w:p>
    <w:p>
      <w:pPr>
        <w:pStyle w:val="BodyText"/>
      </w:pPr>
      <w:hyperlink w:anchor="automation-safeguards">
        <w:r>
          <w:rPr>
            <w:rStyle w:val="Hyperlink"/>
          </w:rPr>
          <w:t xml:space="preserve">19.1 Garantias de automatização [26](#automation-safeguards)</w:t>
        </w:r>
      </w:hyperlink>
    </w:p>
    <w:p>
      <w:pPr>
        <w:pStyle w:val="BodyText"/>
      </w:pPr>
      <w:hyperlink w:anchor="X1227b62aa5f0da504056a918c903e2241f76852">
        <w:r>
          <w:rPr>
            <w:rStyle w:val="Hyperlink"/>
          </w:rPr>
          <w:t xml:space="preserve">20. Famílias de controlo: acesso, sensibilização, auditoria e avaliação [27](#control-families-access-awareness-audit-and-assessment)</w:t>
        </w:r>
      </w:hyperlink>
    </w:p>
    <w:p>
      <w:pPr>
        <w:pStyle w:val="BodyText"/>
      </w:pPr>
      <w:hyperlink w:anchor="ac-access-control">
        <w:r>
          <w:rPr>
            <w:rStyle w:val="Hyperlink"/>
          </w:rPr>
          <w:t xml:space="preserve">AC — Controlo de Acesso [27](#ac-access-control)</w:t>
        </w:r>
      </w:hyperlink>
    </w:p>
    <w:p>
      <w:pPr>
        <w:pStyle w:val="BodyText"/>
      </w:pPr>
      <w:hyperlink w:anchor="at-awareness-and-training">
        <w:r>
          <w:rPr>
            <w:rStyle w:val="Hyperlink"/>
          </w:rPr>
          <w:t xml:space="preserve">AT — Consciência e formação [27](#at-awareness-and-training)</w:t>
        </w:r>
      </w:hyperlink>
    </w:p>
    <w:p>
      <w:pPr>
        <w:pStyle w:val="BodyText"/>
      </w:pPr>
      <w:hyperlink w:anchor="au-audit-and-accountability">
        <w:r>
          <w:rPr>
            <w:rStyle w:val="Hyperlink"/>
          </w:rPr>
          <w:t xml:space="preserve">AU — Auditoria e responsabilidade [27](#au-audit-and-accountability)</w:t>
        </w:r>
      </w:hyperlink>
    </w:p>
    <w:p>
      <w:pPr>
        <w:pStyle w:val="BodyText"/>
      </w:pPr>
      <w:hyperlink w:anchor="Xc98ea6f8ca46f0bf37260c606c8a62e81f7e1c1">
        <w:r>
          <w:rPr>
            <w:rStyle w:val="Hyperlink"/>
          </w:rPr>
          <w:t xml:space="preserve">CA — Avaliação, autorização e monitorização [27](#ca-assessment-authorization-and-monitoring)</w:t>
        </w:r>
      </w:hyperlink>
    </w:p>
    <w:p>
      <w:pPr>
        <w:pStyle w:val="BodyText"/>
      </w:pPr>
      <w:hyperlink w:anchor="X9a85eae3aa7e7f6c624b265df5f618c7f6687c4">
        <w:r>
          <w:rPr>
            <w:rStyle w:val="Hyperlink"/>
          </w:rPr>
          <w:t xml:space="preserve">21. Famílias de controlo: Configuração, Contingência, Identidade, Incidente e Manutenção [28](#control-families-configuration-contingency-identity-incident-and-maintenance)</w:t>
        </w:r>
      </w:hyperlink>
    </w:p>
    <w:p>
      <w:pPr>
        <w:pStyle w:val="BodyText"/>
      </w:pPr>
      <w:hyperlink w:anchor="cm-configuration-management">
        <w:r>
          <w:rPr>
            <w:rStyle w:val="Hyperlink"/>
          </w:rPr>
          <w:t xml:space="preserve">CM — Gestão de Configuração [28](#cm-configuration-management)</w:t>
        </w:r>
      </w:hyperlink>
    </w:p>
    <w:p>
      <w:pPr>
        <w:pStyle w:val="BodyText"/>
      </w:pPr>
      <w:hyperlink w:anchor="cp-contingency-planning">
        <w:r>
          <w:rPr>
            <w:rStyle w:val="Hyperlink"/>
          </w:rPr>
          <w:t xml:space="preserve">CP — Planeamento de contingência [28](#cp-contingency-planning)</w:t>
        </w:r>
      </w:hyperlink>
    </w:p>
    <w:p>
      <w:pPr>
        <w:pStyle w:val="BodyText"/>
      </w:pPr>
      <w:hyperlink w:anchor="ia-identification-and-authentication">
        <w:r>
          <w:rPr>
            <w:rStyle w:val="Hyperlink"/>
          </w:rPr>
          <w:t xml:space="preserve">IA — Identificação e autenticação [28](#ia-identification-and-authentication)</w:t>
        </w:r>
      </w:hyperlink>
    </w:p>
    <w:p>
      <w:pPr>
        <w:pStyle w:val="BodyText"/>
      </w:pPr>
      <w:hyperlink w:anchor="ir-incident-response">
        <w:r>
          <w:rPr>
            <w:rStyle w:val="Hyperlink"/>
          </w:rPr>
          <w:t xml:space="preserve">IR — Resposta ao incidente [28](#ir-incident-response)</w:t>
        </w:r>
      </w:hyperlink>
    </w:p>
    <w:p>
      <w:pPr>
        <w:pStyle w:val="BodyText"/>
      </w:pPr>
      <w:hyperlink w:anchor="ma-maintenance">
        <w:r>
          <w:rPr>
            <w:rStyle w:val="Hyperlink"/>
          </w:rPr>
          <w:t xml:space="preserve">MA — Manutenção [28](#ma-maintenance)</w:t>
        </w:r>
      </w:hyperlink>
    </w:p>
    <w:p>
      <w:pPr>
        <w:pStyle w:val="BodyText"/>
      </w:pPr>
      <w:hyperlink w:anchor="X6c3510bc4da9d566822332ec79bd552eb156ad6">
        <w:r>
          <w:rPr>
            <w:rStyle w:val="Hyperlink"/>
          </w:rPr>
          <w:t xml:space="preserve">22. Famílias de controle: Mídia, Física, Planejamento, Programa e Pessoal [30](#control-families-media-physical-planning-program-and-personnel)</w:t>
        </w:r>
      </w:hyperlink>
    </w:p>
    <w:p>
      <w:pPr>
        <w:pStyle w:val="BodyText"/>
      </w:pPr>
      <w:hyperlink w:anchor="mp-media-protection">
        <w:r>
          <w:rPr>
            <w:rStyle w:val="Hyperlink"/>
          </w:rPr>
          <w:t xml:space="preserve">MP — Proteção de mídia [30](#mp-media-protection)</w:t>
        </w:r>
      </w:hyperlink>
    </w:p>
    <w:p>
      <w:pPr>
        <w:pStyle w:val="BodyText"/>
      </w:pPr>
      <w:hyperlink w:anchor="pe-physical-and-environmental-protection">
        <w:r>
          <w:rPr>
            <w:rStyle w:val="Hyperlink"/>
          </w:rPr>
          <w:t xml:space="preserve">PE — Protecção física e ambiental [30](#pe-physical-and-environmental-protection)</w:t>
        </w:r>
      </w:hyperlink>
    </w:p>
    <w:p>
      <w:pPr>
        <w:pStyle w:val="BodyText"/>
      </w:pPr>
      <w:hyperlink w:anchor="pl-planning">
        <w:r>
          <w:rPr>
            <w:rStyle w:val="Hyperlink"/>
          </w:rPr>
          <w:t xml:space="preserve">PL — Planeamento [30](#pl-planning)</w:t>
        </w:r>
      </w:hyperlink>
    </w:p>
    <w:p>
      <w:pPr>
        <w:pStyle w:val="BodyText"/>
      </w:pPr>
      <w:hyperlink w:anchor="pm-program-management">
        <w:r>
          <w:rPr>
            <w:rStyle w:val="Hyperlink"/>
          </w:rPr>
          <w:t xml:space="preserve">PM — Gestão de Programas [30](#pm-program-management)</w:t>
        </w:r>
      </w:hyperlink>
    </w:p>
    <w:p>
      <w:pPr>
        <w:pStyle w:val="BodyText"/>
      </w:pPr>
      <w:hyperlink w:anchor="ps-personnel-security">
        <w:r>
          <w:rPr>
            <w:rStyle w:val="Hyperlink"/>
          </w:rPr>
          <w:t xml:space="preserve">PS — Segurança do pessoal [30](#ps-personnel-security)</w:t>
        </w:r>
      </w:hyperlink>
    </w:p>
    <w:p>
      <w:pPr>
        <w:pStyle w:val="BodyText"/>
      </w:pPr>
      <w:hyperlink w:anchor="Xc2ea164dbb080304eab977ba77f37e948bd55e5">
        <w:r>
          <w:rPr>
            <w:rStyle w:val="Hyperlink"/>
          </w:rPr>
          <w:t xml:space="preserve">23. Famílias de controlo: privacidade, risco, aquisição, comunicações, integridade e cadeia de abastecimento [32](#control-families-privacy-risk-acquisition-communications-integrity-and-supply-chain)</w:t>
        </w:r>
      </w:hyperlink>
    </w:p>
    <w:p>
      <w:pPr>
        <w:pStyle w:val="BodyText"/>
      </w:pPr>
      <w:hyperlink w:anchor="pt-pii-processing-and-transparency">
        <w:r>
          <w:rPr>
            <w:rStyle w:val="Hyperlink"/>
          </w:rPr>
          <w:t xml:space="preserve">PT — Processamento e Transparência PII [32](#pt-pii-processing-and-transparency)</w:t>
        </w:r>
      </w:hyperlink>
    </w:p>
    <w:p>
      <w:pPr>
        <w:pStyle w:val="BodyText"/>
      </w:pPr>
      <w:hyperlink w:anchor="ra-risk-assessment">
        <w:r>
          <w:rPr>
            <w:rStyle w:val="Hyperlink"/>
          </w:rPr>
          <w:t xml:space="preserve">RA — Avaliação dos riscos [32](#ra-risk-assessment)</w:t>
        </w:r>
      </w:hyperlink>
    </w:p>
    <w:p>
      <w:pPr>
        <w:pStyle w:val="BodyText"/>
      </w:pPr>
      <w:hyperlink w:anchor="sa-system-and-services-acquisition">
        <w:r>
          <w:rPr>
            <w:rStyle w:val="Hyperlink"/>
          </w:rPr>
          <w:t xml:space="preserve">SA — Aquisição de sistemas e serviços [32](#sa-system-and-services-acquisition)</w:t>
        </w:r>
      </w:hyperlink>
    </w:p>
    <w:p>
      <w:pPr>
        <w:pStyle w:val="BodyText"/>
      </w:pPr>
      <w:hyperlink w:anchor="sc-system-and-communications-protection">
        <w:r>
          <w:rPr>
            <w:rStyle w:val="Hyperlink"/>
          </w:rPr>
          <w:t xml:space="preserve">SC — Protecção do sistema e das comunicações [32](#sc-system-and-communications-protection)</w:t>
        </w:r>
      </w:hyperlink>
    </w:p>
    <w:p>
      <w:pPr>
        <w:pStyle w:val="BodyText"/>
      </w:pPr>
      <w:hyperlink w:anchor="si-system-and-information-integrity">
        <w:r>
          <w:rPr>
            <w:rStyle w:val="Hyperlink"/>
          </w:rPr>
          <w:t xml:space="preserve">SI — Integridade do sistema e da informação [32](#si-system-and-information-integrity)</w:t>
        </w:r>
      </w:hyperlink>
    </w:p>
    <w:p>
      <w:pPr>
        <w:pStyle w:val="BodyText"/>
      </w:pPr>
      <w:hyperlink w:anchor="sr-supply-chain-risk-management">
        <w:r>
          <w:rPr>
            <w:rStyle w:val="Hyperlink"/>
          </w:rPr>
          <w:t xml:space="preserve">SR — Gestão do risco da cadeia de abastecimento [33](#sr-supply-chain-risk-management)</w:t>
        </w:r>
      </w:hyperlink>
    </w:p>
    <w:p>
      <w:pPr>
        <w:pStyle w:val="BodyText"/>
      </w:pPr>
      <w:hyperlink w:anchor="Xf712b4878a72cab38b1b33fbe4a4bfd270c7db3">
        <w:r>
          <w:rPr>
            <w:rStyle w:val="Hyperlink"/>
          </w:rPr>
          <w:t xml:space="preserve">24. Privacy Risk and Security–Privacy Collaboration [34](#privacy-risk-and-securityprivacy-collaboration)</w:t>
        </w:r>
      </w:hyperlink>
    </w:p>
    <w:p>
      <w:pPr>
        <w:pStyle w:val="BodyText"/>
      </w:pPr>
      <w:hyperlink w:anchor="collaboration">
        <w:r>
          <w:rPr>
            <w:rStyle w:val="Hyperlink"/>
          </w:rPr>
          <w:t xml:space="preserve">24.1 Colaboração [34](#collaboration)</w:t>
        </w:r>
      </w:hyperlink>
    </w:p>
    <w:p>
      <w:pPr>
        <w:pStyle w:val="BodyText"/>
      </w:pPr>
      <w:hyperlink w:anchor="X69099d490681fa8c5e7d0600594e9d41703046a">
        <w:r>
          <w:rPr>
            <w:rStyle w:val="Hyperlink"/>
          </w:rPr>
          <w:t xml:space="preserve">25. Atualizações de software, confiabilidade de patch e versão 5.2.0 [35](#software-updates-patch-reliability-and-release-5.2.0)</w:t>
        </w:r>
      </w:hyperlink>
    </w:p>
    <w:p>
      <w:pPr>
        <w:pStyle w:val="BodyText"/>
      </w:pPr>
      <w:hyperlink w:anchor="evidence-focus">
        <w:r>
          <w:rPr>
            <w:rStyle w:val="Hyperlink"/>
          </w:rPr>
          <w:t xml:space="preserve">25.1 Concentração em evidência [35](#evidence-focus)</w:t>
        </w:r>
      </w:hyperlink>
    </w:p>
    <w:p>
      <w:pPr>
        <w:pStyle w:val="BodyText"/>
      </w:pPr>
      <w:hyperlink w:anchor="open-source-tools-and-official-resources">
        <w:r>
          <w:rPr>
            <w:rStyle w:val="Hyperlink"/>
          </w:rPr>
          <w:t xml:space="preserve">26. Ferramentas de código aberto e recursos oficiais [36](#open-source-tools-and-official-resources)</w:t>
        </w:r>
      </w:hyperlink>
    </w:p>
    <w:p>
      <w:pPr>
        <w:pStyle w:val="BodyText"/>
      </w:pPr>
      <w:hyperlink w:anchor="nist-cprt">
        <w:r>
          <w:rPr>
            <w:rStyle w:val="Hyperlink"/>
          </w:rPr>
          <w:t xml:space="preserve">26.1 NIST CPRT [36](#nist-cprt)</w:t>
        </w:r>
      </w:hyperlink>
    </w:p>
    <w:p>
      <w:pPr>
        <w:pStyle w:val="BodyText"/>
      </w:pPr>
      <w:hyperlink w:anchor="nist-oscal-content">
        <w:r>
          <w:rPr>
            <w:rStyle w:val="Hyperlink"/>
          </w:rPr>
          <w:t xml:space="preserve">26,2 NIST Conteúdo OSCAL [36](#nist-oscal-content)</w:t>
        </w:r>
      </w:hyperlink>
    </w:p>
    <w:p>
      <w:pPr>
        <w:pStyle w:val="BodyText"/>
      </w:pPr>
      <w:hyperlink w:anchor="compliance-trestle">
        <w:r>
          <w:rPr>
            <w:rStyle w:val="Hyperlink"/>
          </w:rPr>
          <w:t xml:space="preserve">26.3 Trestle de conformidade [37](#compliance-trestle)</w:t>
        </w:r>
      </w:hyperlink>
    </w:p>
    <w:p>
      <w:pPr>
        <w:pStyle w:val="BodyText"/>
      </w:pPr>
      <w:hyperlink w:anchor="lula">
        <w:r>
          <w:rPr>
            <w:rStyle w:val="Hyperlink"/>
          </w:rPr>
          <w:t xml:space="preserve">26.4 Lula [37](#lula)</w:t>
        </w:r>
      </w:hyperlink>
    </w:p>
    <w:p>
      <w:pPr>
        <w:pStyle w:val="BodyText"/>
      </w:pPr>
      <w:hyperlink w:anchor="ciso-assistant">
        <w:r>
          <w:rPr>
            <w:rStyle w:val="Hyperlink"/>
          </w:rPr>
          <w:t xml:space="preserve">26.5 Assistente CISO [37](#ciso-assistant)</w:t>
        </w:r>
      </w:hyperlink>
    </w:p>
    <w:p>
      <w:pPr>
        <w:pStyle w:val="BodyText"/>
      </w:pPr>
      <w:hyperlink w:anchor="heimdall">
        <w:r>
          <w:rPr>
            <w:rStyle w:val="Hyperlink"/>
          </w:rPr>
          <w:t xml:space="preserve">26.6 Heimdall [37](#heimdall)</w:t>
        </w:r>
      </w:hyperlink>
    </w:p>
    <w:p>
      <w:pPr>
        <w:pStyle w:val="BodyText"/>
      </w:pPr>
      <w:hyperlink w:anchor="opencontrol">
        <w:r>
          <w:rPr>
            <w:rStyle w:val="Hyperlink"/>
          </w:rPr>
          <w:t xml:space="preserve">26.7 OpenControl [37](#opencontrol)</w:t>
        </w:r>
      </w:hyperlink>
    </w:p>
    <w:p>
      <w:pPr>
        <w:pStyle w:val="BodyText"/>
      </w:pPr>
      <w:hyperlink w:anchor="oscal-cli">
        <w:r>
          <w:rPr>
            <w:rStyle w:val="Hyperlink"/>
          </w:rPr>
          <w:t xml:space="preserve">26.8 CLI OSCAL [38](#oscal-cli)</w:t>
        </w:r>
      </w:hyperlink>
    </w:p>
    <w:p>
      <w:pPr>
        <w:pStyle w:val="BodyText"/>
      </w:pPr>
      <w:hyperlink w:anchor="wazuh">
        <w:r>
          <w:rPr>
            <w:rStyle w:val="Hyperlink"/>
          </w:rPr>
          <w:t xml:space="preserve">26.9 Wazuh [38](#wazuh)</w:t>
        </w:r>
      </w:hyperlink>
    </w:p>
    <w:p>
      <w:pPr>
        <w:pStyle w:val="BodyText"/>
      </w:pPr>
      <w:hyperlink w:anchor="openscap">
        <w:r>
          <w:rPr>
            <w:rStyle w:val="Hyperlink"/>
          </w:rPr>
          <w:t xml:space="preserve">26.10 OpenSCAP [38](#openscap)</w:t>
        </w:r>
      </w:hyperlink>
    </w:p>
    <w:p>
      <w:pPr>
        <w:pStyle w:val="BodyText"/>
      </w:pPr>
      <w:hyperlink w:anchor="osquery">
        <w:r>
          <w:rPr>
            <w:rStyle w:val="Hyperlink"/>
          </w:rPr>
          <w:t xml:space="preserve">26,11 osquery [38](#osquery)</w:t>
        </w:r>
      </w:hyperlink>
    </w:p>
    <w:p>
      <w:pPr>
        <w:pStyle w:val="BodyText"/>
      </w:pPr>
      <w:hyperlink w:anchor="nmap">
        <w:r>
          <w:rPr>
            <w:rStyle w:val="Hyperlink"/>
          </w:rPr>
          <w:t xml:space="preserve">26,12 Nmap [38](#nmap)</w:t>
        </w:r>
      </w:hyperlink>
    </w:p>
    <w:p>
      <w:pPr>
        <w:pStyle w:val="BodyText"/>
      </w:pPr>
      <w:hyperlink w:anchor="greenbone-community-edition">
        <w:r>
          <w:rPr>
            <w:rStyle w:val="Hyperlink"/>
          </w:rPr>
          <w:t xml:space="preserve">26.13 Greenbone Community Edition [39](#greenbone-community-edition)</w:t>
        </w:r>
      </w:hyperlink>
    </w:p>
    <w:p>
      <w:pPr>
        <w:pStyle w:val="BodyText"/>
      </w:pPr>
      <w:hyperlink w:anchor="trivy">
        <w:r>
          <w:rPr>
            <w:rStyle w:val="Hyperlink"/>
          </w:rPr>
          <w:t xml:space="preserve">26.14 Trivy [39](#trivy)</w:t>
        </w:r>
      </w:hyperlink>
    </w:p>
    <w:p>
      <w:pPr>
        <w:pStyle w:val="BodyText"/>
      </w:pPr>
      <w:hyperlink w:anchor="owasp-zap">
        <w:r>
          <w:rPr>
            <w:rStyle w:val="Hyperlink"/>
          </w:rPr>
          <w:t xml:space="preserve">26,15 OWASP ZAP [39](#owasp-zap)</w:t>
        </w:r>
      </w:hyperlink>
    </w:p>
    <w:p>
      <w:pPr>
        <w:pStyle w:val="BodyText"/>
      </w:pPr>
      <w:hyperlink w:anchor="keycloak">
        <w:r>
          <w:rPr>
            <w:rStyle w:val="Hyperlink"/>
          </w:rPr>
          <w:t xml:space="preserve">26.16 Keycloak [39](#keycloak)</w:t>
        </w:r>
      </w:hyperlink>
    </w:p>
    <w:p>
      <w:pPr>
        <w:pStyle w:val="BodyText"/>
      </w:pPr>
      <w:hyperlink w:anchor="defectdojo">
        <w:r>
          <w:rPr>
            <w:rStyle w:val="Hyperlink"/>
          </w:rPr>
          <w:t xml:space="preserve">26.17 DefectDojo [40](#defectdojo)</w:t>
        </w:r>
      </w:hyperlink>
    </w:p>
    <w:p>
      <w:pPr>
        <w:pStyle w:val="BodyText"/>
      </w:pPr>
      <w:hyperlink w:anchor="open-policy-agent">
        <w:r>
          <w:rPr>
            <w:rStyle w:val="Hyperlink"/>
          </w:rPr>
          <w:t xml:space="preserve">26.18 Agente de política aberta [40](#open-policy-agent)</w:t>
        </w:r>
      </w:hyperlink>
    </w:p>
    <w:p>
      <w:pPr>
        <w:pStyle w:val="BodyText"/>
      </w:pPr>
      <w:hyperlink w:anchor="managers-rmf-playbook">
        <w:r>
          <w:rPr>
            <w:rStyle w:val="Hyperlink"/>
          </w:rPr>
          <w:t xml:space="preserve">27. Manual do RMF para gerentes [41](#managers-rmf-playbook)</w:t>
        </w:r>
      </w:hyperlink>
    </w:p>
    <w:p>
      <w:pPr>
        <w:pStyle w:val="BodyText"/>
      </w:pPr>
      <w:hyperlink w:anchor="manager-rhythm">
        <w:r>
          <w:rPr>
            <w:rStyle w:val="Hyperlink"/>
          </w:rPr>
          <w:t xml:space="preserve">27.1 Ritmo do gestor [41](#manager-rhythm)</w:t>
        </w:r>
      </w:hyperlink>
    </w:p>
    <w:p>
      <w:pPr>
        <w:pStyle w:val="BodyText"/>
      </w:pPr>
      <w:hyperlink w:anchor="junior-analyst-career-guide">
        <w:r>
          <w:rPr>
            <w:rStyle w:val="Hyperlink"/>
          </w:rPr>
          <w:t xml:space="preserve">28. Guia de carreira do analista júnior [42](#junior-analyst-career-guide)</w:t>
        </w:r>
      </w:hyperlink>
    </w:p>
    <w:p>
      <w:pPr>
        <w:pStyle w:val="BodyText"/>
      </w:pPr>
      <w:hyperlink w:anchor="common-roles">
        <w:r>
          <w:rPr>
            <w:rStyle w:val="Hyperlink"/>
          </w:rPr>
          <w:t xml:space="preserve">28.1 Funções comuns [42](#common-roles)</w:t>
        </w:r>
      </w:hyperlink>
    </w:p>
    <w:p>
      <w:pPr>
        <w:pStyle w:val="BodyText"/>
      </w:pPr>
      <w:hyperlink w:anchor="typical-work">
        <w:r>
          <w:rPr>
            <w:rStyle w:val="Hyperlink"/>
          </w:rPr>
          <w:t xml:space="preserve">28.2 Trabalho típico [42](#typical-work)</w:t>
        </w:r>
      </w:hyperlink>
    </w:p>
    <w:p>
      <w:pPr>
        <w:pStyle w:val="BodyText"/>
      </w:pPr>
      <w:hyperlink w:anchor="X8093991b9c55eb8947e5c055268ceee84e509f9">
        <w:r>
          <w:rPr>
            <w:rStyle w:val="Hyperlink"/>
          </w:rPr>
          <w:t xml:space="preserve">29. Laboratório Fictício, Plano de Trinta Dias e Preparação de Entrevistas [44](#fictional-laboratory-thirty-day-plan-and-interview-preparation)</w:t>
        </w:r>
      </w:hyperlink>
    </w:p>
    <w:p>
      <w:pPr>
        <w:pStyle w:val="BodyText"/>
      </w:pPr>
      <w:hyperlink w:anchor="portfolio-lab">
        <w:r>
          <w:rPr>
            <w:rStyle w:val="Hyperlink"/>
          </w:rPr>
          <w:t xml:space="preserve">29.1 Laboratório de carteira [44](#portfolio-lab)</w:t>
        </w:r>
      </w:hyperlink>
    </w:p>
    <w:p>
      <w:pPr>
        <w:pStyle w:val="BodyText"/>
      </w:pPr>
      <w:hyperlink w:anchor="thirty-day-plan">
        <w:r>
          <w:rPr>
            <w:rStyle w:val="Hyperlink"/>
          </w:rPr>
          <w:t xml:space="preserve">29.2 Plano de trinta dias [44](#thirty-day-plan)</w:t>
        </w:r>
      </w:hyperlink>
    </w:p>
    <w:p>
      <w:pPr>
        <w:pStyle w:val="BodyText"/>
      </w:pPr>
      <w:hyperlink w:anchor="what-is-rmf">
        <w:r>
          <w:rPr>
            <w:rStyle w:val="Hyperlink"/>
          </w:rPr>
          <w:t xml:space="preserve">29.3 O que é RMF? [44](#what-is-rmf)</w:t>
        </w:r>
      </w:hyperlink>
    </w:p>
    <w:p>
      <w:pPr>
        <w:pStyle w:val="BodyText"/>
      </w:pPr>
      <w:hyperlink w:anchor="is-sp-800-53-a-checklist">
        <w:r>
          <w:rPr>
            <w:rStyle w:val="Hyperlink"/>
          </w:rPr>
          <w:t xml:space="preserve">29.4 O SP 800-53 é uma lista de verificação? [45](#is-sp-800-53-a-checklist)</w:t>
        </w:r>
      </w:hyperlink>
    </w:p>
    <w:p>
      <w:pPr>
        <w:pStyle w:val="BodyText"/>
      </w:pPr>
      <w:hyperlink w:anchor="what-is-a-baseline">
        <w:r>
          <w:rPr>
            <w:rStyle w:val="Hyperlink"/>
          </w:rPr>
          <w:t xml:space="preserve">29, 5 O que é uma linha de base? [45](#what-is-a-baseline)</w:t>
        </w:r>
      </w:hyperlink>
    </w:p>
    <w:p>
      <w:pPr>
        <w:pStyle w:val="BodyText"/>
      </w:pPr>
      <w:r>
        <w:t xml:space="preserve">[29.6 O que é a alfaiataria? [45] (#what-is-tailoring)] (#what-is-tailoring)</w:t>
      </w:r>
    </w:p>
    <w:p>
      <w:pPr>
        <w:pStyle w:val="BodyText"/>
      </w:pPr>
      <w:hyperlink w:anchor="what-is-control-inheritance">
        <w:r>
          <w:rPr>
            <w:rStyle w:val="Hyperlink"/>
          </w:rPr>
          <w:t xml:space="preserve">29.7 O que é a herança de controlo? [45](#what-is-control-inheritance)</w:t>
        </w:r>
      </w:hyperlink>
    </w:p>
    <w:p>
      <w:pPr>
        <w:pStyle w:val="BodyText"/>
      </w:pPr>
      <w:hyperlink w:anchor="how-do-you-assess-a-control">
        <w:r>
          <w:rPr>
            <w:rStyle w:val="Hyperlink"/>
          </w:rPr>
          <w:t xml:space="preserve">29,8 Como você avalia um controle? [45](#how-do-you-assess-a-control)</w:t>
        </w:r>
      </w:hyperlink>
    </w:p>
    <w:p>
      <w:pPr>
        <w:pStyle w:val="BodyText"/>
      </w:pPr>
      <w:r>
        <w:t xml:space="preserve">[29.9 O que é autorização? [45] (#what-is-authorization)] (#what-is-authorization)</w:t>
      </w:r>
    </w:p>
    <w:p>
      <w:pPr>
        <w:pStyle w:val="BodyText"/>
      </w:pPr>
      <w:hyperlink w:anchor="what-is-a-poam">
        <w:r>
          <w:rPr>
            <w:rStyle w:val="Hyperlink"/>
          </w:rPr>
          <w:t xml:space="preserve">29.10 O que é um POA&amp;M? [45](#what-is-a-poam)</w:t>
        </w:r>
      </w:hyperlink>
    </w:p>
    <w:p>
      <w:pPr>
        <w:pStyle w:val="BodyText"/>
      </w:pPr>
      <w:r>
        <w:t xml:space="preserve">[29.11 O que é OSCAL? [45] (#what-is-oscal)] (#what-is-oscal)</w:t>
      </w:r>
    </w:p>
    <w:p>
      <w:pPr>
        <w:pStyle w:val="BodyText"/>
      </w:pPr>
      <w:hyperlink w:anchor="what-is-current-sp-800-53">
        <w:r>
          <w:rPr>
            <w:rStyle w:val="Hyperlink"/>
          </w:rPr>
          <w:t xml:space="preserve">29.12 O que é o SP atual 800-53? [45](#what-is-current-sp-800-53)</w:t>
        </w:r>
      </w:hyperlink>
    </w:p>
    <w:p>
      <w:pPr>
        <w:pStyle w:val="BodyText"/>
      </w:pPr>
      <w:hyperlink w:anchor="templates-glossary-index-and-references">
        <w:r>
          <w:rPr>
            <w:rStyle w:val="Hyperlink"/>
          </w:rPr>
          <w:t xml:space="preserve">30. Modelos, Glossário, Índice e Referências [46](#templates-glossary-index-and-references)</w:t>
        </w:r>
      </w:hyperlink>
    </w:p>
    <w:p>
      <w:pPr>
        <w:pStyle w:val="BodyText"/>
      </w:pPr>
      <w:hyperlink w:anchor="system-and-boundary-record">
        <w:r>
          <w:rPr>
            <w:rStyle w:val="Hyperlink"/>
          </w:rPr>
          <w:t xml:space="preserve">30.1 Registo do sistema e dos limites [46](#system-and-boundary-record)</w:t>
        </w:r>
      </w:hyperlink>
    </w:p>
    <w:p>
      <w:pPr>
        <w:pStyle w:val="BodyText"/>
      </w:pPr>
      <w:hyperlink w:anchor="control-implementation-workpaper">
        <w:r>
          <w:rPr>
            <w:rStyle w:val="Hyperlink"/>
          </w:rPr>
          <w:t xml:space="preserve">30.2 Documento de execução do controlo [46](#control-implementation-workpaper)</w:t>
        </w:r>
      </w:hyperlink>
    </w:p>
    <w:p>
      <w:pPr>
        <w:pStyle w:val="BodyText"/>
      </w:pPr>
      <w:hyperlink w:anchor="assessment-and-finding-record">
        <w:r>
          <w:rPr>
            <w:rStyle w:val="Hyperlink"/>
          </w:rPr>
          <w:t xml:space="preserve">30,3 Registo de avaliação e de verificação [46](#assessment-and-finding-record)</w:t>
        </w:r>
      </w:hyperlink>
    </w:p>
    <w:p>
      <w:pPr>
        <w:pStyle w:val="BodyText"/>
      </w:pPr>
      <w:hyperlink w:anchor="authorization-and-monitoring-record">
        <w:r>
          <w:rPr>
            <w:rStyle w:val="Hyperlink"/>
          </w:rPr>
          <w:t xml:space="preserve">30.4 Registo de autorização e monitorização [46](#authorization-and-monitoring-record)</w:t>
        </w:r>
      </w:hyperlink>
    </w:p>
    <w:p>
      <w:pPr>
        <w:pStyle w:val="BodyText"/>
      </w:pPr>
      <w:hyperlink w:anchor="glossary">
        <w:r>
          <w:rPr>
            <w:rStyle w:val="Hyperlink"/>
          </w:rPr>
          <w:t xml:space="preserve">30,5 Glossário [47](#glossary)</w:t>
        </w:r>
      </w:hyperlink>
    </w:p>
    <w:p>
      <w:pPr>
        <w:pStyle w:val="BodyText"/>
      </w:pPr>
      <w:hyperlink w:anchor="subject-index">
        <w:r>
          <w:rPr>
            <w:rStyle w:val="Hyperlink"/>
          </w:rPr>
          <w:t xml:space="preserve">30,6 Índice de assunto [47](#subject-index)</w:t>
        </w:r>
      </w:hyperlink>
    </w:p>
    <w:p>
      <w:pPr>
        <w:pStyle w:val="BodyText"/>
      </w:pPr>
      <w:hyperlink w:anchor="official-references">
        <w:r>
          <w:rPr>
            <w:rStyle w:val="Hyperlink"/>
          </w:rPr>
          <w:t xml:space="preserve">30.7 Referências oficiais [47](#official-references)</w:t>
        </w:r>
      </w:hyperlink>
    </w:p>
    <w:p>
      <w:pPr>
        <w:pStyle w:val="BodyText"/>
      </w:pPr>
      <w:r>
        <w:t xml:space="preserve">Guia do Capítulo</w:t>
      </w:r>
    </w:p>
    <w:bookmarkEnd w:id="21"/>
    <w:bookmarkStart w:id="22" w:name="capítulo-título-início-na-página"/>
    <w:p>
      <w:pPr>
        <w:pStyle w:val="Heading2"/>
      </w:pPr>
      <w:r>
        <w:t xml:space="preserve">Capítulo** Título** Início na página**</w:t>
      </w:r>
    </w:p>
    <w:p>
      <w:pPr>
        <w:pStyle w:val="FirstParagraph"/>
      </w:pPr>
      <w:r>
        <w:t xml:space="preserve">Fundação RMF e SP 800-53</w:t>
      </w:r>
      <w:r>
        <w:t xml:space="preserve"> </w:t>
      </w:r>
      <w:r>
        <w:t xml:space="preserve">Suíte de Publicação NIST atual</w:t>
      </w:r>
      <w:r>
        <w:t xml:space="preserve"> </w:t>
      </w:r>
      <w:r>
        <w:t xml:space="preserve">3 Governança, Funções e Decisões de Risco</w:t>
      </w:r>
      <w:r>
        <w:t xml:space="preserve"> </w:t>
      </w:r>
      <w:r>
        <w:t xml:space="preserve">4 Ciclo de vida do sistema, escopo, e limite de autorização</w:t>
      </w:r>
      <w:r>
        <w:t xml:space="preserve"> </w:t>
      </w:r>
      <w:r>
        <w:t xml:space="preserve">Preparar ao nível da organização</w:t>
      </w:r>
      <w:r>
        <w:t xml:space="preserve"> </w:t>
      </w:r>
      <w:r>
        <w:t xml:space="preserve">Preparar ao nível do sistema</w:t>
      </w:r>
      <w:r>
        <w:t xml:space="preserve"> </w:t>
      </w:r>
      <w:r>
        <w:t xml:space="preserve">7 Categorizar o Sistema 11</w:t>
      </w:r>
      <w:r>
        <w:t xml:space="preserve"> </w:t>
      </w:r>
      <w:r>
        <w:t xml:space="preserve">8 Select Controls 12</w:t>
      </w:r>
      <w:r>
        <w:t xml:space="preserve"> </w:t>
      </w:r>
      <w:r>
        <w:t xml:space="preserve">Controlos de Implementação</w:t>
      </w:r>
      <w:r>
        <w:t xml:space="preserve"> </w:t>
      </w:r>
      <w:r>
        <w:t xml:space="preserve">* 10 * Avaliar controles * 14 *</w:t>
      </w:r>
      <w:r>
        <w:t xml:space="preserve"> </w:t>
      </w:r>
      <w:r>
        <w:t xml:space="preserve">Autorizar o sistema ou os controles comuns</w:t>
      </w:r>
      <w:r>
        <w:t xml:space="preserve"> </w:t>
      </w:r>
      <w:r>
        <w:t xml:space="preserve">Monitorar continuamente</w:t>
      </w:r>
      <w:r>
        <w:t xml:space="preserve"> </w:t>
      </w:r>
      <w:r>
        <w:t xml:space="preserve">• 13 • Bases de Controle e Alfaiataria</w:t>
      </w:r>
      <w:r>
        <w:t xml:space="preserve"> </w:t>
      </w:r>
      <w:r>
        <w:t xml:space="preserve">Controles comuns, híbridos e específicos do sistema</w:t>
      </w:r>
      <w:r>
        <w:t xml:space="preserve"> </w:t>
      </w:r>
      <w:r>
        <w:t xml:space="preserve">. . . . . . . . . .</w:t>
      </w:r>
      <w:r>
        <w:t xml:space="preserve"> </w:t>
      </w:r>
      <w:r>
        <w:t xml:space="preserve">O planeamento e a evidência da avaliação</w:t>
      </w:r>
      <w:r>
        <w:t xml:space="preserve"> </w:t>
      </w:r>
      <w:r>
        <w:t xml:space="preserve">Pacote de Autorização e POA&amp;M .</w:t>
      </w:r>
      <w:r>
        <w:t xml:space="preserve"> </w:t>
      </w:r>
      <w:r>
        <w:t xml:space="preserve">Estratégia de Monitorização Contínua</w:t>
      </w:r>
      <w:r>
        <w:t xml:space="preserve"> </w:t>
      </w:r>
      <w:r>
        <w:t xml:space="preserve">OSCAL e Automação</w:t>
      </w:r>
      <w:r>
        <w:t xml:space="preserve"> </w:t>
      </w:r>
      <w:r>
        <w:t xml:space="preserve">20 Famílias de Controle: Acesso, Consciência, Auditoria e Avaliação</w:t>
      </w:r>
      <w:r>
        <w:t xml:space="preserve"> </w:t>
      </w:r>
      <w:r>
        <w:t xml:space="preserve">Famílias de Controle: Configuração, Contingência, Identidade, Incidente e Manutenção</w:t>
      </w:r>
      <w:r>
        <w:t xml:space="preserve"> </w:t>
      </w:r>
      <w:r>
        <w:t xml:space="preserve">22 Famílias de Controle: Mídia, Física, Planejamento, Programa e Pessoal</w:t>
      </w:r>
      <w:r>
        <w:t xml:space="preserve"> </w:t>
      </w:r>
      <w:r>
        <w:t xml:space="preserve">Famílias de controle: Privacy, Risk, Acquisition, Communications, Integrity, and Supply Chain 31</w:t>
      </w:r>
      <w:r>
        <w:t xml:space="preserve"> </w:t>
      </w:r>
      <w:r>
        <w:t xml:space="preserve">Privacidade Risco e Segurança – Colaboração Privacidade</w:t>
      </w:r>
      <w:r>
        <w:t xml:space="preserve"> </w:t>
      </w:r>
      <w:r>
        <w:t xml:space="preserve">Mais de 25 Atualizações de Software, Confiabilidade de Patch e Lançamento 5.2.0</w:t>
      </w:r>
      <w:r>
        <w:t xml:space="preserve"> </w:t>
      </w:r>
      <w:r>
        <w:t xml:space="preserve">26 Ferramentas de Código Aberto e Recursos Oficiais</w:t>
      </w:r>
      <w:r>
        <w:t xml:space="preserve"> </w:t>
      </w:r>
      <w:r>
        <w:t xml:space="preserve">RMF Playbook do gerente</w:t>
      </w:r>
      <w:r>
        <w:t xml:space="preserve"> </w:t>
      </w:r>
      <w:r>
        <w:t xml:space="preserve">Guia de carreira do analista júnior</w:t>
      </w:r>
      <w:r>
        <w:t xml:space="preserve"> </w:t>
      </w:r>
      <w:r>
        <w:t xml:space="preserve">29 Laboratório Fictício, Plano de Trinta Dias e Preparação de Entrevistas . 43 .</w:t>
      </w:r>
      <w:r>
        <w:t xml:space="preserve"> </w:t>
      </w:r>
      <w:r>
        <w:t xml:space="preserve">Modelos, Glossário, Índice e Referências</w:t>
      </w:r>
    </w:p>
    <w:bookmarkEnd w:id="22"/>
    <w:bookmarkStart w:id="27" w:name="fundação-rmf-e-sp-800-53"/>
    <w:p>
      <w:pPr>
        <w:pStyle w:val="Heading1"/>
      </w:pPr>
      <w:r>
        <w:t xml:space="preserve">1. Fundação RMF e SP 800-53</w:t>
      </w:r>
    </w:p>
    <w:p>
      <w:pPr>
        <w:pStyle w:val="FirstParagraph"/>
      </w:pPr>
      <w:r>
        <w:t xml:space="preserve">*RMF gerencia risco de segurança e privacidade através de decisões de ciclo de vida responsável.</w:t>
      </w:r>
    </w:p>
    <w:p>
      <w:pPr>
        <w:pStyle w:val="CaptionedFigure"/>
      </w:pPr>
      <w:r>
        <w:drawing>
          <wp:inline>
            <wp:extent cx="5334000" cy="2945449"/>
            <wp:effectExtent b="0" l="0" r="0" t="0"/>
            <wp:docPr descr="Prepare suporta cada passo, e Monitor alimenta novas informações de volta às decisões de risco." title="" id="24" name="Picture"/>
            <a:graphic>
              <a:graphicData uri="http://schemas.openxmlformats.org/drawingml/2006/picture">
                <pic:pic>
                  <pic:nvPicPr>
                    <pic:cNvPr descr="media/image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54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Prepare suporta cada passo, e Monitor alimenta novas informações de volta às decisões de risco.</w:t>
      </w:r>
    </w:p>
    <w:p>
      <w:pPr>
        <w:pStyle w:val="BodyText"/>
      </w:pPr>
      <w:r>
        <w:t xml:space="preserve">Figura 1. Sete passos RMF</w:t>
      </w:r>
    </w:p>
    <w:bookmarkStart w:id="26" w:name="não-é-o-mesmo-que"/>
    <w:p>
      <w:pPr>
        <w:pStyle w:val="Heading2"/>
      </w:pPr>
      <w:r>
        <w:t xml:space="preserve">Não é o mesmo que**</w:t>
      </w:r>
    </w:p>
    <w:p>
      <w:pPr>
        <w:pStyle w:val="FirstParagraph"/>
      </w:pPr>
      <w:r>
        <w:t xml:space="preserve">RMF Processo para organização e gestão de riscos do sistema .</w:t>
      </w:r>
      <w:r>
        <w:t xml:space="preserve"> </w:t>
      </w:r>
      <w:r>
        <w:t xml:space="preserve">* SP 800-53 * Catálogo flexível de controlo de segurança e privacidade * Uma lista de verificação universal ou linha de base</w:t>
      </w:r>
      <w:r>
        <w:t xml:space="preserve"> </w:t>
      </w:r>
      <w:r>
        <w:rPr>
          <w:iCs/>
          <w:i/>
        </w:rPr>
        <w:t xml:space="preserve"> </w:t>
      </w:r>
      <w:r>
        <w:t xml:space="preserve"> </w:t>
      </w:r>
      <w:r>
        <w:t xml:space="preserve">SP 800-53B * Federal baixa, moderada, alta e bases de dados de privacidade, além de orientação de alfaiataria * Um conjunto de controle final personalizado *</w:t>
      </w:r>
      <w:r>
        <w:t xml:space="preserve"> </w:t>
      </w:r>
      <w:r>
        <w:t xml:space="preserve">• SP 800-53A • Metodologia e procedimentos de avaliação</w:t>
      </w:r>
      <w:r>
        <w:t xml:space="preserve"> </w:t>
      </w:r>
      <w:r>
        <w:t xml:space="preserve">• Autorização • Decisão de risco do funcionário principal baseada num pacote de provas</w:t>
      </w:r>
      <w:r>
        <w:t xml:space="preserve"> </w:t>
      </w:r>
      <w:r>
        <w:t xml:space="preserve">• Monitoramento contínuo • Conscientização contínua dos controles, mudanças e riscos</w:t>
      </w:r>
    </w:p>
    <w:p>
      <w:pPr>
        <w:pStyle w:val="BodyText"/>
      </w:pPr>
      <w:r>
        <w:t xml:space="preserve">*Idéia Core:** Os controles reduzem o risco somente quando são corretamente selecionados, implementados, operados, avaliados, corrigidos e monitorados no contexto real do sistema. □</w:t>
      </w:r>
      <w:r>
        <w:t xml:space="preserve"> </w:t>
      </w:r>
      <w:r>
        <w:t xml:space="preserve">□———————————————————————————————————————————————————————————————————————————–</w:t>
      </w:r>
    </w:p>
    <w:bookmarkEnd w:id="26"/>
    <w:bookmarkEnd w:id="27"/>
    <w:bookmarkStart w:id="29" w:name="current-nist-publication-suite"/>
    <w:p>
      <w:pPr>
        <w:pStyle w:val="Heading1"/>
      </w:pPr>
      <w:r>
        <w:t xml:space="preserve">2. Current NIST Publication Suite</w:t>
      </w:r>
    </w:p>
    <w:p>
      <w:pPr>
        <w:pStyle w:val="FirstParagraph"/>
      </w:pPr>
      <w:r>
        <w:rPr>
          <w:iCs/>
          <w:i/>
        </w:rPr>
        <w:t xml:space="preserve">Use a fonte oficial atual e entenda como cada publicação suporta o todo.</w:t>
      </w:r>
    </w:p>
    <w:bookmarkStart w:id="28" w:name="publicaçãorecurso-uso-actual"/>
    <w:p>
      <w:pPr>
        <w:pStyle w:val="Heading2"/>
      </w:pPr>
      <w:r>
        <w:rPr>
          <w:bCs/>
          <w:b/>
        </w:rPr>
        <w:t xml:space="preserve">Publicação/recurso</w:t>
      </w:r>
      <w:r>
        <w:t xml:space="preserve"> </w:t>
      </w:r>
      <w:r>
        <w:rPr>
          <w:bCs/>
          <w:b/>
        </w:rPr>
        <w:t xml:space="preserve">Uso actual</w:t>
      </w:r>
    </w:p>
    <w:p>
      <w:pPr>
        <w:numPr>
          <w:ilvl w:val="0"/>
          <w:numId w:val="1002"/>
        </w:numPr>
        <w:pStyle w:val="Compact"/>
      </w:pPr>
      <w:r>
        <w:t xml:space="preserve">SP 800-37 Rev. 2 * Seven-step RMF tarefas, papéis, organização / sistema de preparação e gerenciamento de risco de ciclo de vida</w:t>
      </w:r>
      <w:r>
        <w:t xml:space="preserve"> </w:t>
      </w:r>
      <w:r>
        <w:t xml:space="preserve">□ SP 800-53 Release 5.2.0 □ Catálogo de controle de segurança e privacidade atual, incluindo atualização de software e alterações de patches 2025</w:t>
      </w:r>
      <w:r>
        <w:t xml:space="preserve"> </w:t>
      </w:r>
      <w:r>
        <w:t xml:space="preserve">□ SP 800-53A Release 5.2.0 □ Procedimentos de avaliação actuais correspondentes à Release 5.2.0</w:t>
      </w:r>
      <w:r>
        <w:t xml:space="preserve"> </w:t>
      </w:r>
      <w:r>
        <w:t xml:space="preserve">□ SP 800-53B Release 5.2.0 □ Federal baixa/moderada/alta e valores basais de privacidade; 2025 a reemissão não fez alterações na linha de base</w:t>
      </w:r>
      <w:r>
        <w:t xml:space="preserve"> </w:t>
      </w:r>
      <w:r>
        <w:t xml:space="preserve">• SP 800-18 Rev. 2 • Segurança do sistema, privacidade e elementos de plano C-SCRM; ênfase legível por máquina</w:t>
      </w:r>
      <w:r>
        <w:t xml:space="preserve"> </w:t>
      </w:r>
      <w:r>
        <w:t xml:space="preserve">Guia de avaliação de risco</w:t>
      </w:r>
    </w:p>
    <w:p>
      <w:pPr>
        <w:numPr>
          <w:ilvl w:val="0"/>
          <w:numId w:val="1002"/>
        </w:numPr>
        <w:pStyle w:val="Compact"/>
      </w:pPr>
      <w:r>
        <w:t xml:space="preserve">SP 800-39 * Gestão do risco a nível da organização em três níveis *</w:t>
      </w:r>
      <w:r>
        <w:t xml:space="preserve"> </w:t>
      </w:r>
      <w:r>
        <w:t xml:space="preserve">Navegador e downloads para controles, linhas de base, procedimentos e referências atuais</w:t>
      </w:r>
      <w:r>
        <w:t xml:space="preserve"> </w:t>
      </w:r>
      <w:r>
        <w:t xml:space="preserve">Modelos legíveis por máquina para catálogos, perfis, componentes, SSPs, avaliações e POA&amp;Ms</w:t>
      </w:r>
    </w:p>
    <w:p>
      <w:pPr>
        <w:pStyle w:val="FirstParagraph"/>
      </w:pPr>
      <w:r>
        <w:t xml:space="preserve">Controle de versão:** Grave a publicação da fonte, lançamento, formato, data de recuperação, perfil/versão base e alfaiataria local. Nunca misture texto, procedimentos e linhas de base de diferentes versões sem análise. □</w:t>
      </w:r>
      <w:r>
        <w:t xml:space="preserve"> </w:t>
      </w:r>
      <w:r>
        <w:t xml:space="preserve">O que é que se passa?</w:t>
      </w:r>
    </w:p>
    <w:bookmarkEnd w:id="28"/>
    <w:bookmarkEnd w:id="29"/>
    <w:bookmarkStart w:id="33" w:name="governança-funções-e-decisões-de-risco"/>
    <w:p>
      <w:pPr>
        <w:pStyle w:val="Heading1"/>
      </w:pPr>
      <w:r>
        <w:t xml:space="preserve">3. Governança, Funções e Decisões de Risco</w:t>
      </w:r>
    </w:p>
    <w:p>
      <w:pPr>
        <w:pStyle w:val="FirstParagraph"/>
      </w:pPr>
      <w:r>
        <w:rPr>
          <w:iCs/>
          <w:i/>
        </w:rPr>
        <w:t xml:space="preserve">RMF papéis implementação separada, avaliação, propriedade e aceitação de risco.</w:t>
      </w:r>
    </w:p>
    <w:p>
      <w:pPr>
        <w:pStyle w:val="CaptionedFigure"/>
      </w:pPr>
      <w:r>
        <w:drawing>
          <wp:inline>
            <wp:extent cx="5334000" cy="2945449"/>
            <wp:effectExtent b="0" l="0" r="0" t="0"/>
            <wp:docPr descr="Enterprise direction, mission/business needs, and system controls must stay connected." title="" id="31" name="Picture"/>
            <a:graphic>
              <a:graphicData uri="http://schemas.openxmlformats.org/drawingml/2006/picture">
                <pic:pic>
                  <pic:nvPicPr>
                    <pic:cNvPr descr="media/image2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54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Enterprise direction, mission/business needs, and system controls must stay connected.</w:t>
      </w:r>
    </w:p>
    <w:p>
      <w:pPr>
        <w:pStyle w:val="BodyText"/>
      </w:pPr>
      <w:r>
        <w:t xml:space="preserve">Figura 2. Três níveis de gestão de risco</w:t>
      </w:r>
    </w:p>
    <w:p>
      <w:pPr>
        <w:pStyle w:val="BodyText"/>
      </w:pPr>
      <w:r>
        <w:t xml:space="preserve">** ** ** ** Responsabilidade primordial**</w:t>
      </w:r>
      <w:r>
        <w:t xml:space="preserve"> </w:t>
      </w:r>
      <w:r>
        <w:t xml:space="preserve">□———————————————————————————————————————————————————————————–</w:t>
      </w:r>
      <w:r>
        <w:t xml:space="preserve"> </w:t>
      </w:r>
      <w:r>
        <w:t xml:space="preserve">Chefe da agência/organização</w:t>
      </w:r>
      <w:r>
        <w:t xml:space="preserve"> </w:t>
      </w:r>
      <w:r>
        <w:t xml:space="preserve">• Executivo de risco (função)</w:t>
      </w:r>
      <w:r>
        <w:t xml:space="preserve"> </w:t>
      </w:r>
      <w:r>
        <w:t xml:space="preserve">□ Autorizando oficial □ Aceita sistema/risco de controle comum ou impõe condições/autorização de negação</w:t>
      </w:r>
      <w:r>
        <w:t xml:space="preserve"> </w:t>
      </w:r>
      <w:r>
        <w:t xml:space="preserve">□ Autorização oficial designado representante □ Coordena as atividades como delegadas; não herda autoridade de risco não remunerada</w:t>
      </w:r>
      <w:r>
        <w:t xml:space="preserve"> </w:t>
      </w:r>
      <w:r>
        <w:t xml:space="preserve">O proprietário do sistema □ Missão, recursos, planos, controles, pacote e operação do sistema</w:t>
      </w:r>
      <w:r>
        <w:t xml:space="preserve"> </w:t>
      </w:r>
      <w:r>
        <w:t xml:space="preserve">□ Titular da informação / administrador □ Requisitos de informação, impacto, uso, compartilhamento e proteção</w:t>
      </w:r>
      <w:r>
        <w:t xml:space="preserve"> </w:t>
      </w:r>
      <w:r>
        <w:t xml:space="preserve">□ Segurança / agentes de privacidade</w:t>
      </w:r>
      <w:r>
        <w:t xml:space="preserve"> </w:t>
      </w:r>
      <w:r>
        <w:t xml:space="preserve">□ Control provider □ Implementos e documentos comuns, híbridos ou controles específicos do sistema</w:t>
      </w:r>
      <w:r>
        <w:t xml:space="preserve"> </w:t>
      </w:r>
      <w:r>
        <w:t xml:space="preserve">□ Avaliador de controle Planeia e realiza avaliação objetiva; relata resultados e limites</w:t>
      </w:r>
      <w:r>
        <w:t xml:space="preserve"> </w:t>
      </w:r>
      <w:r>
        <w:t xml:space="preserve">O administrador/engenheiro do sistema □ Constrói, configura, opera, monitora e corrige as capacidades do sistema</w:t>
      </w:r>
      <w:r>
        <w:t xml:space="preserve"> </w:t>
      </w:r>
      <w:r>
        <w:t xml:space="preserve">Arquiteto empresarial / proprietário da missão</w:t>
      </w:r>
    </w:p>
    <w:bookmarkEnd w:id="33"/>
    <w:bookmarkStart w:id="36" w:name="X19123fecfe4e0a0f6c0f22a25aaa3b59a7f0198"/>
    <w:p>
      <w:pPr>
        <w:pStyle w:val="Heading1"/>
      </w:pPr>
      <w:r>
        <w:t xml:space="preserve">4. Ciclo de vida do sistema, escopo, e limite de autorização</w:t>
      </w:r>
    </w:p>
    <w:p>
      <w:pPr>
        <w:pStyle w:val="FirstParagraph"/>
      </w:pPr>
      <w:r>
        <w:rPr>
          <w:iCs/>
          <w:i/>
        </w:rPr>
        <w:t xml:space="preserve">Um limite claro é a base para categorização, controles, avaliação e autorização.</w:t>
      </w:r>
    </w:p>
    <w:bookmarkStart w:id="34" w:name="perguntas-de-limite"/>
    <w:p>
      <w:pPr>
        <w:pStyle w:val="Heading2"/>
      </w:pPr>
      <w:r>
        <w:t xml:space="preserve">4.1 Perguntas de limite</w:t>
      </w:r>
    </w:p>
    <w:p>
      <w:pPr>
        <w:numPr>
          <w:ilvl w:val="0"/>
          <w:numId w:val="1003"/>
        </w:numPr>
      </w:pPr>
      <w:r>
        <w:t xml:space="preserve">Que missão ou função de negócios o sistema suporta?</w:t>
      </w:r>
    </w:p>
    <w:p>
      <w:pPr>
        <w:numPr>
          <w:ilvl w:val="0"/>
          <w:numId w:val="1003"/>
        </w:numPr>
      </w:pPr>
      <w:r>
        <w:t xml:space="preserve">Quais pessoas, processos, aplicações, serviços, dispositivos, redes, dados, interfaces, locais, recursos de nuvem, tecnologia operacional e fornecedores pertencem ao interior?</w:t>
      </w:r>
    </w:p>
    <w:p>
      <w:pPr>
        <w:numPr>
          <w:ilvl w:val="0"/>
          <w:numId w:val="1003"/>
        </w:numPr>
      </w:pPr>
      <w:r>
        <w:t xml:space="preserve">O que está lá fora senão ligado, herdado, confiado ou gerido através de um acordo?</w:t>
      </w:r>
    </w:p>
    <w:p>
      <w:pPr>
        <w:numPr>
          <w:ilvl w:val="0"/>
          <w:numId w:val="1003"/>
        </w:numPr>
      </w:pPr>
      <w:r>
        <w:t xml:space="preserve">Onde estão limites de confiança, limites de autorização, fluxos de dados, caminhos administrativos e serviços externos?</w:t>
      </w:r>
    </w:p>
    <w:p>
      <w:pPr>
        <w:numPr>
          <w:ilvl w:val="0"/>
          <w:numId w:val="1003"/>
        </w:numPr>
      </w:pPr>
      <w:r>
        <w:t xml:space="preserve">Quem é o dono de cada componente e responsabilidade de controlo?</w:t>
      </w:r>
    </w:p>
    <w:p>
      <w:pPr>
        <w:numPr>
          <w:ilvl w:val="0"/>
          <w:numId w:val="1003"/>
        </w:numPr>
      </w:pPr>
      <w:r>
        <w:t xml:space="preserve">Quais mudanças requerem recategorização, reseleção, reavaliação ou revisão de autorização?</w:t>
      </w:r>
    </w:p>
    <w:bookmarkEnd w:id="34"/>
    <w:bookmarkStart w:id="35" w:name="o-que-deve-mostrar"/>
    <w:p>
      <w:pPr>
        <w:pStyle w:val="Heading2"/>
      </w:pPr>
      <w:r>
        <w:t xml:space="preserve">O que deve mostrar</w:t>
      </w:r>
    </w:p>
    <w:p>
      <w:pPr>
        <w:pStyle w:val="FirstParagraph"/>
      </w:pPr>
      <w:r>
        <w:t xml:space="preserve">Descrição do sistema □ Finalidade, usuários, ambiente, estado operacional, tecnologias, dependências</w:t>
      </w:r>
      <w:r>
        <w:t xml:space="preserve"> </w:t>
      </w:r>
      <w:r>
        <w:t xml:space="preserve">Diagrama de arquitetura, componentes, zonas, interfaces, limites de confiança, caminhos de gestão</w:t>
      </w:r>
      <w:r>
        <w:t xml:space="preserve"> </w:t>
      </w:r>
      <w:r>
        <w:t xml:space="preserve">• Fluxo de dados; tipos de informação, fontes, destinos, processamento, armazenamento, partilha, eliminação;</w:t>
      </w:r>
      <w:r>
        <w:t xml:space="preserve"> </w:t>
      </w:r>
      <w:r>
        <w:t xml:space="preserve">Inventário, hardware, software, firmware, recursos virtuais/nuvem, proprietários, versões</w:t>
      </w:r>
      <w:r>
        <w:t xml:space="preserve"> </w:t>
      </w:r>
      <w:r>
        <w:t xml:space="preserve">□ Acordo de interconexão • Sistemas, dados, controlos, responsabilidades, monitorização, incidente e rescisão</w:t>
      </w:r>
      <w:r>
        <w:t xml:space="preserve"> </w:t>
      </w:r>
      <w:r>
        <w:t xml:space="preserve">□ Alocação de controle □ Comum, híbrido, específico do sistema, herdado, provedor, responsabilidades do cliente</w:t>
      </w:r>
    </w:p>
    <w:bookmarkEnd w:id="35"/>
    <w:bookmarkEnd w:id="36"/>
    <w:bookmarkStart w:id="38" w:name="prepare-se-ao-nível-da-organização"/>
    <w:p>
      <w:pPr>
        <w:pStyle w:val="Heading1"/>
      </w:pPr>
      <w:r>
        <w:t xml:space="preserve">5. Prepare-se ao nível da organização</w:t>
      </w:r>
    </w:p>
    <w:p>
      <w:pPr>
        <w:numPr>
          <w:ilvl w:val="0"/>
          <w:numId w:val="1004"/>
        </w:numPr>
        <w:pStyle w:val="Compact"/>
      </w:pPr>
      <w:r>
        <w:t xml:space="preserve">Preparação de nível de organização faz o sistema RMF funcionar de forma consistente e eficiente.*</w:t>
      </w:r>
    </w:p>
    <w:bookmarkStart w:id="37" w:name="preparação-da-organização"/>
    <w:p>
      <w:pPr>
        <w:pStyle w:val="Heading2"/>
      </w:pPr>
      <w:r>
        <w:t xml:space="preserve">5.1 Preparação da organização</w:t>
      </w:r>
    </w:p>
    <w:p>
      <w:pPr>
        <w:numPr>
          <w:ilvl w:val="0"/>
          <w:numId w:val="1005"/>
        </w:numPr>
      </w:pPr>
      <w:r>
        <w:t xml:space="preserve">Estabelecer funções de gestão de risco, estratégia, tolerância de risco, prioridades e comunicação.</w:t>
      </w:r>
    </w:p>
    <w:p>
      <w:pPr>
        <w:numPr>
          <w:ilvl w:val="0"/>
          <w:numId w:val="1005"/>
        </w:numPr>
      </w:pPr>
      <w:r>
        <w:t xml:space="preserve">Identificar missões, processos de negócio, requisitos legais/política/contrato, stakeholders e ativos críticos.</w:t>
      </w:r>
    </w:p>
    <w:p>
      <w:pPr>
        <w:numPr>
          <w:ilvl w:val="0"/>
          <w:numId w:val="1005"/>
        </w:numPr>
      </w:pPr>
      <w:r>
        <w:t xml:space="preserve">Desenvolver arquitetura empresarial, arquitetura de segurança/privacidade, controles comuns, requisitos de organização e estratégia de monitoramento.</w:t>
      </w:r>
    </w:p>
    <w:p>
      <w:pPr>
        <w:numPr>
          <w:ilvl w:val="0"/>
          <w:numId w:val="1005"/>
        </w:numPr>
      </w:pPr>
      <w:r>
        <w:t xml:space="preserve">Estabelecer orientação de impacto, regras de ajuste de linha de base, valores de parâmetros, sobreposições, expectativas de avaliação e abordagem de autorização.</w:t>
      </w:r>
    </w:p>
    <w:p>
      <w:pPr>
        <w:numPr>
          <w:ilvl w:val="0"/>
          <w:numId w:val="1005"/>
        </w:numPr>
      </w:pPr>
      <w:r>
        <w:t xml:space="preserve">Identificar riscos de cadeia de suprimentos, provedores externos, ameaças em toda a organização, suposições e dependências.</w:t>
      </w:r>
    </w:p>
    <w:p>
      <w:pPr>
        <w:numPr>
          <w:ilvl w:val="0"/>
          <w:numId w:val="1005"/>
        </w:numPr>
      </w:pPr>
      <w:r>
        <w:t xml:space="preserve">Criar repositórios, automação, modelos, padrões de evidência, revisão de qualidade, métricas e processos de melhoria.</w:t>
      </w:r>
    </w:p>
    <w:p>
      <w:pPr>
        <w:pStyle w:val="FirstParagraph"/>
      </w:pPr>
      <w:r>
        <w:t xml:space="preserve">Princípio da eficiência:** Controles comuns reutilizáveis, parâmetros aprovados, evidências padrão e conteúdo legível por máquina reduzem o trabalho repetido do sistema – somente quando a propriedade e as evidências operacionais atuais são confiáveis. □</w:t>
      </w:r>
      <w:r>
        <w:t xml:space="preserve"> </w:t>
      </w:r>
      <w:r>
        <w:t xml:space="preserve">□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–</w:t>
      </w:r>
    </w:p>
    <w:bookmarkEnd w:id="37"/>
    <w:bookmarkEnd w:id="38"/>
    <w:bookmarkStart w:id="39" w:name="prepare-se-ao-nível-do-sistema"/>
    <w:p>
      <w:pPr>
        <w:pStyle w:val="Heading1"/>
      </w:pPr>
      <w:r>
        <w:t xml:space="preserve">6. Prepare-se ao nível do sistema</w:t>
      </w:r>
    </w:p>
    <w:p>
      <w:pPr>
        <w:numPr>
          <w:ilvl w:val="0"/>
          <w:numId w:val="1006"/>
        </w:numPr>
        <w:pStyle w:val="Compact"/>
      </w:pPr>
      <w:r>
        <w:t xml:space="preserve">Preparação de nível de sistema define a missão específica, stakeholders, fronteira, informação e abordagem.*</w:t>
      </w:r>
    </w:p>
    <w:p>
      <w:pPr>
        <w:pStyle w:val="FirstParagraph"/>
      </w:pPr>
      <w:r>
        <w:t xml:space="preserve">6.1 Preparação do sistema</w:t>
      </w:r>
    </w:p>
    <w:p>
      <w:pPr>
        <w:numPr>
          <w:ilvl w:val="0"/>
          <w:numId w:val="1007"/>
        </w:numPr>
      </w:pPr>
      <w:r>
        <w:t xml:space="preserve">Identificar missão / finalidade de negócios, proprietário do sistema, autorizar oficiais, agentes de segurança / privacidade, avaliadores, provedores, usuários e stakeholders.</w:t>
      </w:r>
    </w:p>
    <w:p>
      <w:pPr>
        <w:numPr>
          <w:ilvl w:val="0"/>
          <w:numId w:val="1007"/>
        </w:numPr>
      </w:pPr>
      <w:r>
        <w:t xml:space="preserve">Definir limite de autorização, elementos do sistema, ambiente operacional, dependências, interfaces, serviços externos e cadeia de suprimentos.</w:t>
      </w:r>
    </w:p>
    <w:p>
      <w:pPr>
        <w:numPr>
          <w:ilvl w:val="0"/>
          <w:numId w:val="1007"/>
        </w:numPr>
      </w:pPr>
      <w:r>
        <w:t xml:space="preserve">Identificar tipos de informações, finalidades de processamento, riscos de privacidade, fluxos de dados e requisitos legais/contratuais.</w:t>
      </w:r>
    </w:p>
    <w:p>
      <w:pPr>
        <w:numPr>
          <w:ilvl w:val="0"/>
          <w:numId w:val="1007"/>
        </w:numPr>
      </w:pPr>
      <w:r>
        <w:t xml:space="preserve">Determinar estágio de ciclo de vida, abordagem desenvolvimento/aquisição, arquitetura, necessidades de engenharia e estratégia de autorização planejada.</w:t>
      </w:r>
    </w:p>
    <w:p>
      <w:pPr>
        <w:numPr>
          <w:ilvl w:val="0"/>
          <w:numId w:val="1007"/>
        </w:numPr>
      </w:pPr>
      <w:r>
        <w:t xml:space="preserve">Registrar o sistema; identificar herança de controle comum e recursos fornecidos pela organização.</w:t>
      </w:r>
    </w:p>
    <w:p>
      <w:pPr>
        <w:numPr>
          <w:ilvl w:val="0"/>
          <w:numId w:val="1007"/>
        </w:numPr>
      </w:pPr>
      <w:r>
        <w:t xml:space="preserve">Documento suposições, restrições, riscos, decisões necessárias, e agenda de pacotes.</w:t>
      </w:r>
    </w:p>
    <w:bookmarkEnd w:id="39"/>
    <w:bookmarkStart w:id="43" w:name="categorizar-o-sistema"/>
    <w:p>
      <w:pPr>
        <w:pStyle w:val="Heading1"/>
      </w:pPr>
      <w:r>
        <w:t xml:space="preserve">7. Categorizar o Sistema</w:t>
      </w:r>
    </w:p>
    <w:p>
      <w:pPr>
        <w:pStyle w:val="FirstParagraph"/>
      </w:pPr>
      <w:r>
        <w:rPr>
          <w:iCs/>
          <w:i/>
        </w:rPr>
        <w:t xml:space="preserve">Categorização descreve o impacto potencial da perda de confidencialidade, integridade ou disponibilidade.</w:t>
      </w:r>
    </w:p>
    <w:p>
      <w:pPr>
        <w:pStyle w:val="CaptionedFigure"/>
      </w:pPr>
      <w:r>
        <w:drawing>
          <wp:inline>
            <wp:extent cx="5334000" cy="2945449"/>
            <wp:effectExtent b="0" l="0" r="0" t="0"/>
            <wp:docPr descr="Categorização começa com impacto da informação e produz um nível de impacto do sistema aprovado." title="" id="41" name="Picture"/>
            <a:graphic>
              <a:graphicData uri="http://schemas.openxmlformats.org/drawingml/2006/picture">
                <pic:pic>
                  <pic:nvPicPr>
                    <pic:cNvPr descr="media/image3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54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Categorização começa com impacto da informação e produz um nível de impacto do sistema aprovado.</w:t>
      </w:r>
    </w:p>
    <w:p>
      <w:pPr>
        <w:pStyle w:val="BodyText"/>
      </w:pPr>
      <w:r>
        <w:t xml:space="preserve">Figura 3. Fluxo de trabalho de categorização</w:t>
      </w:r>
    </w:p>
    <w:p>
      <w:pPr>
        <w:pStyle w:val="BodyText"/>
      </w:pPr>
      <w:r>
        <w:t xml:space="preserve">Método ## 7.1</w:t>
      </w:r>
    </w:p>
    <w:p>
      <w:pPr>
        <w:numPr>
          <w:ilvl w:val="0"/>
          <w:numId w:val="1008"/>
        </w:numPr>
      </w:pPr>
      <w:r>
        <w:t xml:space="preserve">Identificar todos os tipos de informações processadas, armazenadas ou transmitidas.</w:t>
      </w:r>
    </w:p>
    <w:p>
      <w:pPr>
        <w:numPr>
          <w:ilvl w:val="0"/>
          <w:numId w:val="1008"/>
        </w:numPr>
      </w:pPr>
      <w:r>
        <w:t xml:space="preserve">Atribuir impacto potencial – baixo, moderado ou alto – para confidencialidade, integridade e disponibilidade usando orientação e contexto de missão aplicáveis.</w:t>
      </w:r>
    </w:p>
    <w:p>
      <w:pPr>
        <w:numPr>
          <w:ilvl w:val="0"/>
          <w:numId w:val="1008"/>
        </w:numPr>
      </w:pPr>
      <w:r>
        <w:t xml:space="preserve">Aplicar o conceito de marca de alta qualidade para a categoria de segurança do sistema, em seguida, rever se agregação, dependências, privacidade, segurança ou efeitos da missão justificam o ajuste sob autoridade.</w:t>
      </w:r>
    </w:p>
    <w:p>
      <w:pPr>
        <w:numPr>
          <w:ilvl w:val="0"/>
          <w:numId w:val="1008"/>
        </w:numPr>
      </w:pPr>
      <w:r>
        <w:t xml:space="preserve">Fundamentação documental, suposições, partes afetadas e aprovação.</w:t>
      </w:r>
    </w:p>
    <w:p>
      <w:pPr>
        <w:numPr>
          <w:ilvl w:val="0"/>
          <w:numId w:val="1008"/>
        </w:numPr>
      </w:pPr>
      <w:r>
        <w:t xml:space="preserve">Revisita quando missão, dados, arquitetura, ambiente, usuários, fornecedores ou ameaças mudam materialmente.</w:t>
      </w:r>
    </w:p>
    <w:p>
      <w:pPr>
        <w:pStyle w:val="FirstParagraph"/>
      </w:pPr>
      <w:r>
        <w:t xml:space="preserve">Aviso de categorização:** Uma categoria de alto impacto não significa que os controles sejam fracos, e uma categoria de baixo impacto não significa que o sistema seja seguro. Expressa danos potenciais se os objetivos de segurança forem perdidos.</w:t>
      </w:r>
      <w:r>
        <w:t xml:space="preserve"> </w:t>
      </w:r>
      <w:r>
        <w:t xml:space="preserve">O que é que se passa?</w:t>
      </w:r>
    </w:p>
    <w:bookmarkEnd w:id="43"/>
    <w:bookmarkStart w:id="44" w:name="selecione-controles"/>
    <w:p>
      <w:pPr>
        <w:pStyle w:val="Heading1"/>
      </w:pPr>
      <w:r>
        <w:t xml:space="preserve">8. Selecione controles</w:t>
      </w:r>
    </w:p>
    <w:p>
      <w:pPr>
        <w:pStyle w:val="FirstParagraph"/>
      </w:pPr>
      <w:r>
        <w:rPr>
          <w:iCs/>
          <w:i/>
        </w:rPr>
        <w:t xml:space="preserve">Seleção cria um conjunto personalizado de controles que aborda o sistema e risco organizacional.</w:t>
      </w:r>
    </w:p>
    <w:bookmarkEnd w:id="44"/>
    <w:bookmarkStart w:id="46" w:name="sequência-de-seleção"/>
    <w:p>
      <w:pPr>
        <w:pStyle w:val="Heading1"/>
      </w:pPr>
      <w:r>
        <w:t xml:space="preserve"># 8.1 Sequência de seleção</w:t>
      </w:r>
    </w:p>
    <w:p>
      <w:pPr>
        <w:numPr>
          <w:ilvl w:val="0"/>
          <w:numId w:val="1009"/>
        </w:numPr>
      </w:pPr>
      <w:r>
        <w:t xml:space="preserve">Escolha o perfil inicial apropriado ou definido pela organização.</w:t>
      </w:r>
    </w:p>
    <w:p>
      <w:pPr>
        <w:numPr>
          <w:ilvl w:val="0"/>
          <w:numId w:val="1009"/>
        </w:numPr>
      </w:pPr>
      <w:r>
        <w:t xml:space="preserve">Aplicar considerações de escopo e identificar controles que sejam aplicáveis, não aplicáveis, herdados, híbridos ou específicos do sistema.</w:t>
      </w:r>
    </w:p>
    <w:p>
      <w:pPr>
        <w:numPr>
          <w:ilvl w:val="0"/>
          <w:numId w:val="1009"/>
        </w:numPr>
      </w:pPr>
      <w:r>
        <w:t xml:space="preserve">Atribuir parâmetros definidos pela organização, tais como frequências, períodos de tempo, papéis, tecnologias e limiares.</w:t>
      </w:r>
    </w:p>
    <w:p>
      <w:pPr>
        <w:numPr>
          <w:ilvl w:val="0"/>
          <w:numId w:val="1009"/>
        </w:numPr>
      </w:pPr>
      <w:r>
        <w:t xml:space="preserve">Adicione controles ou melhorias para ameaça, missão, privacidade, cadeia de suprimentos, lei, política, contrato, arquitetura ou risco.</w:t>
      </w:r>
    </w:p>
    <w:p>
      <w:pPr>
        <w:numPr>
          <w:ilvl w:val="0"/>
          <w:numId w:val="1009"/>
        </w:numPr>
      </w:pPr>
      <w:r>
        <w:t xml:space="preserve">Utilizar controlos compensadores apenas através de equivalência aprovada e justificação documentada.</w:t>
      </w:r>
    </w:p>
    <w:p>
      <w:pPr>
        <w:numPr>
          <w:ilvl w:val="0"/>
          <w:numId w:val="1009"/>
        </w:numPr>
      </w:pPr>
      <w:r>
        <w:t xml:space="preserve">Desenvolver abordagens de acompanhamento e avaliação; identificar responsabilidades e provas de implementação.</w:t>
      </w:r>
    </w:p>
    <w:p>
      <w:pPr>
        <w:numPr>
          <w:ilvl w:val="0"/>
          <w:numId w:val="1009"/>
        </w:numPr>
      </w:pPr>
      <w:r>
        <w:t xml:space="preserve">Documentar o conjunto personalizado, raciocínio, dependências, controles comuns e risco residual.</w:t>
      </w:r>
    </w:p>
    <w:p>
      <w:pPr>
        <w:pStyle w:val="FirstParagraph"/>
      </w:pPr>
      <w:r>
        <w:t xml:space="preserve">Selecção de controle não é implementação:** Selecionar AC-2 não cria gerenciamento de conta. O sistema deve definir e operar as pessoas, processo, tecnologia, evidência e monitoramento necessários para cada requisito selecionado. □</w:t>
      </w:r>
      <w:r>
        <w:t xml:space="preserve"> </w:t>
      </w:r>
      <w:r>
        <w:t xml:space="preserve">□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–</w:t>
      </w:r>
    </w:p>
    <w:p>
      <w:pPr>
        <w:numPr>
          <w:ilvl w:val="0"/>
          <w:numId w:val="1010"/>
        </w:numPr>
        <w:pStyle w:val="Compact"/>
      </w:pPr>
      <w:r>
        <w:t xml:space="preserve">Implementar controles</w:t>
      </w:r>
    </w:p>
    <w:p>
      <w:pPr>
        <w:numPr>
          <w:ilvl w:val="0"/>
          <w:numId w:val="1011"/>
        </w:numPr>
        <w:pStyle w:val="Compact"/>
      </w:pPr>
      <w:r>
        <w:t xml:space="preserve">Implementação transforma controles selecionados em salvaguardas reais, atribuídas, configuradas e operadas.*</w:t>
      </w:r>
    </w:p>
    <w:bookmarkStart w:id="45" w:name="fluxo-de-trabalho-de-implementação"/>
    <w:p>
      <w:pPr>
        <w:pStyle w:val="Heading2"/>
      </w:pPr>
      <w:r>
        <w:t xml:space="preserve">9.1 Fluxo de trabalho de implementação</w:t>
      </w:r>
    </w:p>
    <w:p>
      <w:pPr>
        <w:numPr>
          <w:ilvl w:val="0"/>
          <w:numId w:val="1012"/>
        </w:numPr>
      </w:pPr>
      <w:r>
        <w:t xml:space="preserve">Analisar cada instrução de controle, aprimoramento, parâmetro, orientação suplementar, controles relacionados e alocação.</w:t>
      </w:r>
    </w:p>
    <w:p>
      <w:pPr>
        <w:numPr>
          <w:ilvl w:val="0"/>
          <w:numId w:val="1012"/>
        </w:numPr>
      </w:pPr>
      <w:r>
        <w:t xml:space="preserve">Traduza requisitos em arquitetura, procedimentos, configurações, automação, treinamento, contratos e tarefas operacionais.</w:t>
      </w:r>
    </w:p>
    <w:p>
      <w:pPr>
        <w:numPr>
          <w:ilvl w:val="0"/>
          <w:numId w:val="1012"/>
        </w:numPr>
      </w:pPr>
      <w:r>
        <w:t xml:space="preserve">Atribuir o proprietário do controle responsável e implementadores responsáveis; identificar porções herdadas e compartilhadas.</w:t>
      </w:r>
    </w:p>
    <w:p>
      <w:pPr>
        <w:numPr>
          <w:ilvl w:val="0"/>
          <w:numId w:val="1012"/>
        </w:numPr>
      </w:pPr>
      <w:r>
        <w:t xml:space="preserve">Defina população, frequência, gatilho, aprovação, exceção, registro, revisão, métrica e evidência.</w:t>
      </w:r>
    </w:p>
    <w:p>
      <w:pPr>
        <w:numPr>
          <w:ilvl w:val="0"/>
          <w:numId w:val="1012"/>
        </w:numPr>
      </w:pPr>
      <w:r>
        <w:t xml:space="preserve">Construir e testar através do ciclo de vida de desenvolvimento do sistema; usar configuração e gerenciamento de mudanças.</w:t>
      </w:r>
    </w:p>
    <w:p>
      <w:pPr>
        <w:numPr>
          <w:ilvl w:val="0"/>
          <w:numId w:val="1012"/>
        </w:numPr>
      </w:pPr>
      <w:r>
        <w:t xml:space="preserve">Escreva uma declaração de implementação precisa que explique quem faz o quê, onde, como, quando, com que configuração e evidência.</w:t>
      </w:r>
    </w:p>
    <w:p>
      <w:pPr>
        <w:numPr>
          <w:ilvl w:val="0"/>
          <w:numId w:val="1012"/>
        </w:numPr>
      </w:pPr>
      <w:r>
        <w:t xml:space="preserve">Correct design ou falhas de operação antes da avaliação formal, quando possível.</w:t>
      </w:r>
    </w:p>
    <w:bookmarkEnd w:id="45"/>
    <w:bookmarkEnd w:id="46"/>
    <w:bookmarkStart w:id="49" w:name="assess-controls"/>
    <w:p>
      <w:pPr>
        <w:pStyle w:val="Heading1"/>
      </w:pPr>
      <w:r>
        <w:t xml:space="preserve">10. Assess Controls</w:t>
      </w:r>
    </w:p>
    <w:p>
      <w:pPr>
        <w:pStyle w:val="FirstParagraph"/>
      </w:pPr>
      <w:r>
        <w:rPr>
          <w:iCs/>
          <w:i/>
        </w:rPr>
        <w:t xml:space="preserve">Avaliação determina se os controles são implementados corretamente, funcionando como pretendido, e produzindo o resultado desejado.</w:t>
      </w:r>
    </w:p>
    <w:bookmarkStart w:id="47" w:name="sequência-de-avaliação"/>
    <w:p>
      <w:pPr>
        <w:pStyle w:val="Heading2"/>
      </w:pPr>
      <w:r>
        <w:t xml:space="preserve">10.1 Sequência de avaliação</w:t>
      </w:r>
    </w:p>
    <w:p>
      <w:pPr>
        <w:numPr>
          <w:ilvl w:val="0"/>
          <w:numId w:val="1013"/>
        </w:numPr>
      </w:pPr>
      <w:r>
        <w:t xml:space="preserve">Identificar a independência do avaliador e as qualificações adequadas ao risco.</w:t>
      </w:r>
    </w:p>
    <w:p>
      <w:pPr>
        <w:numPr>
          <w:ilvl w:val="0"/>
          <w:numId w:val="1013"/>
        </w:numPr>
      </w:pPr>
      <w:r>
        <w:t xml:space="preserve">Desenvolver e aprovar um plano de avaliação com escopo, controles, procedimentos, métodos, objetos, profundidade, cobertura, cronograma, regras, evidências, amostragem e segurança.</w:t>
      </w:r>
    </w:p>
    <w:p>
      <w:pPr>
        <w:numPr>
          <w:ilvl w:val="0"/>
          <w:numId w:val="1013"/>
        </w:numPr>
      </w:pPr>
      <w:r>
        <w:t xml:space="preserve">Validar o limite do sistema, o conjunto de controle, implementação, populações, controles herdados, e confiabilidade da fonte.</w:t>
      </w:r>
    </w:p>
    <w:p>
      <w:pPr>
        <w:numPr>
          <w:ilvl w:val="0"/>
          <w:numId w:val="1013"/>
        </w:numPr>
      </w:pPr>
      <w:r>
        <w:t xml:space="preserve">Use métodos de exame, entrevista e teste; inquérito sozinho geralmente fornece evidências fracas.</w:t>
      </w:r>
    </w:p>
    <w:p>
      <w:pPr>
        <w:numPr>
          <w:ilvl w:val="0"/>
          <w:numId w:val="1013"/>
        </w:numPr>
      </w:pPr>
      <w:r>
        <w:t xml:space="preserve">Registro de resultados satisfeitos ou não satisfeitos com evidências, exceções, limitações e risco.</w:t>
      </w:r>
    </w:p>
    <w:p>
      <w:pPr>
        <w:numPr>
          <w:ilvl w:val="0"/>
          <w:numId w:val="1013"/>
        </w:numPr>
      </w:pPr>
      <w:r>
        <w:t xml:space="preserve">Permitir que os responsáveis corrijam as constatações; retestem as correções de forma independente.</w:t>
      </w:r>
    </w:p>
    <w:p>
      <w:pPr>
        <w:numPr>
          <w:ilvl w:val="0"/>
          <w:numId w:val="1013"/>
        </w:numPr>
      </w:pPr>
      <w:r>
        <w:t xml:space="preserve">Emitir um relatório de avaliação que apoie a decisão do funcionário autorizador sem esconder incertezas.</w:t>
      </w:r>
    </w:p>
    <w:bookmarkEnd w:id="47"/>
    <w:bookmarkStart w:id="48" w:name="X76744f15978cbf91c2415fb6a80c8e09bc0a26a"/>
    <w:p>
      <w:pPr>
        <w:pStyle w:val="Heading2"/>
      </w:pPr>
      <w:r>
        <w:t xml:space="preserve">A avaliação não é uma análise: ** Resultados automatizados podem testar condições importantes em escala, mas a avaliação também requer critérios, escopo, população, desenho, contexto operacional, revisão humana, limitações e análise de risco. □</w:t>
      </w:r>
    </w:p>
    <w:bookmarkEnd w:id="48"/>
    <w:bookmarkEnd w:id="49"/>
    <w:bookmarkStart w:id="55" w:name="autorizar-o-sistema-ou-controles-comuns"/>
    <w:p>
      <w:pPr>
        <w:pStyle w:val="Heading1"/>
      </w:pPr>
      <w:r>
        <w:t xml:space="preserve">11. Autorizar o Sistema ou Controles Comuns</w:t>
      </w:r>
    </w:p>
    <w:p>
      <w:pPr>
        <w:pStyle w:val="FirstParagraph"/>
      </w:pPr>
      <w:r>
        <w:rPr>
          <w:iCs/>
          <w:i/>
        </w:rPr>
        <w:t xml:space="preserve">Autorização é uma decisão de risco senior explícita baseada no pacote e contexto organizacional.</w:t>
      </w:r>
    </w:p>
    <w:p>
      <w:pPr>
        <w:pStyle w:val="CaptionedFigure"/>
      </w:pPr>
      <w:r>
        <w:drawing>
          <wp:inline>
            <wp:extent cx="5334000" cy="2945449"/>
            <wp:effectExtent b="0" l="0" r="0" t="0"/>
            <wp:docPr descr="O pacote suporta uma decisão responsável com escopo definido, condições, duração e monitoramento." title="" id="51" name="Picture"/>
            <a:graphic>
              <a:graphicData uri="http://schemas.openxmlformats.org/drawingml/2006/picture">
                <pic:pic>
                  <pic:nvPicPr>
                    <pic:cNvPr descr="media/image4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54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 pacote suporta uma decisão responsável com escopo definido, condições, duração e monitoramento.</w:t>
      </w:r>
    </w:p>
    <w:p>
      <w:pPr>
        <w:pStyle w:val="BodyText"/>
      </w:pPr>
      <w:r>
        <w:t xml:space="preserve">Figura 7. Decisão de autorização de risco</w:t>
      </w:r>
    </w:p>
    <w:bookmarkStart w:id="53" w:name="pacote-de-autorização"/>
    <w:p>
      <w:pPr>
        <w:pStyle w:val="Heading2"/>
      </w:pPr>
      <w:r>
        <w:t xml:space="preserve">11.1 Pacote de autorização</w:t>
      </w:r>
    </w:p>
    <w:p>
      <w:pPr>
        <w:numPr>
          <w:ilvl w:val="0"/>
          <w:numId w:val="1014"/>
        </w:numPr>
      </w:pPr>
      <w:r>
        <w:t xml:space="preserve">Planos de segurança, privacidade e C-SCRM, conforme aplicável.</w:t>
      </w:r>
    </w:p>
    <w:p>
      <w:pPr>
        <w:numPr>
          <w:ilvl w:val="0"/>
          <w:numId w:val="1014"/>
        </w:numPr>
      </w:pPr>
      <w:r>
        <w:t xml:space="preserve">Relatórios de segurança e avaliação de privacidade.</w:t>
      </w:r>
    </w:p>
    <w:p>
      <w:pPr>
        <w:numPr>
          <w:ilvl w:val="0"/>
          <w:numId w:val="1014"/>
        </w:numPr>
      </w:pPr>
      <w:r>
        <w:t xml:space="preserve">Plano de ação e marcos (POA&amp;M).</w:t>
      </w:r>
    </w:p>
    <w:p>
      <w:pPr>
        <w:numPr>
          <w:ilvl w:val="0"/>
          <w:numId w:val="1014"/>
        </w:numPr>
      </w:pPr>
      <w:r>
        <w:t xml:space="preserve">Resumo e avaliação de risco atual.</w:t>
      </w:r>
    </w:p>
    <w:p>
      <w:pPr>
        <w:numPr>
          <w:ilvl w:val="0"/>
          <w:numId w:val="1014"/>
        </w:numPr>
      </w:pPr>
      <w:r>
        <w:t xml:space="preserve">Estratégia de monitoramento contínuo e informações de mudança significativa.</w:t>
      </w:r>
    </w:p>
    <w:p>
      <w:pPr>
        <w:numPr>
          <w:ilvl w:val="0"/>
          <w:numId w:val="1014"/>
        </w:numPr>
      </w:pPr>
      <w:r>
        <w:t xml:space="preserve">Descrição do sistema, categorização, fronteira, arquitetura, dependências, herança de controle comum e acordos.</w:t>
      </w:r>
    </w:p>
    <w:p>
      <w:pPr>
        <w:pStyle w:val="FirstParagraph"/>
      </w:pPr>
      <w:r>
        <w:t xml:space="preserve">Decisão Possível** ** ** **</w:t>
      </w:r>
      <w:r>
        <w:t xml:space="preserve"> </w:t>
      </w:r>
      <w:r>
        <w:t xml:space="preserve">□————————————————————————————————————————————————————————————————–</w:t>
      </w:r>
      <w:r>
        <w:t xml:space="preserve"> </w:t>
      </w:r>
      <w:r>
        <w:t xml:space="preserve">• Autorização para operar/usar • Risco aceito para escopo, condições e tempo definidos</w:t>
      </w:r>
      <w:r>
        <w:t xml:space="preserve"> </w:t>
      </w:r>
      <w:r>
        <w:t xml:space="preserve">• Autorização de controlo comum • Decisão de risco para controlos herdados por vários sistemas</w:t>
      </w:r>
      <w:r>
        <w:t xml:space="preserve"> </w:t>
      </w:r>
      <w:r>
        <w:t xml:space="preserve">□ Autorização com condições □ Operação permitida apenas com limites, ações, marcos ou monitoramento declarados</w:t>
      </w:r>
      <w:r>
        <w:t xml:space="preserve"> </w:t>
      </w:r>
      <w:r>
        <w:t xml:space="preserve">O risco não é aceito; a operação/uso não é autorizado sob condições indicadas</w:t>
      </w:r>
      <w:r>
        <w:t xml:space="preserve"> </w:t>
      </w:r>
      <w:r>
        <w:t xml:space="preserve">• Abordagem de autorização em curso • Evidências correntes frequentes suportam decisões de risco contínuas sob critérios aprovados</w:t>
      </w:r>
    </w:p>
    <w:bookmarkEnd w:id="53"/>
    <w:bookmarkStart w:id="54" w:name="Xac9d126218087070c9e6b5c246f96ed29d40a25"/>
    <w:p>
      <w:pPr>
        <w:pStyle w:val="Heading2"/>
      </w:pPr>
      <w:r>
        <w:t xml:space="preserve">Não é uma certificação:** Autorização não significa que o sistema é livre de risco ou compatível para sempre. É uma aceitação documentada do risco residual atual por um funcionário com autoridade. □</w:t>
      </w:r>
    </w:p>
    <w:bookmarkEnd w:id="54"/>
    <w:bookmarkEnd w:id="55"/>
    <w:bookmarkStart w:id="58" w:name="monitore-continuamente"/>
    <w:p>
      <w:pPr>
        <w:pStyle w:val="Heading1"/>
      </w:pPr>
      <w:r>
        <w:t xml:space="preserve">12. Monitore continuamente</w:t>
      </w:r>
    </w:p>
    <w:p>
      <w:pPr>
        <w:pStyle w:val="FirstParagraph"/>
      </w:pPr>
      <w:r>
        <w:rPr>
          <w:iCs/>
          <w:i/>
        </w:rPr>
        <w:t xml:space="preserve">Monitor rastreia controles, mudanças de sistema, ameaça, descobertas e risco após a autorização.</w:t>
      </w:r>
    </w:p>
    <w:bookmarkStart w:id="56" w:name="actividades-de-monitorização"/>
    <w:p>
      <w:pPr>
        <w:pStyle w:val="Heading2"/>
      </w:pPr>
      <w:r>
        <w:t xml:space="preserve">12.1 Actividades de monitorização</w:t>
      </w:r>
    </w:p>
    <w:p>
      <w:pPr>
        <w:numPr>
          <w:ilvl w:val="0"/>
          <w:numId w:val="1015"/>
        </w:numPr>
      </w:pPr>
      <w:r>
        <w:t xml:space="preserve">Sistema de rastreamento, arquitetura, dados, missão, usuário, fornecedor, propriedade, localização, ameaça, vulnerabilidade e mudanças legais.</w:t>
      </w:r>
    </w:p>
    <w:p>
      <w:pPr>
        <w:numPr>
          <w:ilvl w:val="0"/>
          <w:numId w:val="1015"/>
        </w:numPr>
      </w:pPr>
      <w:r>
        <w:t xml:space="preserve">Avaliar os controlos seleccionados em frequências e gatilhos aprovados utilizando provas actuais.</w:t>
      </w:r>
    </w:p>
    <w:p>
      <w:pPr>
        <w:numPr>
          <w:ilvl w:val="0"/>
          <w:numId w:val="1015"/>
        </w:numPr>
      </w:pPr>
      <w:r>
        <w:t xml:space="preserve">Monitorar controles comuns e comunicar alterações aos sistemas herdados.</w:t>
      </w:r>
    </w:p>
    <w:p>
      <w:pPr>
        <w:numPr>
          <w:ilvl w:val="0"/>
          <w:numId w:val="1015"/>
        </w:numPr>
      </w:pPr>
      <w:r>
        <w:t xml:space="preserve">Atualizar planos, inventários, diagramas, resultados de avaliação, registro de risco e POA&amp;M.</w:t>
      </w:r>
    </w:p>
    <w:p>
      <w:pPr>
        <w:numPr>
          <w:ilvl w:val="0"/>
          <w:numId w:val="1015"/>
        </w:numPr>
      </w:pPr>
      <w:r>
        <w:t xml:space="preserve">Relatar postura e mudança material para proprietários de sistemas, executivos de risco, funcionários de segurança/privacidade, e funcionários que autorizam.</w:t>
      </w:r>
    </w:p>
    <w:p>
      <w:pPr>
        <w:numPr>
          <w:ilvl w:val="0"/>
          <w:numId w:val="1015"/>
        </w:numPr>
      </w:pPr>
      <w:r>
        <w:t xml:space="preserve">Corrigir fraquezas, reteste, e determinar se mudança significativa ou risco aumentado requer reautorização ou termos alterados.</w:t>
      </w:r>
    </w:p>
    <w:bookmarkEnd w:id="56"/>
    <w:bookmarkStart w:id="57" w:name="Xc17dc286339c0bb49fd8d7d7bedc43c4ca2c0aa"/>
    <w:p>
      <w:pPr>
        <w:pStyle w:val="Heading2"/>
      </w:pPr>
      <w:r>
        <w:rPr>
          <w:bCs/>
          <w:b/>
        </w:rPr>
        <w:t xml:space="preserve">Monitor de decisões:</w:t>
      </w:r>
      <w:r>
        <w:t xml:space="preserve"> </w:t>
      </w:r>
      <w:r>
        <w:t xml:space="preserve">Colete apenas evidências que tenham um proprietário, propósito, regra de qualidade, limiar, cadência de revisão, escalada e resposta. Mais painéis não melhoram automaticamente o gerenciamento de riscos. □</w:t>
      </w:r>
    </w:p>
    <w:bookmarkEnd w:id="57"/>
    <w:bookmarkEnd w:id="58"/>
    <w:bookmarkStart w:id="63" w:name="bases-de-controle-e-alfaiataria"/>
    <w:p>
      <w:pPr>
        <w:pStyle w:val="Heading1"/>
      </w:pPr>
      <w:r>
        <w:t xml:space="preserve">13. Bases de Controle e Alfaiataria</w:t>
      </w:r>
    </w:p>
    <w:p>
      <w:pPr>
        <w:pStyle w:val="FirstParagraph"/>
      </w:pPr>
      <w:r>
        <w:rPr>
          <w:iCs/>
          <w:i/>
        </w:rPr>
        <w:t xml:space="preserve">Baselines são pontos de partida; a alfaiataria os torna apropriados e defensáveis.</w:t>
      </w:r>
    </w:p>
    <w:p>
      <w:pPr>
        <w:pStyle w:val="CaptionedFigure"/>
      </w:pPr>
      <w:r>
        <w:drawing>
          <wp:inline>
            <wp:extent cx="5334000" cy="2945449"/>
            <wp:effectExtent b="0" l="0" r="0" t="0"/>
            <wp:docPr descr="Tailoring altera uma linha de base inicial em um conjunto de controle documentado baseado em risco." title="" id="60" name="Picture"/>
            <a:graphic>
              <a:graphicData uri="http://schemas.openxmlformats.org/drawingml/2006/picture">
                <pic:pic>
                  <pic:nvPicPr>
                    <pic:cNvPr descr="media/image5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54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Tailoring altera uma linha de base inicial em um conjunto de controle documentado baseado em risco.</w:t>
      </w:r>
    </w:p>
    <w:p>
      <w:pPr>
        <w:pStyle w:val="BodyText"/>
      </w:pPr>
      <w:r>
        <w:t xml:space="preserve">Figura 4. Personalização de controle</w:t>
      </w:r>
    </w:p>
    <w:bookmarkStart w:id="62" w:name="baselina-purpose"/>
    <w:p>
      <w:pPr>
        <w:pStyle w:val="Heading2"/>
      </w:pPr>
      <w:r>
        <w:t xml:space="preserve">*Baselina</w:t>
      </w:r>
      <w:r>
        <w:rPr>
          <w:bCs/>
          <w:b/>
        </w:rPr>
        <w:t xml:space="preserve"> </w:t>
      </w:r>
      <w:r>
        <w:t xml:space="preserve">Purpose**</w:t>
      </w:r>
    </w:p>
    <w:p>
      <w:pPr>
        <w:numPr>
          <w:ilvl w:val="0"/>
          <w:numId w:val="1016"/>
        </w:numPr>
        <w:pStyle w:val="Compact"/>
      </w:pPr>
      <w:r>
        <w:t xml:space="preserve">Baixo * Iniciar controles de segurança para sistemas federais de baixo impacto *</w:t>
      </w:r>
      <w:r>
        <w:t xml:space="preserve"> </w:t>
      </w:r>
      <w:r>
        <w:t xml:space="preserve">• Controles de segurança para sistemas federais de impacto moderado</w:t>
      </w:r>
      <w:r>
        <w:t xml:space="preserve"> </w:t>
      </w:r>
      <w:r>
        <w:t xml:space="preserve">□ Alto □ Iniciando controles de segurança para sistemas federais de alto impacto</w:t>
      </w:r>
      <w:r>
        <w:t xml:space="preserve"> </w:t>
      </w:r>
      <w:r>
        <w:t xml:space="preserve">Privacy (Privacy) Controles de privacidade aplicados com base no risco de processamento e privacidade, não apenas no nível de impacto do sistema</w:t>
      </w:r>
    </w:p>
    <w:bookmarkEnd w:id="62"/>
    <w:bookmarkEnd w:id="63"/>
    <w:bookmarkStart w:id="64" w:name="registro-de-alfaiataria"/>
    <w:p>
      <w:pPr>
        <w:pStyle w:val="Heading1"/>
      </w:pPr>
      <w:r>
        <w:t xml:space="preserve"># 13.1 Registro de alfaiataria</w:t>
      </w:r>
    </w:p>
    <w:p>
      <w:pPr>
        <w:numPr>
          <w:ilvl w:val="0"/>
          <w:numId w:val="1017"/>
        </w:numPr>
      </w:pPr>
      <w:r>
        <w:t xml:space="preserve">Base/perfil e liberação usados.</w:t>
      </w:r>
    </w:p>
    <w:p>
      <w:pPr>
        <w:numPr>
          <w:ilvl w:val="0"/>
          <w:numId w:val="1017"/>
        </w:numPr>
      </w:pPr>
      <w:r>
        <w:t xml:space="preserve">Controle/melhoramento adicionado, removido, especializado, herdado ou compensado.</w:t>
      </w:r>
    </w:p>
    <w:p>
      <w:pPr>
        <w:numPr>
          <w:ilvl w:val="0"/>
          <w:numId w:val="1017"/>
        </w:numPr>
      </w:pPr>
      <w:r>
        <w:t xml:space="preserve">Racionalidade e base de risco.</w:t>
      </w:r>
    </w:p>
    <w:p>
      <w:pPr>
        <w:numPr>
          <w:ilvl w:val="0"/>
          <w:numId w:val="1017"/>
        </w:numPr>
      </w:pPr>
      <w:r>
        <w:t xml:space="preserve">Cada parâmetro definido pela organização e autoridade de origem.</w:t>
      </w:r>
    </w:p>
    <w:p>
      <w:pPr>
        <w:numPr>
          <w:ilvl w:val="0"/>
          <w:numId w:val="1017"/>
        </w:numPr>
      </w:pPr>
      <w:r>
        <w:t xml:space="preserve">Atribuição e prestador comum/híbrido/específico do sistema.</w:t>
      </w:r>
    </w:p>
    <w:p>
      <w:pPr>
        <w:numPr>
          <w:ilvl w:val="0"/>
          <w:numId w:val="1017"/>
        </w:numPr>
      </w:pPr>
      <w:r>
        <w:t xml:space="preserve">Compensação-controle de equivalência, limitação, aprovação e monitoramento.</w:t>
      </w:r>
    </w:p>
    <w:p>
      <w:pPr>
        <w:numPr>
          <w:ilvl w:val="0"/>
          <w:numId w:val="1017"/>
        </w:numPr>
      </w:pPr>
      <w:r>
        <w:t xml:space="preserve">Risco residual, aprovação, data e futuro gatilho de revisão.</w:t>
      </w:r>
    </w:p>
    <w:bookmarkEnd w:id="64"/>
    <w:bookmarkStart w:id="66" w:name="X55f9a48a4d7926efc85dad9b3fa3232cd5b0a75"/>
    <w:p>
      <w:pPr>
        <w:pStyle w:val="Heading1"/>
      </w:pPr>
      <w:r>
        <w:t xml:space="preserve">14. Controles comuns, híbridos e específicos do sistema</w:t>
      </w:r>
    </w:p>
    <w:p>
      <w:pPr>
        <w:numPr>
          <w:ilvl w:val="0"/>
          <w:numId w:val="1018"/>
        </w:numPr>
        <w:pStyle w:val="Compact"/>
      </w:pPr>
      <w:r>
        <w:t xml:space="preserve">Control alocation explica quem fornece cada controle e qual parte do sistema deve implementar.*</w:t>
      </w:r>
    </w:p>
    <w:bookmarkStart w:id="65" w:name="tipo-tipo-tipo-método-exemplo"/>
    <w:p>
      <w:pPr>
        <w:pStyle w:val="Heading2"/>
      </w:pPr>
      <w:r>
        <w:t xml:space="preserve">Tipo** Tipo** Tipo** Método** Exemplo**</w:t>
      </w:r>
    </w:p>
    <w:p>
      <w:pPr>
        <w:pStyle w:val="FirstParagraph"/>
      </w:pPr>
      <w:r>
        <w:t xml:space="preserve">□ Comum □ Implementado uma vez para múltiplos sistemas; herdado sob o escopo definido</w:t>
      </w:r>
      <w:r>
        <w:t xml:space="preserve"> </w:t>
      </w:r>
      <w:r>
        <w:t xml:space="preserve">O sistema específico do sistema é implementado para um sistema.</w:t>
      </w:r>
      <w:r>
        <w:t xml:space="preserve"> </w:t>
      </w:r>
      <w:r>
        <w:t xml:space="preserve">□ Hybrid □ Part common and part system-específico □ Serviço de identidade empresarial mais design de funções de aplicação</w:t>
      </w:r>
      <w:r>
        <w:t xml:space="preserve"> </w:t>
      </w:r>
      <w:r>
        <w:t xml:space="preserve">Sistema herdado depende de um provedor de controle autorizado .</w:t>
      </w:r>
      <w:r>
        <w:t xml:space="preserve"> </w:t>
      </w:r>
      <w:r>
        <w:t xml:space="preserve">□ Serviço externo O provedor e as responsabilidades do cliente são definidas por serviço e acordo.</w:t>
      </w:r>
    </w:p>
    <w:p>
      <w:pPr>
        <w:pStyle w:val="BodyText"/>
      </w:pPr>
      <w:r>
        <w:t xml:space="preserve">14,1 Controlos de herdade</w:t>
      </w:r>
    </w:p>
    <w:p>
      <w:pPr>
        <w:numPr>
          <w:ilvl w:val="0"/>
          <w:numId w:val="1019"/>
        </w:numPr>
      </w:pPr>
      <w:r>
        <w:t xml:space="preserve">Prestador, status de autorização, escopo, implementação, evidência, avaliação, achados, alterações e expiração são conhecidos.</w:t>
      </w:r>
    </w:p>
    <w:p>
      <w:pPr>
        <w:numPr>
          <w:ilvl w:val="0"/>
          <w:numId w:val="1019"/>
        </w:numPr>
      </w:pPr>
      <w:r>
        <w:t xml:space="preserve">O controle herdado realmente se aplica à tecnologia, localização, serviço e uso do sistema.</w:t>
      </w:r>
    </w:p>
    <w:p>
      <w:pPr>
        <w:numPr>
          <w:ilvl w:val="0"/>
          <w:numId w:val="1019"/>
        </w:numPr>
      </w:pPr>
      <w:r>
        <w:t xml:space="preserve">As responsabilidades cliente/sistema são implementadas e testadas.</w:t>
      </w:r>
    </w:p>
    <w:p>
      <w:pPr>
        <w:numPr>
          <w:ilvl w:val="0"/>
          <w:numId w:val="1019"/>
        </w:numPr>
      </w:pPr>
      <w:r>
        <w:t xml:space="preserve">As alterações e fraquezas dos prestadores são comunicadas aos sistemas herdados.</w:t>
      </w:r>
    </w:p>
    <w:p>
      <w:pPr>
        <w:numPr>
          <w:ilvl w:val="0"/>
          <w:numId w:val="1019"/>
        </w:numPr>
      </w:pPr>
      <w:r>
        <w:t xml:space="preserve">Se o controlo comum falhar ou se tornar indisponível, os sistemas afectados reavaliam o risco e a resposta.</w:t>
      </w:r>
    </w:p>
    <w:bookmarkEnd w:id="65"/>
    <w:bookmarkEnd w:id="66"/>
    <w:bookmarkStart w:id="72" w:name="Xcc46f15445c97743b9644db10757a7f473184d8"/>
    <w:p>
      <w:pPr>
        <w:pStyle w:val="Heading1"/>
      </w:pPr>
      <w:r>
        <w:t xml:space="preserve">15. Escrevendo fortes declarações de implementação</w:t>
      </w:r>
    </w:p>
    <w:p>
      <w:pPr>
        <w:numPr>
          <w:ilvl w:val="0"/>
          <w:numId w:val="1020"/>
        </w:numPr>
        <w:pStyle w:val="Compact"/>
      </w:pPr>
      <w:r>
        <w:t xml:space="preserve">Uma instrução de implementação deve deixar que outra pessoa entenda e teste o controle real.*</w:t>
      </w:r>
    </w:p>
    <w:p>
      <w:pPr>
        <w:pStyle w:val="CaptionedFigure"/>
      </w:pPr>
      <w:r>
        <w:drawing>
          <wp:inline>
            <wp:extent cx="5334000" cy="2945449"/>
            <wp:effectExtent b="0" l="0" r="0" t="0"/>
            <wp:docPr descr="Identificadores de controle sozinhos são insuficientes; leitura de requisitos, parâmetros, discussão e melhorias juntos." title="" id="68" name="Picture"/>
            <a:graphic>
              <a:graphicData uri="http://schemas.openxmlformats.org/drawingml/2006/picture">
                <pic:pic>
                  <pic:nvPicPr>
                    <pic:cNvPr descr="media/image6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54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Identificadores de controle sozinhos são insuficientes; leitura de requisitos, parâmetros, discussão e melhorias juntos.</w:t>
      </w:r>
    </w:p>
    <w:p>
      <w:pPr>
        <w:pStyle w:val="BodyText"/>
      </w:pPr>
      <w:r>
        <w:t xml:space="preserve">Figura 5. Anatomia de controle</w:t>
      </w:r>
    </w:p>
    <w:p>
      <w:pPr>
        <w:numPr>
          <w:ilvl w:val="0"/>
          <w:numId w:val="1021"/>
        </w:numPr>
        <w:pStyle w:val="Heading2"/>
      </w:pPr>
      <w:bookmarkStart w:id="70" w:name="Xedc10af444e551c1fab18e313a051886c486d42"/>
      <w:r>
        <w:t xml:space="preserve">Declaração fraca** ** Padrão de instrução de Stronger**</w:t>
      </w:r>
      <w:bookmarkEnd w:id="70"/>
    </w:p>
    <w:p>
      <w:pPr>
        <w:numPr>
          <w:ilvl w:val="0"/>
          <w:numId w:val="1000"/>
        </w:numPr>
        <w:pStyle w:val="Compact"/>
      </w:pPr>
      <w:r>
        <w:t xml:space="preserve">A organização usa o MFA. A equipe de identidade requer MFA resistente a phishing para funções de administrador nomeadas através do serviço de identidade aprovado; inscrições, exceções e revisão trimestral de cobertura são registradas em sistemas especificados. □</w:t>
      </w:r>
      <w:r>
        <w:t xml:space="preserve"> </w:t>
      </w:r>
      <w:r>
        <w:t xml:space="preserve">Os logs são revisados. As revisões de operações de segurança definiram eventos de alto risco continuamente através do SIEM e realizam revisão diária documentada de logons administrativos fracassados; os casos e exceções são mantidos para o período aprovado.</w:t>
      </w:r>
      <w:r>
        <w:t xml:space="preserve"> </w:t>
      </w:r>
      <w:r>
        <w:t xml:space="preserve">Os backups são realizados. As operações criam backups diários criptografados dos bancos de dados Tier 1 listados, mantém uma cópia isolada, monitora falhas e executa testes de restauração trimestrais contra RTO de quatro horas e RPO de 30 minutos.</w:t>
      </w:r>
    </w:p>
    <w:bookmarkStart w:id="71" w:name="lista-de-verificação-da-declaração"/>
    <w:p>
      <w:pPr>
        <w:pStyle w:val="Heading2"/>
      </w:pPr>
      <w:r>
        <w:t xml:space="preserve">15.1 Lista de verificação da declaração</w:t>
      </w:r>
    </w:p>
    <w:p>
      <w:pPr>
        <w:numPr>
          <w:ilvl w:val="0"/>
          <w:numId w:val="1022"/>
        </w:numPr>
      </w:pPr>
      <w:r>
        <w:t xml:space="preserve">Quem é o dono e executa o controlo?</w:t>
      </w:r>
    </w:p>
    <w:p>
      <w:pPr>
        <w:numPr>
          <w:ilvl w:val="0"/>
          <w:numId w:val="1022"/>
        </w:numPr>
      </w:pPr>
      <w:r>
        <w:t xml:space="preserve">Que sistemas, contas, dados, instalações, fornecedores e população estão cobertos?</w:t>
      </w:r>
    </w:p>
    <w:p>
      <w:pPr>
        <w:numPr>
          <w:ilvl w:val="0"/>
          <w:numId w:val="1022"/>
        </w:numPr>
      </w:pPr>
      <w:r>
        <w:t xml:space="preserve">Que processo, configuração, ferramenta, regra e parâmetro o implementa?</w:t>
      </w:r>
    </w:p>
    <w:p>
      <w:pPr>
        <w:numPr>
          <w:ilvl w:val="0"/>
          <w:numId w:val="1022"/>
        </w:numPr>
      </w:pPr>
      <w:r>
        <w:t xml:space="preserve">Onde é que ele opera e onde estão as provas?</w:t>
      </w:r>
    </w:p>
    <w:p>
      <w:pPr>
        <w:numPr>
          <w:ilvl w:val="0"/>
          <w:numId w:val="1022"/>
        </w:numPr>
      </w:pPr>
      <w:r>
        <w:t xml:space="preserve">Quando/frequência/gatilho e quão rápido?</w:t>
      </w:r>
    </w:p>
    <w:p>
      <w:pPr>
        <w:numPr>
          <w:ilvl w:val="0"/>
          <w:numId w:val="1022"/>
        </w:numPr>
      </w:pPr>
      <w:r>
        <w:t xml:space="preserve">Como aprovações, exceções, falhas, revisões, métricas, alterações e retestes são gerenciados?</w:t>
      </w:r>
    </w:p>
    <w:p>
      <w:pPr>
        <w:numPr>
          <w:ilvl w:val="0"/>
          <w:numId w:val="1022"/>
        </w:numPr>
      </w:pPr>
      <w:r>
        <w:t xml:space="preserve">Que parte é herdada, partilhada, planeada, não aplicável ou ainda não opera?</w:t>
      </w:r>
    </w:p>
    <w:bookmarkEnd w:id="71"/>
    <w:bookmarkEnd w:id="72"/>
    <w:bookmarkStart w:id="77" w:name="planejamento-de-avaliação-e-evidência"/>
    <w:p>
      <w:pPr>
        <w:pStyle w:val="Heading1"/>
      </w:pPr>
      <w:r>
        <w:t xml:space="preserve">16. Planejamento de Avaliação e Evidência</w:t>
      </w:r>
    </w:p>
    <w:p>
      <w:pPr>
        <w:numPr>
          <w:ilvl w:val="0"/>
          <w:numId w:val="1023"/>
        </w:numPr>
        <w:pStyle w:val="Compact"/>
      </w:pPr>
      <w:r>
        <w:t xml:space="preserve">Os procedimentos SP 800-53A são personalizados em um plano de avaliação aprovado.*</w:t>
      </w:r>
    </w:p>
    <w:p>
      <w:pPr>
        <w:pStyle w:val="CaptionedFigure"/>
      </w:pPr>
      <w:r>
        <w:drawing>
          <wp:inline>
            <wp:extent cx="5334000" cy="2945449"/>
            <wp:effectExtent b="0" l="0" r="0" t="0"/>
            <wp:docPr descr="Métodos, objetos, profundidade e cobertura devem se adequar ao objetivo e risco." title="" id="74" name="Picture"/>
            <a:graphic>
              <a:graphicData uri="http://schemas.openxmlformats.org/drawingml/2006/picture">
                <pic:pic>
                  <pic:nvPicPr>
                    <pic:cNvPr descr="media/image7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54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Métodos, objetos, profundidade e cobertura devem se adequar ao objetivo e risco.</w:t>
      </w:r>
    </w:p>
    <w:p>
      <w:pPr>
        <w:pStyle w:val="BodyText"/>
      </w:pPr>
      <w:r>
        <w:t xml:space="preserve">Figura 6. Estrutura do procedimento de avaliação</w:t>
      </w:r>
    </w:p>
    <w:bookmarkStart w:id="76" w:name="section"/>
    <w:p>
      <w:pPr>
        <w:pStyle w:val="Heading2"/>
      </w:pPr>
      <w:r>
        <w:t xml:space="preserve">. . . . . . . . . .</w:t>
      </w:r>
    </w:p>
    <w:p>
      <w:pPr>
        <w:pStyle w:val="FirstParagraph"/>
      </w:pPr>
      <w:r>
        <w:t xml:space="preserve">O objectivo de avaliação é a determinação que o procedimento é concebido para apoiar</w:t>
      </w:r>
      <w:r>
        <w:t xml:space="preserve"> </w:t>
      </w:r>
      <w:r>
        <w:t xml:space="preserve">□ Método • Examinar, entrevistar ou testar</w:t>
      </w:r>
      <w:r>
        <w:t xml:space="preserve"> </w:t>
      </w:r>
      <w:r>
        <w:t xml:space="preserve">□ Objeto □ Especificação, mecanismo, atividade, individual, ou evidência examinada</w:t>
      </w:r>
      <w:r>
        <w:t xml:space="preserve"> </w:t>
      </w:r>
      <w:r>
        <w:t xml:space="preserve">Nível de rigor/detalhes: básico, focado ou abrangente</w:t>
      </w:r>
      <w:r>
        <w:t xml:space="preserve"> </w:t>
      </w:r>
      <w:r>
        <w:t xml:space="preserve">Cobertura ou escopo: básico, focado ou abrangente</w:t>
      </w:r>
      <w:r>
        <w:t xml:space="preserve"> </w:t>
      </w:r>
      <w:r>
        <w:t xml:space="preserve">□ Evidência □ Informação fiável que apoia a determinação</w:t>
      </w:r>
      <w:r>
        <w:t xml:space="preserve"> </w:t>
      </w:r>
      <w:r>
        <w:t xml:space="preserve">Resultado Satisfeito ou não satisfeito, com exceções e limitações</w:t>
      </w:r>
    </w:p>
    <w:bookmarkEnd w:id="76"/>
    <w:bookmarkEnd w:id="77"/>
    <w:bookmarkStart w:id="78" w:name="população-e-amostragem"/>
    <w:p>
      <w:pPr>
        <w:pStyle w:val="Heading1"/>
      </w:pPr>
      <w:r>
        <w:t xml:space="preserve">16.1 População e amostragem</w:t>
      </w:r>
    </w:p>
    <w:p>
      <w:pPr>
        <w:numPr>
          <w:ilvl w:val="0"/>
          <w:numId w:val="1024"/>
        </w:numPr>
      </w:pPr>
      <w:r>
        <w:t xml:space="preserve">Identificar a população completa antes de escolher uma amostra.</w:t>
      </w:r>
    </w:p>
    <w:p>
      <w:pPr>
        <w:numPr>
          <w:ilvl w:val="0"/>
          <w:numId w:val="1024"/>
        </w:numPr>
      </w:pPr>
      <w:r>
        <w:t xml:space="preserve">Validar a exaustividade e a precisão utilizando fontes independentes, sempre que possível.</w:t>
      </w:r>
    </w:p>
    <w:p>
      <w:pPr>
        <w:numPr>
          <w:ilvl w:val="0"/>
          <w:numId w:val="1024"/>
        </w:numPr>
      </w:pPr>
      <w:r>
        <w:t xml:space="preserve">Selecione testes de população completa quando a automação e o risco torná-lo prático.</w:t>
      </w:r>
    </w:p>
    <w:p>
      <w:pPr>
        <w:numPr>
          <w:ilvl w:val="0"/>
          <w:numId w:val="1024"/>
        </w:numPr>
      </w:pPr>
      <w:r>
        <w:t xml:space="preserve">Para amostras, método documental, período, tamanho, estratos, base aleatória/julgamental e limitação.</w:t>
      </w:r>
    </w:p>
    <w:p>
      <w:pPr>
        <w:numPr>
          <w:ilvl w:val="0"/>
          <w:numId w:val="1024"/>
        </w:numPr>
      </w:pPr>
      <w:r>
        <w:t xml:space="preserve">Expandir testes quando exceções sugerem um padrão ou fraqueza da população.</w:t>
      </w:r>
    </w:p>
    <w:bookmarkEnd w:id="78"/>
    <w:bookmarkStart w:id="79" w:name="pacote-de-autorização-e-poam"/>
    <w:p>
      <w:pPr>
        <w:pStyle w:val="Heading1"/>
      </w:pPr>
      <w:r>
        <w:t xml:space="preserve">17. Pacote de Autorização e POA&amp;M</w:t>
      </w:r>
    </w:p>
    <w:p>
      <w:pPr>
        <w:pStyle w:val="FirstParagraph"/>
      </w:pPr>
      <w:r>
        <w:rPr>
          <w:iCs/>
          <w:i/>
        </w:rPr>
        <w:t xml:space="preserve">O pacote conta a história de risco do propósito do sistema para abrir fraqueza e monitoramento.</w:t>
      </w:r>
    </w:p>
    <w:bookmarkEnd w:id="79"/>
    <w:bookmarkStart w:id="80" w:name="qualidade-de-poam"/>
    <w:p>
      <w:pPr>
        <w:pStyle w:val="Heading1"/>
      </w:pPr>
      <w:r>
        <w:t xml:space="preserve"># 17.1 Qualidade de POA&amp;M</w:t>
      </w:r>
    </w:p>
    <w:p>
      <w:pPr>
        <w:numPr>
          <w:ilvl w:val="0"/>
          <w:numId w:val="1025"/>
        </w:numPr>
      </w:pPr>
      <w:r>
        <w:t xml:space="preserve">Encontrar e controlar/critérios.</w:t>
      </w:r>
    </w:p>
    <w:p>
      <w:pPr>
        <w:numPr>
          <w:ilvl w:val="0"/>
          <w:numId w:val="1025"/>
        </w:numPr>
      </w:pPr>
      <w:r>
        <w:t xml:space="preserve">Condição, população afetada, evidência, data e fonte.</w:t>
      </w:r>
    </w:p>
    <w:p>
      <w:pPr>
        <w:numPr>
          <w:ilvl w:val="0"/>
          <w:numId w:val="1025"/>
        </w:numPr>
      </w:pPr>
      <w:r>
        <w:t xml:space="preserve">Cenário de risco, contexto de probabilidade/impacto, gravidade e dependências.</w:t>
      </w:r>
    </w:p>
    <w:p>
      <w:pPr>
        <w:numPr>
          <w:ilvl w:val="0"/>
          <w:numId w:val="1025"/>
        </w:numPr>
      </w:pPr>
      <w:r>
        <w:t xml:space="preserve">Causa e ação corretiva planejada - não apenas um sintoma.</w:t>
      </w:r>
    </w:p>
    <w:p>
      <w:pPr>
        <w:numPr>
          <w:ilvl w:val="0"/>
          <w:numId w:val="1025"/>
        </w:numPr>
      </w:pPr>
      <w:r>
        <w:t xml:space="preserve">Milestones, recursos, proprietário responsável, conclusão programada e salvaguardas provisórias.</w:t>
      </w:r>
    </w:p>
    <w:p>
      <w:pPr>
        <w:numPr>
          <w:ilvl w:val="0"/>
          <w:numId w:val="1025"/>
        </w:numPr>
      </w:pPr>
      <w:r>
        <w:t xml:space="preserve">Alterações, atrasos, aprovações, risco residual e escalada.</w:t>
      </w:r>
    </w:p>
    <w:p>
      <w:pPr>
        <w:numPr>
          <w:ilvl w:val="0"/>
          <w:numId w:val="1025"/>
        </w:numPr>
      </w:pPr>
      <w:r>
        <w:t xml:space="preserve">Reteste procedimento, provas, resultado, revisão de encerramento, e data.</w:t>
      </w:r>
    </w:p>
    <w:p>
      <w:pPr>
        <w:pStyle w:val="FirstParagraph"/>
      </w:pPr>
    </w:p>
    <w:p>
      <w:pPr>
        <w:pStyle w:val="BodyText"/>
      </w:pPr>
      <w:r>
        <w:t xml:space="preserve">&lt; tr classe=</w:t>
      </w:r>
      <w:r>
        <w:t xml:space="preserve">“</w:t>
      </w:r>
      <w:r>
        <w:t xml:space="preserve">header</w:t>
      </w:r>
      <w:r>
        <w:t xml:space="preserve">”</w:t>
      </w:r>
      <w:r>
        <w:t xml:space="preserve">&gt;</w:t>
      </w:r>
    </w:p>
    <w:p>
      <w:pPr>
        <w:pStyle w:val="BodyText"/>
      </w:pPr>
      <w:r>
        <w:t xml:space="preserve">Questão de embalagem</w:t>
      </w:r>
    </w:p>
    <w:p>
      <w:pPr>
        <w:pStyle w:val="BodyText"/>
      </w:pPr>
      <w:r>
        <w:t xml:space="preserve">Evidência</w:t>
      </w:r>
    </w:p>
    <w:p>
      <w:pPr>
        <w:pStyle w:val="BodyText"/>
      </w:pPr>
      <w:r>
        <w:t xml:space="preserve">O que está sendo autorizado?</w:t>
      </w:r>
    </w:p>
    <w:p>
      <w:pPr>
        <w:pStyle w:val="BodyText"/>
      </w:pPr>
      <w:r>
        <w:t xml:space="preserve">Limite, finalidade, usuários, informação, arquitetura, dependências</w:t>
      </w:r>
    </w:p>
    <w:p>
      <w:pPr>
        <w:pStyle w:val="BodyText"/>
      </w:pPr>
      <w:r>
        <w:t xml:space="preserve">Que controlos devem aplicar-se?</w:t>
      </w:r>
    </w:p>
    <w:p>
      <w:pPr>
        <w:pStyle w:val="BodyText"/>
      </w:pPr>
      <w:r>
        <w:t xml:space="preserve">&lt; td&gt;Categorização, linha de base, adaptação, parâmetros, requisitos</w:t>
      </w:r>
    </w:p>
    <w:p>
      <w:pPr>
        <w:pStyle w:val="BodyText"/>
      </w:pPr>
      <w:r>
        <w:t xml:space="preserve">Como são implementados os controles?</w:t>
      </w:r>
    </w:p>
    <w:p>
      <w:pPr>
        <w:pStyle w:val="BodyText"/>
      </w:pPr>
      <w:r>
        <w:t xml:space="preserve">Sistema/planos de controlo comum, declarações de implementação, diagramas</w:t>
      </w:r>
    </w:p>
    <w:p>
      <w:pPr>
        <w:pStyle w:val="BodyText"/>
      </w:pPr>
      <w:r>
        <w:t xml:space="preserve">Os controlos funcionam?</w:t>
      </w:r>
    </w:p>
    <w:p>
      <w:pPr>
        <w:pStyle w:val="BodyText"/>
      </w:pPr>
      <w:r>
        <w:t xml:space="preserve">Plano de avaliação/relatório, suporte bruto, achados, retestes</w:t>
      </w:r>
    </w:p>
    <w:p>
      <w:pPr>
        <w:pStyle w:val="BodyText"/>
      </w:pPr>
      <w:r>
        <w:t xml:space="preserve">&lt; td&gt;Que risco permanece?</w:t>
      </w:r>
    </w:p>
    <w:p>
      <w:pPr>
        <w:pStyle w:val="BodyText"/>
      </w:pPr>
      <w:r>
        <w:t xml:space="preserve">Avaliação do risco, excepções, POA&amp;M, ameaça/mudança de contexto</w:t>
      </w:r>
    </w:p>
    <w:p>
      <w:pPr>
        <w:pStyle w:val="BodyText"/>
      </w:pPr>
      <w:r>
        <w:t xml:space="preserve">&lt; td&gt;Como o risco ficará visível?</w:t>
      </w:r>
    </w:p>
    <w:p>
      <w:pPr>
        <w:pStyle w:val="BodyText"/>
      </w:pPr>
      <w:r>
        <w:t xml:space="preserve">Estratégia de monitoramento, métricas, relatórios, gatilhos, propriedade</w:t>
      </w:r>
    </w:p>
    <w:p>
      <w:pPr>
        <w:pStyle w:val="BodyText"/>
      </w:pPr>
      <w:r>
        <w:t xml:space="preserve"> </w:t>
      </w:r>
    </w:p>
    <w:bookmarkEnd w:id="80"/>
    <w:bookmarkStart w:id="85" w:name="estratégia-de-monitoramento-contínuo"/>
    <w:p>
      <w:pPr>
        <w:pStyle w:val="Heading1"/>
      </w:pPr>
      <w:r>
        <w:t xml:space="preserve">18. Estratégia de Monitoramento Contínuo</w:t>
      </w:r>
    </w:p>
    <w:p>
      <w:pPr>
        <w:pStyle w:val="FirstParagraph"/>
      </w:pPr>
      <w:r>
        <w:rPr>
          <w:iCs/>
          <w:i/>
        </w:rPr>
        <w:t xml:space="preserve">Uma estratégia de monitoramento define quais evidências são coletadas, quantas vezes, e que decisão segue.</w:t>
      </w:r>
    </w:p>
    <w:p>
      <w:pPr>
        <w:pStyle w:val="CaptionedFigure"/>
      </w:pPr>
      <w:r>
        <w:drawing>
          <wp:inline>
            <wp:extent cx="5334000" cy="2945449"/>
            <wp:effectExtent b="0" l="0" r="0" t="0"/>
            <wp:docPr descr="Monitoramento fecha a alça da mudança e evidências para decisões de risco corrigidas." title="" id="82" name="Picture"/>
            <a:graphic>
              <a:graphicData uri="http://schemas.openxmlformats.org/drawingml/2006/picture">
                <pic:pic>
                  <pic:nvPicPr>
                    <pic:cNvPr descr="media/image8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54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Monitoramento fecha a alça da mudança e evidências para decisões de risco corrigidas.</w:t>
      </w:r>
    </w:p>
    <w:p>
      <w:pPr>
        <w:pStyle w:val="BodyText"/>
      </w:pPr>
      <w:r>
        <w:t xml:space="preserve">Figura 8. Monitoramento contínuo e resposta</w:t>
      </w:r>
    </w:p>
    <w:p>
      <w:pPr>
        <w:numPr>
          <w:ilvl w:val="0"/>
          <w:numId w:val="1026"/>
        </w:numPr>
        <w:pStyle w:val="Heading2"/>
      </w:pPr>
      <w:bookmarkStart w:id="84" w:name="campo-exemplo-conteúdo-de-decisão"/>
      <w:r>
        <w:t xml:space="preserve">** Campo**</w:t>
      </w:r>
      <w:r>
        <w:t xml:space="preserve"> </w:t>
      </w:r>
      <w:r>
        <w:rPr>
          <w:bCs/>
          <w:b/>
        </w:rPr>
        <w:t xml:space="preserve">Exemplo conteúdo de decisão</w:t>
      </w:r>
      <w:bookmarkEnd w:id="84"/>
    </w:p>
    <w:p>
      <w:pPr>
        <w:numPr>
          <w:ilvl w:val="0"/>
          <w:numId w:val="1000"/>
        </w:numPr>
        <w:pStyle w:val="Compact"/>
      </w:pPr>
      <w:r>
        <w:t xml:space="preserve">Controlo/risco Que requisito e risco os endereços de evidência</w:t>
      </w:r>
      <w:r>
        <w:t xml:space="preserve"> </w:t>
      </w:r>
      <w:r>
        <w:t xml:space="preserve">Indicador □ Configuração, cobertura, evento, descoberta, desempenho, exceção, ou mudança</w:t>
      </w:r>
      <w:r>
        <w:t xml:space="preserve"> </w:t>
      </w:r>
      <w:r>
        <w:t xml:space="preserve">Fonte/proprietário; sistema autoritativo e responsável proprietário de dados;</w:t>
      </w:r>
      <w:r>
        <w:t xml:space="preserve"> </w:t>
      </w:r>
      <w:r>
        <w:t xml:space="preserve">□ Frequência/gatilho □ Diariamente, mensal, anual, lançamento, incidente, mudança do provedor, mudança significativa □</w:t>
      </w:r>
      <w:r>
        <w:t xml:space="preserve"> </w:t>
      </w:r>
      <w:r>
        <w:t xml:space="preserve">Qualidade, precisão, pontualidade, integridade, acesso, sincronização de tempo</w:t>
      </w:r>
      <w:r>
        <w:t xml:space="preserve"> </w:t>
      </w:r>
      <w:r>
        <w:t xml:space="preserve">Limiar – Condição que requer revisão, escalada, correção, reavaliação ou ação de autorização</w:t>
      </w:r>
      <w:r>
        <w:t xml:space="preserve"> </w:t>
      </w:r>
      <w:r>
        <w:t xml:space="preserve">• Audiência • Implementador, proprietário do sistema, funcionário de segurança/privacidade, executivo de risco, oficial autorizador</w:t>
      </w:r>
      <w:r>
        <w:t xml:space="preserve"> </w:t>
      </w:r>
      <w:r>
        <w:t xml:space="preserve">• Retenção • Histórico obrigatório, proteção de evidências e atualização de pacotes</w:t>
      </w:r>
    </w:p>
    <w:bookmarkEnd w:id="85"/>
    <w:bookmarkStart w:id="91" w:name="oscal-e-automação"/>
    <w:p>
      <w:pPr>
        <w:pStyle w:val="Heading1"/>
      </w:pPr>
      <w:r>
        <w:t xml:space="preserve">19. OSCAL e Automação</w:t>
      </w:r>
    </w:p>
    <w:p>
      <w:pPr>
        <w:numPr>
          <w:ilvl w:val="0"/>
          <w:numId w:val="1027"/>
        </w:numPr>
        <w:pStyle w:val="Compact"/>
      </w:pPr>
      <w:r>
        <w:t xml:space="preserve">OSCAL suporta informações de controle, implementação, avaliação e remediação legíveis por máquina.</w:t>
      </w:r>
    </w:p>
    <w:p>
      <w:pPr>
        <w:pStyle w:val="CaptionedFigure"/>
      </w:pPr>
      <w:r>
        <w:drawing>
          <wp:inline>
            <wp:extent cx="5334000" cy="2945449"/>
            <wp:effectExtent b="0" l="0" r="0" t="0"/>
            <wp:docPr descr="Modelos OSCAL conectam o que é necessário, como é implementado, como é avaliado e o que permanece aberto." title="" id="87" name="Picture"/>
            <a:graphic>
              <a:graphicData uri="http://schemas.openxmlformats.org/drawingml/2006/picture">
                <pic:pic>
                  <pic:nvPicPr>
                    <pic:cNvPr descr="media/image9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54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Modelos OSCAL conectam o que é necessário, como é implementado, como é avaliado e o que permanece aberto.</w:t>
      </w:r>
    </w:p>
    <w:p>
      <w:pPr>
        <w:pStyle w:val="BodyText"/>
      </w:pPr>
      <w:r>
        <w:t xml:space="preserve">Figura 9. Fluxo do modelo OSCAL</w:t>
      </w:r>
    </w:p>
    <w:bookmarkStart w:id="89" w:name="modelo-oscal"/>
    <w:p>
      <w:pPr>
        <w:pStyle w:val="Heading2"/>
      </w:pPr>
      <w:r>
        <w:t xml:space="preserve">Modelo OSCAL**</w:t>
      </w:r>
    </w:p>
    <w:p>
      <w:pPr>
        <w:pStyle w:val="FirstParagraph"/>
      </w:pPr>
      <w:r>
        <w:t xml:space="preserve">□ Catálogo □ Controles estruturados, melhorias, parâmetros e conteúdo de suporte</w:t>
      </w:r>
      <w:r>
        <w:t xml:space="preserve"> </w:t>
      </w:r>
      <w:r>
        <w:t xml:space="preserve">O perfil seleciona, modifica e organiza controles de catálogos</w:t>
      </w:r>
      <w:r>
        <w:t xml:space="preserve"> </w:t>
      </w:r>
      <w:r>
        <w:t xml:space="preserve">Definição de Componentes Descreve capacidades de implementação de controle reutilizáveis</w:t>
      </w:r>
      <w:r>
        <w:t xml:space="preserve"> </w:t>
      </w:r>
      <w:r>
        <w:t xml:space="preserve">Plano de segurança do sistema , descreve a implementação do sistema e controle ,</w:t>
      </w:r>
      <w:r>
        <w:t xml:space="preserve"> </w:t>
      </w:r>
      <w:r>
        <w:t xml:space="preserve">O Plano de Avaliação define o âmbito de avaliação, os assuntos, as tarefas, os métodos e o calendário</w:t>
      </w:r>
      <w:r>
        <w:t xml:space="preserve"> </w:t>
      </w:r>
      <w:r>
        <w:t xml:space="preserve">Resultados de avaliação , observações de registros, riscos, achados e resultados</w:t>
      </w:r>
      <w:r>
        <w:t xml:space="preserve"> </w:t>
      </w:r>
      <w:r>
        <w:t xml:space="preserve">Plano de Ação e Milestones Rastreia riscos, descobertas, ações, marcos e status</w:t>
      </w:r>
    </w:p>
    <w:bookmarkEnd w:id="89"/>
    <w:bookmarkStart w:id="90" w:name="salvaguardas-de-automação"/>
    <w:p>
      <w:pPr>
        <w:pStyle w:val="Heading2"/>
      </w:pPr>
      <w:r>
        <w:t xml:space="preserve">19.1 Salvaguardas de automação</w:t>
      </w:r>
    </w:p>
    <w:p>
      <w:pPr>
        <w:numPr>
          <w:ilvl w:val="0"/>
          <w:numId w:val="1028"/>
        </w:numPr>
      </w:pPr>
      <w:r>
        <w:t xml:space="preserve">Tratar a libertação/etiqueta oficial e o esquema como dependências controladas.</w:t>
      </w:r>
    </w:p>
    <w:p>
      <w:pPr>
        <w:numPr>
          <w:ilvl w:val="0"/>
          <w:numId w:val="1028"/>
        </w:numPr>
      </w:pPr>
      <w:r>
        <w:t xml:space="preserve">Validar sintaxe e semântica; os dados do esquema-válido ainda podem estar factualmente errados.</w:t>
      </w:r>
    </w:p>
    <w:p>
      <w:pPr>
        <w:numPr>
          <w:ilvl w:val="0"/>
          <w:numId w:val="1028"/>
        </w:numPr>
      </w:pPr>
      <w:r>
        <w:t xml:space="preserve">Usar identificadores estáveis e rastrear evidências para sistemas de origem.</w:t>
      </w:r>
    </w:p>
    <w:p>
      <w:pPr>
        <w:numPr>
          <w:ilvl w:val="0"/>
          <w:numId w:val="1028"/>
        </w:numPr>
      </w:pPr>
      <w:r>
        <w:t xml:space="preserve">Proteger sistema sensível, arquitetura, fraqueza, informações pessoais e fornecedor.</w:t>
      </w:r>
    </w:p>
    <w:p>
      <w:pPr>
        <w:numPr>
          <w:ilvl w:val="0"/>
          <w:numId w:val="1028"/>
        </w:numPr>
      </w:pPr>
      <w:r>
        <w:t xml:space="preserve">Exigir revisão humana para alfaiataria, risco, descobertas, exceções e decisões de autorização.</w:t>
      </w:r>
    </w:p>
    <w:p>
      <w:pPr>
        <w:numPr>
          <w:ilvl w:val="0"/>
          <w:numId w:val="1028"/>
        </w:numPr>
      </w:pPr>
      <w:r>
        <w:t xml:space="preserve">Track versão, mudança, aprovação, transformação, herança, e histórico de exportação.</w:t>
      </w:r>
    </w:p>
    <w:bookmarkEnd w:id="90"/>
    <w:bookmarkEnd w:id="91"/>
    <w:bookmarkStart w:id="92" w:name="X1bdda4098b02047a04942ba9d5d8d46b63e1df0"/>
    <w:p>
      <w:pPr>
        <w:pStyle w:val="Heading1"/>
      </w:pPr>
      <w:r>
        <w:t xml:space="preserve">20. Famílias de Controle: Acesso, Consciência, Auditoria e Avaliação</w:t>
      </w:r>
    </w:p>
    <w:p>
      <w:pPr>
        <w:pStyle w:val="FirstParagraph"/>
      </w:pPr>
      <w:r>
        <w:rPr>
          <w:iCs/>
          <w:i/>
        </w:rPr>
        <w:t xml:space="preserve">Quatro famílias estabelecem quem pode agir, como as pessoas aprendem, o que é registrado, e como as decisões de garantia são tomadas.</w:t>
      </w:r>
    </w:p>
    <w:bookmarkEnd w:id="92"/>
    <w:bookmarkStart w:id="94" w:name="ac---controle-de-acesso"/>
    <w:p>
      <w:pPr>
        <w:pStyle w:val="Heading1"/>
      </w:pPr>
      <w:r>
        <w:t xml:space="preserve"># AC - Controle de Acesso</w:t>
      </w:r>
    </w:p>
    <w:p>
      <w:pPr>
        <w:pStyle w:val="FirstParagraph"/>
      </w:pPr>
      <w:r>
        <w:t xml:space="preserve">Limitar o acesso do sistema e da informação aos usuários, processos, dispositivos e ações autorizadas.</w:t>
      </w:r>
    </w:p>
    <w:bookmarkStart w:id="93" w:name="X75c9709db5df1cf139ac48efb0ee456bab338f1"/>
    <w:p>
      <w:pPr>
        <w:pStyle w:val="Heading2"/>
      </w:pPr>
      <w:r>
        <w:t xml:space="preserve">. ** Foco de implementação** . . . . . . . . . . . . .</w:t>
      </w:r>
    </w:p>
    <w:p>
      <w:pPr>
        <w:pStyle w:val="FirstParagraph"/>
      </w:pPr>
      <w:r>
        <w:t xml:space="preserve">□ Defina escopo, proprietário, requisitos, procedimentos, tecnologia, responsabilidades, exceções e monitoramento. Inventário da conta, funções, aprovações, MFA, regras de acesso, revisões, revogações, logs □ Combine evidência com o controle exato; valide população, data, configuração, operação, exceções e reteste.</w:t>
      </w:r>
    </w:p>
    <w:bookmarkEnd w:id="93"/>
    <w:bookmarkEnd w:id="94"/>
    <w:bookmarkStart w:id="95" w:name="at-conscientização-e-treinamento"/>
    <w:p>
      <w:pPr>
        <w:pStyle w:val="Heading1"/>
      </w:pPr>
      <w:r>
        <w:t xml:space="preserve">AT — Conscientização e Treinamento</w:t>
      </w:r>
    </w:p>
    <w:p>
      <w:pPr>
        <w:pStyle w:val="FirstParagraph"/>
      </w:pPr>
      <w:r>
        <w:t xml:space="preserve">Criar uma consciência geral e conhecimentos específicos para responsabilidades de segurança e privacidade.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. 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Foco de implementação** . . . . . . . . . . . . 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□ 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fina escopo, proprietário, requisitos, procedimentos, tecnologia, responsabilidades, exceções e monitoramento. A população, o currículo, o mapeamento do papel, a conclusão, os exercícios, as exceções, a avaliação, a evidência de correspondência ao controle exato; valida a população, a data, a configuração, a operação, as exceções, e o reteste.</w:t>
            </w:r>
          </w:p>
        </w:tc>
      </w:tr>
    </w:tbl>
    <w:bookmarkEnd w:id="95"/>
    <w:bookmarkStart w:id="96" w:name="ua-auditoria-e-responsabilidade"/>
    <w:p>
      <w:pPr>
        <w:pStyle w:val="Heading1"/>
      </w:pPr>
      <w:r>
        <w:t xml:space="preserve"># UA — Auditoria e responsabilidade</w:t>
      </w:r>
    </w:p>
    <w:p>
      <w:pPr>
        <w:pStyle w:val="FirstParagraph"/>
      </w:pPr>
      <w:r>
        <w:t xml:space="preserve">Crie, proteja, revise, retenha e use registros que suportem detecção, investigação e responsabilização.</w:t>
      </w:r>
    </w:p>
    <w:p>
      <w:pPr>
        <w:pStyle w:val="BodyText"/>
      </w:pPr>
      <w:r>
        <w:t xml:space="preserve">. ** Foco de implementação** . . . . . . . . . . . . .</w:t>
      </w:r>
      <w:r>
        <w:t xml:space="preserve"> </w:t>
      </w:r>
      <w:r>
        <w:t xml:space="preserve">— ——————————————————————————————————————————————————————————————————– (——————————-</w:t>
      </w:r>
      <w:r>
        <w:t xml:space="preserve"> </w:t>
      </w:r>
      <w:r>
        <w:t xml:space="preserve">□ Defina escopo, proprietário, requisitos, procedimentos, tecnologia, responsabilidades, exceções e monitoramento. □ Lista de eventos, fontes de log, sincronia de tempo, campos, retenção, acesso, revisão, alertas □ Coincidir evidência com o controle exato; validar população, data, configuração, operação, exceções e reteste.</w:t>
      </w:r>
    </w:p>
    <w:bookmarkEnd w:id="96"/>
    <w:bookmarkStart w:id="97" w:name="ca-avaliação-autorização-e-monitoramento"/>
    <w:p>
      <w:pPr>
        <w:pStyle w:val="Heading1"/>
      </w:pPr>
      <w:r>
        <w:t xml:space="preserve"># CA — Avaliação, Autorização e Monitoramento</w:t>
      </w:r>
    </w:p>
    <w:p>
      <w:pPr>
        <w:pStyle w:val="FirstParagraph"/>
      </w:pPr>
      <w:r>
        <w:t xml:space="preserve">Avaliar controles, gerenciar achados, autorizar o risco e monitorar a segurança e a postura de privacidade.</w:t>
      </w:r>
    </w:p>
    <w:p>
      <w:pPr>
        <w:pStyle w:val="BodyText"/>
      </w:pPr>
      <w:r>
        <w:t xml:space="preserve">. ** Foco de implementação** . . . . . . . . . . . . .</w:t>
      </w:r>
      <w:r>
        <w:t xml:space="preserve"> </w:t>
      </w:r>
      <w:r>
        <w:t xml:space="preserve">— ——————————————————————————————————————————————————————————————————– (——————————-</w:t>
      </w:r>
      <w:r>
        <w:t xml:space="preserve"> </w:t>
      </w:r>
      <w:r>
        <w:t xml:space="preserve">□ Defina escopo, proprietário, requisitos, procedimentos, tecnologia, responsabilidades, exceções e monitoramento. □ Planos de avaliação/relatórios, autorizações, POA&amp;M, estratégia de monitoramento, resultados □ Coincidir evidência com o controle exato; validar população, data, configuração, operação, exceções e reteste.</w:t>
      </w:r>
    </w:p>
    <w:bookmarkEnd w:id="97"/>
    <w:bookmarkStart w:id="98" w:name="X04602defaf169e85a7536bb16d3e5c3ffff860c"/>
    <w:p>
      <w:pPr>
        <w:pStyle w:val="Heading1"/>
      </w:pPr>
      <w:r>
        <w:t xml:space="preserve">21. Famílias de Controle: Configuração, Contingência, Identidade, Incidente e Manutenção</w:t>
      </w:r>
    </w:p>
    <w:p>
      <w:pPr>
        <w:pStyle w:val="FirstParagraph"/>
      </w:pPr>
      <w:r>
        <w:rPr>
          <w:iCs/>
          <w:i/>
        </w:rPr>
        <w:t xml:space="preserve">Estas famílias garantem configuração, resiliência, identidade, resposta e manutenção controlada.</w:t>
      </w:r>
    </w:p>
    <w:bookmarkEnd w:id="98"/>
    <w:bookmarkStart w:id="99" w:name="cm---gestão-de-configuração"/>
    <w:p>
      <w:pPr>
        <w:pStyle w:val="Heading1"/>
      </w:pPr>
      <w:r>
        <w:t xml:space="preserve"># CM - Gestão de Configuração</w:t>
      </w:r>
    </w:p>
    <w:p>
      <w:pPr>
        <w:pStyle w:val="FirstParagraph"/>
      </w:pPr>
      <w:r>
        <w:t xml:space="preserve">Estabeleça linhas de base controladas e gerencie configurações e mudanças seguras.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. 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Foco de implementação** . . . . . . . . . . . . 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□ 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fina escopo, proprietário, requisitos, procedimentos, tecnologia, responsabilidades, exceções e monitoramento. □ Baselines, inventários, aprovações, testes de mudança, varreduras, desvios, avaliações □ Combine evidência com o controle exato; valide população, data, configuração, operação, exceções e reteste.</w:t>
            </w:r>
          </w:p>
        </w:tc>
      </w:tr>
    </w:tbl>
    <w:bookmarkEnd w:id="99"/>
    <w:bookmarkStart w:id="100" w:name="cp-planejamento-de-contingências"/>
    <w:p>
      <w:pPr>
        <w:pStyle w:val="Heading1"/>
      </w:pPr>
      <w:r>
        <w:t xml:space="preserve">CP — Planejamento de Contingências</w:t>
      </w:r>
    </w:p>
    <w:p>
      <w:pPr>
        <w:pStyle w:val="FirstParagraph"/>
      </w:pPr>
      <w:r>
        <w:t xml:space="preserve">Prepare, teste e mantenha capacidades de recuperação e continuidade.</w:t>
      </w:r>
    </w:p>
    <w:p>
      <w:pPr>
        <w:pStyle w:val="BodyText"/>
      </w:pPr>
      <w:r>
        <w:t xml:space="preserve">. ** Foco de implementação** . . . . . . . . . . . . .</w:t>
      </w:r>
      <w:r>
        <w:t xml:space="preserve"> </w:t>
      </w:r>
      <w:r>
        <w:t xml:space="preserve">— ————————————————————————————————————————————————————————————————- (—————————————————————</w:t>
      </w:r>
      <w:r>
        <w:t xml:space="preserve"> </w:t>
      </w:r>
      <w:r>
        <w:t xml:space="preserve">□ Defina escopo, proprietário, requisitos, procedimentos, tecnologia, responsabilidades, exceções e monitoramento. □ BIA, planos, backups, processamento alternativo, exercícios, restaurações, RTO/RPO □ Combine evidência com o controle exato; valide a população, data, configuração, operação, exceções e reteste.</w:t>
      </w:r>
    </w:p>
    <w:bookmarkEnd w:id="100"/>
    <w:bookmarkStart w:id="101" w:name="ia-identificação-e-autenticação"/>
    <w:p>
      <w:pPr>
        <w:pStyle w:val="Heading1"/>
      </w:pPr>
      <w:r>
        <w:t xml:space="preserve"># IA — Identificação e autenticação</w:t>
      </w:r>
    </w:p>
    <w:p>
      <w:pPr>
        <w:pStyle w:val="FirstParagraph"/>
      </w:pPr>
      <w:r>
        <w:t xml:space="preserve">Identificar e autenticar pessoas, dispositivos e processos com força adequada ao risco.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. 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Foco de implementação** . . . . . . . . . . . . 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□ 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fina escopo, proprietário, requisitos, procedimentos, tecnologia, responsabilidades, exceções e monitoramento. A prova de identidade, autenticadores, MFA, federação, identidades de serviço, logs de ciclo de vida . Combine evidência com o controle exato; valide população, data, configuração, operação, exceções e reteste.</w:t>
            </w:r>
          </w:p>
        </w:tc>
      </w:tr>
    </w:tbl>
    <w:bookmarkEnd w:id="101"/>
    <w:bookmarkStart w:id="102" w:name="ir-resposta-ao-incidente"/>
    <w:p>
      <w:pPr>
        <w:pStyle w:val="Heading1"/>
      </w:pPr>
      <w:r>
        <w:t xml:space="preserve"># IR — Resposta ao incidente</w:t>
      </w:r>
    </w:p>
    <w:p>
      <w:pPr>
        <w:pStyle w:val="FirstParagraph"/>
      </w:pPr>
      <w:r>
        <w:t xml:space="preserve">Prepare-se para, detectar, analisar, conter, recuperar, relatar e melhorar após incidentes.</w:t>
      </w:r>
    </w:p>
    <w:p>
      <w:pPr>
        <w:pStyle w:val="BodyText"/>
      </w:pPr>
      <w:r>
        <w:t xml:space="preserve">. ** Foco de implementação** . . . . . . . . . . . . .</w:t>
      </w:r>
      <w:r>
        <w:t xml:space="preserve"> </w:t>
      </w:r>
      <w:r>
        <w:t xml:space="preserve">— ———————————————————————————————————————————————————————————————————- (——————————————————</w:t>
      </w:r>
      <w:r>
        <w:t xml:space="preserve"> </w:t>
      </w:r>
      <w:r>
        <w:t xml:space="preserve">□ Defina escopo, proprietário, requisitos, procedimentos, tecnologia, responsabilidades, exceções e monitoramento. O plano, funções, playbooks, casos, evidência, notificação, exercícios, lições, coincidir evidência para o controle exato; validar população, data, configuração, operação, exceções e reteste.</w:t>
      </w:r>
    </w:p>
    <w:bookmarkEnd w:id="102"/>
    <w:bookmarkStart w:id="103" w:name="ma-manutenção"/>
    <w:p>
      <w:pPr>
        <w:pStyle w:val="Heading1"/>
      </w:pPr>
      <w:r>
        <w:t xml:space="preserve"># MA — Manutenção</w:t>
      </w:r>
    </w:p>
    <w:p>
      <w:pPr>
        <w:pStyle w:val="FirstParagraph"/>
      </w:pPr>
      <w:r>
        <w:t xml:space="preserve">Controle a manutenção do sistema, ferramentas, pessoal, acesso e atividade remota.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. 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Foco de implementação** . . . . . . . . . . . . 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□ 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fina escopo, proprietário, requisitos, procedimentos, tecnologia, responsabilidades, exceções e monitoramento. Programação de manutenção, aprovações, ferramentas, higienização, sessões remotas, logs . Combine evidências com o controle exato; valide população, data, configuração, operação, exceções e reteste.</w:t>
            </w:r>
          </w:p>
        </w:tc>
      </w:tr>
    </w:tbl>
    <w:bookmarkEnd w:id="103"/>
    <w:bookmarkStart w:id="104" w:name="X77967bfea9749c327bdb3b958aa2c9c963b23e8"/>
    <w:p>
      <w:pPr>
        <w:pStyle w:val="Heading1"/>
      </w:pPr>
      <w:r>
        <w:t xml:space="preserve">22. Famílias de Controle: Mídia, Física, Planejamento, Programa e Pessoal</w:t>
      </w:r>
    </w:p>
    <w:p>
      <w:pPr>
        <w:numPr>
          <w:ilvl w:val="0"/>
          <w:numId w:val="1029"/>
        </w:numPr>
        <w:pStyle w:val="Compact"/>
      </w:pPr>
      <w:r>
        <w:t xml:space="preserve">Estas famílias protegem a mídia, instalações, planos, programas e pessoal.*</w:t>
      </w:r>
    </w:p>
    <w:bookmarkEnd w:id="104"/>
    <w:bookmarkStart w:id="106" w:name="mp---proteção-de-mídia"/>
    <w:p>
      <w:pPr>
        <w:pStyle w:val="Heading1"/>
      </w:pPr>
      <w:r>
        <w:t xml:space="preserve"># MP - Proteção de mídia</w:t>
      </w:r>
    </w:p>
    <w:p>
      <w:pPr>
        <w:pStyle w:val="FirstParagraph"/>
      </w:pPr>
      <w:r>
        <w:t xml:space="preserve">Proteger, controlar, transportar, higienizar e dispor de mídia digital e não digital.</w:t>
      </w:r>
    </w:p>
    <w:bookmarkStart w:id="105" w:name="X5b04806af1b5b2a61e1d6db47b8e6bf9f90a056"/>
    <w:p>
      <w:pPr>
        <w:pStyle w:val="Heading2"/>
      </w:pPr>
      <w:r>
        <w:t xml:space="preserve">. ** Foco de implementação** . . . . . . . . . . . . .</w:t>
      </w:r>
    </w:p>
    <w:p>
      <w:pPr>
        <w:pStyle w:val="FirstParagraph"/>
      </w:pPr>
      <w:r>
        <w:t xml:space="preserve">□ Defina escopo, proprietário, requisitos, procedimentos, tecnologia, responsabilidades, exceções e monitoramento. Inventário de mídia, acesso, marcação, transporte, criptografia, higienização, descarte; coincidir evidência com o controle exato; validar população, data, configuração, operação, exceções e reteste.</w:t>
      </w:r>
    </w:p>
    <w:bookmarkEnd w:id="105"/>
    <w:bookmarkEnd w:id="106"/>
    <w:bookmarkStart w:id="107" w:name="pe-proteção-física-e-ambiental"/>
    <w:p>
      <w:pPr>
        <w:pStyle w:val="Heading1"/>
      </w:pPr>
      <w:r>
        <w:t xml:space="preserve"># PE — Proteção física e ambiental</w:t>
      </w:r>
    </w:p>
    <w:p>
      <w:pPr>
        <w:pStyle w:val="FirstParagraph"/>
      </w:pPr>
      <w:r>
        <w:t xml:space="preserve">Proteja instalações, equipamentos, utilidades e pessoas de ameaças físicas e ambientais.</w:t>
      </w:r>
    </w:p>
    <w:p>
      <w:pPr>
        <w:pStyle w:val="BodyText"/>
      </w:pPr>
      <w:r>
        <w:t xml:space="preserve">. ** Foco de implementação** . . . . . . . . . . . . .</w:t>
      </w:r>
      <w:r>
        <w:t xml:space="preserve"> </w:t>
      </w:r>
      <w:r>
        <w:t xml:space="preserve">— ——————————————————————————————————————————————————————————————————– (——————————-</w:t>
      </w:r>
      <w:r>
        <w:t xml:space="preserve"> </w:t>
      </w:r>
      <w:r>
        <w:t xml:space="preserve">□ Defina escopo, proprietário, requisitos, procedimentos, tecnologia, responsabilidades, exceções e monitoramento. Emblemas, visitantes, câmeras, alarmes, energia, fogo, temperatura, avaliações de instalação . Combine evidência com o controle exato; valide população, data, configuração, operação, exceções e reteste. .</w:t>
      </w:r>
    </w:p>
    <w:bookmarkEnd w:id="107"/>
    <w:bookmarkStart w:id="108" w:name="pl-planejamento"/>
    <w:p>
      <w:pPr>
        <w:pStyle w:val="Heading1"/>
      </w:pPr>
      <w:r>
        <w:t xml:space="preserve"># PL — Planejamento</w:t>
      </w:r>
    </w:p>
    <w:p>
      <w:pPr>
        <w:pStyle w:val="FirstParagraph"/>
      </w:pPr>
      <w:r>
        <w:t xml:space="preserve">Planos de segurança e privacidade do sistema de documentos, regras de comportamento, arquitetura e controles pretendidos.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. 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Foco de implementação** . . . . . . . . . . . . 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□ 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fina escopo, proprietário, requisitos, procedimentos, tecnologia, responsabilidades, exceções e monitoramento. □ Planos de sistema, limites, fluxos de dados, regras, aprovações, versões, revisão □ Combine evidências com o controle exato; valide população, data, configuração, operação, exceções e reteste.</w:t>
            </w:r>
          </w:p>
        </w:tc>
      </w:tr>
    </w:tbl>
    <w:bookmarkEnd w:id="108"/>
    <w:bookmarkStart w:id="110" w:name="pm-gestão-de-programas"/>
    <w:p>
      <w:pPr>
        <w:pStyle w:val="Heading1"/>
      </w:pPr>
      <w:r>
        <w:t xml:space="preserve"># PM — Gestão de Programas</w:t>
      </w:r>
    </w:p>
    <w:p>
      <w:pPr>
        <w:pStyle w:val="FirstParagraph"/>
      </w:pPr>
      <w:r>
        <w:t xml:space="preserve">Operar programas de segurança e privacidade de informação e governança compartilhada em toda a organização.</w:t>
      </w:r>
    </w:p>
    <w:bookmarkStart w:id="109" w:name="X31e4f60035e1d687d188984e4b3f344972dafcf"/>
    <w:p>
      <w:pPr>
        <w:pStyle w:val="Heading2"/>
      </w:pPr>
      <w:r>
        <w:t xml:space="preserve">. ** Foco de implementação** . . . . . . . . . . . . .</w:t>
      </w:r>
    </w:p>
    <w:p>
      <w:pPr>
        <w:pStyle w:val="FirstParagraph"/>
      </w:pPr>
      <w:r>
        <w:t xml:space="preserve">□ Defina escopo, proprietário, requisitos, procedimentos, tecnologia, responsabilidades, exceções e monitoramento. Planos de programas, líderes, recursos, estratégia de risco, métricas, inventários corporativos, evidencie o controle exato; valide a população, data, configuração, operação, exceções e reteste.</w:t>
      </w:r>
    </w:p>
    <w:bookmarkEnd w:id="109"/>
    <w:bookmarkEnd w:id="110"/>
    <w:bookmarkStart w:id="112" w:name="ps-segurança-do-pessoal"/>
    <w:p>
      <w:pPr>
        <w:pStyle w:val="Heading1"/>
      </w:pPr>
      <w:r>
        <w:t xml:space="preserve"># PS — Segurança do Pessoal</w:t>
      </w:r>
    </w:p>
    <w:p>
      <w:pPr>
        <w:pStyle w:val="FirstParagraph"/>
      </w:pPr>
      <w:r>
        <w:t xml:space="preserve">Gerencie rastreamento de pessoal, acordos, transferências, rescisão, sanções e risco.</w:t>
      </w:r>
    </w:p>
    <w:bookmarkStart w:id="111" w:name="X27900b36e004a4355f3dd7d4dc787f3b4d0c425"/>
    <w:p>
      <w:pPr>
        <w:pStyle w:val="Heading2"/>
      </w:pPr>
      <w:r>
        <w:t xml:space="preserve">. ** Foco de implementação** . . . . . . . . . . . . .</w:t>
      </w:r>
    </w:p>
    <w:p>
      <w:pPr>
        <w:pStyle w:val="FirstParagraph"/>
      </w:pPr>
      <w:r>
        <w:t xml:space="preserve">□ Defina escopo, proprietário, requisitos, procedimentos, tecnologia, responsabilidades, exceções e monitoramento. Rastreamento, acordos, mudanças de papel, término de acesso, pessoal de terceiros □ Combine evidência com o controle exato; valide população, data, configuração, operação, exceções e reteste.</w:t>
      </w:r>
    </w:p>
    <w:bookmarkEnd w:id="111"/>
    <w:bookmarkEnd w:id="112"/>
    <w:bookmarkStart w:id="113" w:name="Xab8d233bcbda72c5112d5c3ad133edc506822c9"/>
    <w:p>
      <w:pPr>
        <w:pStyle w:val="Heading1"/>
      </w:pPr>
      <w:r>
        <w:t xml:space="preserve">23. Famílias de Controle: Privacidade, Risco, Aquisição, Comunicações, Integridade e Cadeia de Abastecimento</w:t>
      </w:r>
    </w:p>
    <w:p>
      <w:pPr>
        <w:numPr>
          <w:ilvl w:val="0"/>
          <w:numId w:val="1030"/>
        </w:numPr>
        <w:pStyle w:val="Compact"/>
      </w:pPr>
      <w:r>
        <w:t xml:space="preserve">Essas famílias cobrem PII, risco, aquisição, arquitetura/comunicações, integridade e cadeias de suprimentos.*</w:t>
      </w:r>
    </w:p>
    <w:bookmarkEnd w:id="113"/>
    <w:bookmarkStart w:id="115" w:name="pt-processamento-e-transparência-pii"/>
    <w:p>
      <w:pPr>
        <w:pStyle w:val="Heading1"/>
      </w:pPr>
      <w:r>
        <w:t xml:space="preserve"># PT – Processamento e Transparência PII</w:t>
      </w:r>
    </w:p>
    <w:p>
      <w:pPr>
        <w:pStyle w:val="FirstParagraph"/>
      </w:pPr>
      <w:r>
        <w:t xml:space="preserve">Gerencie propósitos de processamento, autoridade, minimização, consentimento, notificação, acesso, correção e responsabilidade de privacidade.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. 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Foco de implementação** . . . . . . . . . . . . 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□ 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fina escopo, proprietário, requisitos, procedimentos, tecnologia, responsabilidades, exceções e monitoramento. • Inventário de dados, finalidade/autoridade, avisos, consentimento, minimização, direitos, avaliações; coincidir evidência com o controle exato; validar população, data, configuração, operação, exceções e reteste.</w:t>
            </w:r>
          </w:p>
        </w:tc>
      </w:tr>
    </w:tbl>
    <w:bookmarkStart w:id="114" w:name="ra-avaliação-de-risco"/>
    <w:p>
      <w:pPr>
        <w:pStyle w:val="Heading2"/>
      </w:pPr>
      <w:r>
        <w:t xml:space="preserve">RA — Avaliação de risco</w:t>
      </w:r>
    </w:p>
    <w:p>
      <w:pPr>
        <w:pStyle w:val="FirstParagraph"/>
      </w:pPr>
      <w:r>
        <w:t xml:space="preserve">Identifique ameaças, vulnerabilidades, probabilidades, impactos, problemas de privacidade e respostas de risco.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. 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Foco de implementação** . . . . . . . . . . . . 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□ 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fina escopo, proprietário, requisitos, procedimentos, tecnologia, responsabilidades, exceções e monitoramento. □ Avaliações de risco, resultados de vulnerabilidade, fontes de ameaça, impacto, tratamento, atualizações □ Combine evidências com o controle exato; valide a população, data, configuração, operação, exceções e reteste.</w:t>
            </w:r>
          </w:p>
        </w:tc>
      </w:tr>
    </w:tbl>
    <w:bookmarkEnd w:id="114"/>
    <w:bookmarkEnd w:id="115"/>
    <w:bookmarkStart w:id="116" w:name="sa-aquisição-de-sistema-e-serviços"/>
    <w:p>
      <w:pPr>
        <w:pStyle w:val="Heading1"/>
      </w:pPr>
      <w:r>
        <w:t xml:space="preserve"># SA — Aquisição de Sistema e Serviços</w:t>
      </w:r>
    </w:p>
    <w:p>
      <w:pPr>
        <w:pStyle w:val="FirstParagraph"/>
      </w:pPr>
      <w:r>
        <w:t xml:space="preserve">Crie segurança e privacidade em aquisição, desenvolvimento, engenharia, fornecimento e serviços externos.</w:t>
      </w:r>
    </w:p>
    <w:p>
      <w:pPr>
        <w:pStyle w:val="BodyText"/>
      </w:pPr>
      <w:r>
        <w:t xml:space="preserve">. ** Foco de implementação** . . . . . . . . . . . . .</w:t>
      </w:r>
      <w:r>
        <w:t xml:space="preserve"> </w:t>
      </w:r>
      <w:r>
        <w:t xml:space="preserve">— ———————————————————————————————————————————————————————————————————– (—————————————————–</w:t>
      </w:r>
      <w:r>
        <w:t xml:space="preserve"> </w:t>
      </w:r>
      <w:r>
        <w:t xml:space="preserve">□ Defina escopo, proprietário, requisitos, procedimentos, tecnologia, responsabilidades, exceções e monitoramento. Os requisitos, contratos, SDLC, arquitetura, desenvolvedores, testes, SBOM, evidência do fornecedor, combinam evidências com o controle exato; valide população, data, configuração, operação, exceções e reteste.</w:t>
      </w:r>
    </w:p>
    <w:bookmarkEnd w:id="116"/>
    <w:bookmarkStart w:id="117" w:name="X14356835866b4ab53725db64848215c9859be90"/>
    <w:p>
      <w:pPr>
        <w:pStyle w:val="Heading1"/>
      </w:pPr>
      <w:r>
        <w:t xml:space="preserve"># SC — Proteção do sistema e das comunicações</w:t>
      </w:r>
    </w:p>
    <w:p>
      <w:pPr>
        <w:pStyle w:val="FirstParagraph"/>
      </w:pPr>
      <w:r>
        <w:t xml:space="preserve">Proteja fronteiras, comunicações, arquitetura, criptografia, isolamento e recursos compartilhados.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. 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Foco de implementação** . . . . . . . . . . . . 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□ 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fina escopo, proprietário, requisitos, procedimentos, tecnologia, responsabilidades, exceções e monitoramento. Os diagramas, segmentação, regras de firewall, criptografia, chaves, protocolos, testes de contornos, combinam evidência com o controle exato; valide população, data, configuração, operação, exceções e reteste.</w:t>
            </w:r>
          </w:p>
        </w:tc>
      </w:tr>
    </w:tbl>
    <w:bookmarkEnd w:id="117"/>
    <w:bookmarkStart w:id="118" w:name="Xe7f743a532c27365d8044ab426c81fe91938957"/>
    <w:p>
      <w:pPr>
        <w:pStyle w:val="Heading1"/>
      </w:pPr>
      <w:r>
        <w:t xml:space="preserve"># SI — Integridade do Sistema e da Informação</w:t>
      </w:r>
    </w:p>
    <w:p>
      <w:pPr>
        <w:pStyle w:val="FirstParagraph"/>
      </w:pPr>
      <w:r>
        <w:t xml:space="preserve">Encontre e corrija falhas, código malicioso, falhas de integridade, atualizações inseguras e comportamento anômalo.</w:t>
      </w:r>
    </w:p>
    <w:p>
      <w:pPr>
        <w:pStyle w:val="BodyText"/>
      </w:pPr>
      <w:r>
        <w:t xml:space="preserve">. ** Foco de implementação** . . . . . . . . . . . . .</w:t>
      </w:r>
      <w:r>
        <w:t xml:space="preserve"> </w:t>
      </w:r>
      <w:r>
        <w:t xml:space="preserve">— ——————————————————————————————————————————————————————————————————- (———————————————————</w:t>
      </w:r>
      <w:r>
        <w:t xml:space="preserve"> </w:t>
      </w:r>
      <w:r>
        <w:t xml:space="preserve">□ Defina escopo, proprietário, requisitos, procedimentos, tecnologia, responsabilidades, exceções e monitoramento. Vulnerabilidades, patches, validação de integridade, defesas de malware, alertas, correções □ Combine evidência com o controle exato; valide população, data, configuração, operação, exceções e reteste.</w:t>
      </w:r>
    </w:p>
    <w:bookmarkEnd w:id="118"/>
    <w:bookmarkStart w:id="119" w:name="Xaf95043c8b1039d08e5b0140515065733238b2c"/>
    <w:p>
      <w:pPr>
        <w:pStyle w:val="Heading1"/>
      </w:pPr>
      <w:r>
        <w:t xml:space="preserve"># SR — Gestão do Risco da Cadeia de Abastecimento</w:t>
      </w:r>
    </w:p>
    <w:p>
      <w:pPr>
        <w:pStyle w:val="FirstParagraph"/>
      </w:pPr>
      <w:r>
        <w:t xml:space="preserve">Gerencie riscos de produtos, serviços, fornecedores, desenvolvedores, integradores e níveis de cadeia de suprimentos.</w:t>
      </w:r>
    </w:p>
    <w:p>
      <w:pPr>
        <w:pStyle w:val="BodyText"/>
      </w:pPr>
      <w:r>
        <w:t xml:space="preserve">. ** Foco de implementação** . . . . . . . . . . . . .</w:t>
      </w:r>
      <w:r>
        <w:t xml:space="preserve"> </w:t>
      </w:r>
      <w:r>
        <w:t xml:space="preserve">— ——————————————————————————————————————————————————————————————————- (———————————————————</w:t>
      </w:r>
      <w:r>
        <w:t xml:space="preserve"> </w:t>
      </w:r>
      <w:r>
        <w:t xml:space="preserve">□ Defina escopo, proprietário, requisitos, procedimentos, tecnologia, responsabilidades, exceções e monitoramento. O plano C-SCRM, inventário do fornecedor, criticidade, contratos, procedência, monitoramento, saída, coincidir evidência com o controle exato; validar população, data, configuração, operação, exceções e reteste.</w:t>
      </w:r>
    </w:p>
    <w:bookmarkEnd w:id="119"/>
    <w:bookmarkStart w:id="120" w:name="Xf712b4878a72cab38b1b33fbe4a4bfd270c7db3"/>
    <w:p>
      <w:pPr>
        <w:pStyle w:val="Heading1"/>
      </w:pPr>
      <w:r>
        <w:t xml:space="preserve">24. Privacy Risk and Security–Privacy Collaboration</w:t>
      </w:r>
    </w:p>
    <w:p>
      <w:pPr>
        <w:pStyle w:val="FirstParagraph"/>
      </w:pPr>
      <w:r>
        <w:rPr>
          <w:iCs/>
          <w:i/>
        </w:rPr>
        <w:t xml:space="preserve">Rev. 5 integra controles de segurança e privacidade, preservando objetivos distintos e métodos de risco.</w:t>
      </w:r>
    </w:p>
    <w:bookmarkEnd w:id="120"/>
    <w:bookmarkStart w:id="122" w:name="colaboração"/>
    <w:p>
      <w:pPr>
        <w:pStyle w:val="Heading1"/>
      </w:pPr>
      <w:r>
        <w:t xml:space="preserve"># 24.1 Colaboração</w:t>
      </w:r>
    </w:p>
    <w:p>
      <w:pPr>
        <w:numPr>
          <w:ilvl w:val="0"/>
          <w:numId w:val="1031"/>
        </w:numPr>
      </w:pPr>
      <w:r>
        <w:t xml:space="preserve">Segurança gerencia riscos de perda de confidencialidade, integridade e disponibilidade para operações, ativos, indivíduos, outras organizações e a Nação.</w:t>
      </w:r>
    </w:p>
    <w:p>
      <w:pPr>
        <w:numPr>
          <w:ilvl w:val="0"/>
          <w:numId w:val="1031"/>
        </w:numPr>
      </w:pPr>
      <w:r>
        <w:t xml:space="preserve">Gestão de risco de privacidade examina problemas que as pessoas podem experimentar a partir do processamento de dados, mesmo quando os controles de segurança funcionam como projetado.</w:t>
      </w:r>
    </w:p>
    <w:p>
      <w:pPr>
        <w:numPr>
          <w:ilvl w:val="0"/>
          <w:numId w:val="1031"/>
        </w:numPr>
      </w:pPr>
      <w:r>
        <w:t xml:space="preserve">Os controlos conjuntos necessitam de uma propriedade clara de segurança/privacidade, implementação partilhada, provas, avaliação, resultados e comunicação de riscos.</w:t>
      </w:r>
    </w:p>
    <w:p>
      <w:pPr>
        <w:numPr>
          <w:ilvl w:val="0"/>
          <w:numId w:val="1031"/>
        </w:numPr>
      </w:pPr>
      <w:r>
        <w:t xml:space="preserve">A PT controla o processamento de PII e a transparência; os controlos relevantes em todas as famílias também podem apoiar a privacidade.</w:t>
      </w:r>
    </w:p>
    <w:p>
      <w:pPr>
        <w:numPr>
          <w:ilvl w:val="0"/>
          <w:numId w:val="1031"/>
        </w:numPr>
      </w:pPr>
      <w:r>
        <w:t xml:space="preserve">Privacy baseline seleção e alfaiataria dependem do processamento, finalidade, autoridade, pessoas, dados, contexto e risco de privacidade – não apenas impacto FIPS.</w:t>
      </w:r>
    </w:p>
    <w:bookmarkStart w:id="121" w:name="pergunta-pergunta-exemplo-de-artefato"/>
    <w:p>
      <w:pPr>
        <w:pStyle w:val="Heading2"/>
      </w:pPr>
      <w:r>
        <w:t xml:space="preserve">Pergunta** Pergunta** Exemplo de artefato**</w:t>
      </w:r>
    </w:p>
    <w:p>
      <w:pPr>
        <w:pStyle w:val="FirstParagraph"/>
      </w:pPr>
      <w:r>
        <w:t xml:space="preserve">□ Por que os dados são processados? Objetivo, autoridade, sistema/plano de privacidade</w:t>
      </w:r>
      <w:r>
        <w:t xml:space="preserve"> </w:t>
      </w:r>
      <w:r>
        <w:t xml:space="preserve">□ Que dados e pessoas? Inventário de dados, tipos de informação, fluxo de dados</w:t>
      </w:r>
      <w:r>
        <w:t xml:space="preserve"> </w:t>
      </w:r>
      <w:r>
        <w:t xml:space="preserve">□ Que problemas poderia o processamento criar? Avaliação de risco de privacidade / PIA conforme aplicável</w:t>
      </w:r>
      <w:r>
        <w:t xml:space="preserve"> </w:t>
      </w:r>
      <w:r>
        <w:t xml:space="preserve">Como o processamento é limitado e explicado? Minimização, aviso, consentimento, retenção, partilha, procedimentos de direitos</w:t>
      </w:r>
      <w:r>
        <w:t xml:space="preserve"> </w:t>
      </w:r>
      <w:r>
        <w:t xml:space="preserve">Como os controles de segurança e privacidade são coordenados? Índice de colaboração, alocações, provas conjuntas e conclusões</w:t>
      </w:r>
    </w:p>
    <w:bookmarkEnd w:id="121"/>
    <w:bookmarkEnd w:id="122"/>
    <w:bookmarkStart w:id="124" w:name="X84fa6ee8b9ced642623b9cb4466bb2dcdbead29"/>
    <w:p>
      <w:pPr>
        <w:pStyle w:val="Heading1"/>
      </w:pPr>
      <w:r>
        <w:t xml:space="preserve">25. Atualizações de Software, Confiabilidade de Patch e Lançamento 5.2.0</w:t>
      </w:r>
    </w:p>
    <w:p>
      <w:pPr>
        <w:numPr>
          <w:ilvl w:val="0"/>
          <w:numId w:val="1032"/>
        </w:numPr>
      </w:pPr>
      <w:r>
        <w:t xml:space="preserve">Liberar 5.2.0 fortalece a atualização de software, patch, integridade e cobertura de desenvolvimento resistente.*</w:t>
      </w:r>
    </w:p>
    <w:p>
      <w:pPr>
        <w:numPr>
          <w:ilvl w:val="0"/>
          <w:numId w:val="1032"/>
        </w:numPr>
      </w:pPr>
      <w:r>
        <w:rPr>
          <w:bCs/>
          <w:b/>
        </w:rPr>
        <w:t xml:space="preserve">Release 5.2.0 mudança</w:t>
      </w:r>
      <w:r>
        <w:t xml:space="preserve"> </w:t>
      </w:r>
      <w:r>
        <w:rPr>
          <w:bCs/>
          <w:b/>
        </w:rPr>
        <w:t xml:space="preserve">Significado claro</w:t>
      </w:r>
      <w:r>
        <w:t xml:space="preserve"> </w:t>
      </w:r>
      <w:r>
        <w:t xml:space="preserve">□———————————————————————————————————————————————————————————————————————————————————————————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  <w:r>
        <w:t xml:space="preserve"> </w:t>
      </w:r>
      <w:r>
        <w:t xml:space="preserve">• SA-15(13) — processo de desenvolvimento, melhorias de padrões e ferramentas □ Aumenta a atenção às práticas de desenvolvimento de software resilientes relacionadas com atualizações e patches</w:t>
      </w:r>
      <w:r>
        <w:t xml:space="preserve"> </w:t>
      </w:r>
      <w:r>
        <w:t xml:space="preserve">□ SA-24 — Design para a Resistência Cibernética • Novo controle enfatizando o design do sistema/software que pode suportar, recuperar, adaptar e continuar em condições adversas</w:t>
      </w:r>
      <w:r>
        <w:t xml:space="preserve"> </w:t>
      </w:r>
      <w:r>
        <w:t xml:space="preserve">□ SI-02(07) — melhoria da remediação de falhas</w:t>
      </w:r>
      <w:r>
        <w:t xml:space="preserve"> </w:t>
      </w:r>
      <w:r>
        <w:t xml:space="preserve">□ SI-07(12) — revisão do realce da verificação da integridade</w:t>
      </w:r>
      <w:r>
        <w:t xml:space="preserve"> </w:t>
      </w:r>
      <w:r>
        <w:t xml:space="preserve">Discussão / atualizações relacionadas-controle .Clarifica as relações de aquisição, design, documentação, gerenciamento de atualização, integridade, monitoramento, incidente e avaliação .</w:t>
      </w:r>
      <w:r>
        <w:t xml:space="preserve"> </w:t>
      </w:r>
      <w:r>
        <w:t xml:space="preserve">□ SP 800-53A 5.2.0 □ Adiciona os procedimentos correspondentes para os novos controlos/melhoramentos</w:t>
      </w:r>
      <w:r>
        <w:t xml:space="preserve"> </w:t>
      </w:r>
      <w:r>
        <w:t xml:space="preserve">SP 800-53B 5.2.0 □ Reemitido para consistência; NIST declara que as selecções de base não alteraram</w:t>
      </w:r>
    </w:p>
    <w:bookmarkStart w:id="123" w:name="foco-em-evidência"/>
    <w:p>
      <w:pPr>
        <w:pStyle w:val="Heading2"/>
      </w:pPr>
      <w:r>
        <w:t xml:space="preserve">25.1 Foco em evidência</w:t>
      </w:r>
    </w:p>
    <w:p>
      <w:pPr>
        <w:numPr>
          <w:ilvl w:val="0"/>
          <w:numId w:val="1033"/>
        </w:numPr>
      </w:pPr>
      <w:r>
        <w:t xml:space="preserve">Atualizar origem, assinatura, verificação de integridade, entrega protegida, aprovação, teste, retrocesso, manipulação de falhas, inventário, cobertura de implantação, monitoramento e registros.</w:t>
      </w:r>
    </w:p>
    <w:p>
      <w:pPr>
        <w:numPr>
          <w:ilvl w:val="0"/>
          <w:numId w:val="1033"/>
        </w:numPr>
      </w:pPr>
      <w:r>
        <w:t xml:space="preserve">Práticas de desenvolvedores e fornecedores, acesso de construção/lançamento, proveniência, SBOM, resposta à vulnerabilidade, período de suporte, fim de vida e comunicação com o cliente.</w:t>
      </w:r>
    </w:p>
    <w:p>
      <w:pPr>
        <w:numPr>
          <w:ilvl w:val="0"/>
          <w:numId w:val="1033"/>
        </w:numPr>
      </w:pPr>
      <w:r>
        <w:t xml:space="preserve">Suposições de projeto resilientes, comportamento de condições adversas, isolamento, degradação, recuperação, diversidade, redundância e resultados de exercício.</w:t>
      </w:r>
    </w:p>
    <w:bookmarkEnd w:id="123"/>
    <w:bookmarkEnd w:id="124"/>
    <w:bookmarkStart w:id="126" w:name="X96eea5e622fd0d2d97110f1743b80368ca6b94f"/>
    <w:p>
      <w:pPr>
        <w:pStyle w:val="Heading1"/>
      </w:pPr>
      <w:r>
        <w:t xml:space="preserve">26. Ferramentas Open-Source e Recursos Oficiais</w:t>
      </w:r>
    </w:p>
    <w:p>
      <w:pPr>
        <w:pStyle w:val="FirstParagraph"/>
      </w:pPr>
      <w:r>
        <w:rPr>
          <w:iCs/>
          <w:i/>
        </w:rPr>
        <w:t xml:space="preserve">Recursos oficiais e ferramentas de código aberto podem apoiar a autoria, evidência, avaliação e monitoramento contínuo.</w:t>
      </w:r>
    </w:p>
    <w:bookmarkStart w:id="125" w:name="recurso-ferramenta-purpose"/>
    <w:p>
      <w:pPr>
        <w:pStyle w:val="Heading2"/>
      </w:pPr>
      <w:r>
        <w:t xml:space="preserve">*Recurso / ferramenta</w:t>
      </w:r>
      <w:r>
        <w:rPr>
          <w:bCs/>
          <w:b/>
        </w:rPr>
        <w:t xml:space="preserve"> </w:t>
      </w:r>
      <w:r>
        <w:t xml:space="preserve">Purpose**</w:t>
      </w:r>
    </w:p>
    <w:p>
      <w:pPr>
        <w:pStyle w:val="FirstParagraph"/>
      </w:pPr>
      <w:r>
        <w:t xml:space="preserve">□ NIST CPRT □ Controlos oficiais, linhas de base, procedimentos e downloads</w:t>
      </w:r>
      <w:r>
        <w:t xml:space="preserve"> </w:t>
      </w:r>
      <w:r>
        <w:t xml:space="preserve">Conteúdo oficial legível por máquina NIST</w:t>
      </w:r>
      <w:r>
        <w:t xml:space="preserve"> </w:t>
      </w:r>
      <w:r>
        <w:t xml:space="preserve">□ Compliance Trestle – Criação, transformação e governança da OSCAL</w:t>
      </w:r>
      <w:r>
        <w:t xml:space="preserve"> </w:t>
      </w:r>
      <w:r>
        <w:t xml:space="preserve">&gt; Lula Avaliação de provas de controle como código</w:t>
      </w:r>
      <w:r>
        <w:t xml:space="preserve"> </w:t>
      </w:r>
      <w:r>
        <w:t xml:space="preserve">O Assistente CISO O Risco, controles, evidências, avaliações e achados</w:t>
      </w:r>
      <w:r>
        <w:t xml:space="preserve"> </w:t>
      </w:r>
      <w:r>
        <w:t xml:space="preserve">Ver e normalizar os resultados da avaliação de segurança</w:t>
      </w:r>
      <w:r>
        <w:t xml:space="preserve"> </w:t>
      </w:r>
      <w:r>
        <w:t xml:space="preserve">□ OpenControl □ Documentação de conformidade como texto estruturado</w:t>
      </w:r>
      <w:r>
        <w:t xml:space="preserve"> </w:t>
      </w:r>
      <w:r>
        <w:t xml:space="preserve">OSCAL CLI Validar e transformar conteúdo OSCAL</w:t>
      </w:r>
      <w:r>
        <w:t xml:space="preserve"> </w:t>
      </w:r>
      <w:r>
        <w:t xml:space="preserve">* Wazuh * Monitoramento de endpoint, integridade do arquivo, análise de log e alertas</w:t>
      </w:r>
      <w:r>
        <w:t xml:space="preserve"> </w:t>
      </w:r>
      <w:r>
        <w:t xml:space="preserve">• OpenSCAP – Avaliação da configuração e vulnerabilidade</w:t>
      </w:r>
      <w:r>
        <w:t xml:space="preserve"> </w:t>
      </w:r>
      <w:r>
        <w:t xml:space="preserve">□ osquery □ Inventário de endpoint e consultas de configuração</w:t>
      </w:r>
      <w:r>
        <w:t xml:space="preserve"> </w:t>
      </w:r>
      <w:r>
        <w:t xml:space="preserve">O Nmap é uma descoberta autorizada de activos e serviços</w:t>
      </w:r>
      <w:r>
        <w:t xml:space="preserve"> </w:t>
      </w:r>
      <w:r>
        <w:t xml:space="preserve">Edição da Comunidade Greenbone</w:t>
      </w:r>
      <w:r>
        <w:t xml:space="preserve"> </w:t>
      </w:r>
      <w:r>
        <w:t xml:space="preserve">Repositório, imagem, dependência, segredo e verificação de IAC</w:t>
      </w:r>
      <w:r>
        <w:t xml:space="preserve"> </w:t>
      </w:r>
      <w:r>
        <w:t xml:space="preserve">OWASP ZAP O teste de segurança da aplicação web autorizado</w:t>
      </w:r>
      <w:r>
        <w:t xml:space="preserve"> </w:t>
      </w:r>
      <w:r>
        <w:t xml:space="preserve">Keycloak, identidade, papéis, MFA, sessões e eventos de auditoria</w:t>
      </w:r>
      <w:r>
        <w:t xml:space="preserve"> </w:t>
      </w:r>
      <w:r>
        <w:t xml:space="preserve">* DefectDojo * Encontrando agregação, atribuição, remediação e reteste *</w:t>
      </w:r>
      <w:r>
        <w:t xml:space="preserve"> </w:t>
      </w:r>
      <w:r>
        <w:t xml:space="preserve">□ Agente de Política Aberta</w:t>
      </w:r>
    </w:p>
    <w:p>
      <w:pPr>
        <w:pStyle w:val="BodyText"/>
      </w:pPr>
      <w:r>
        <w:t xml:space="preserve">Autorização e limites:** Use ferramentas técnicas apenas em sistemas, redes, repositórios, dados e contas que possui ou tem permissão escrita para testar. Uma ferramenta pode suportar evidências; não pode escolher tolerância ao risco, aprovar a adaptação, aceitar o risco ou emitir autorização. □</w:t>
      </w:r>
      <w:r>
        <w:t xml:space="preserve"> </w:t>
      </w:r>
      <w:r>
        <w:t xml:space="preserve">□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bookmarkEnd w:id="125"/>
    <w:bookmarkEnd w:id="126"/>
    <w:bookmarkStart w:id="128" w:name="nist-cprt"/>
    <w:p>
      <w:pPr>
        <w:pStyle w:val="Heading1"/>
      </w:pPr>
      <w:r>
        <w:t xml:space="preserve"># 26,1 NIST CPRT</w:t>
      </w:r>
    </w:p>
    <w:p>
      <w:pPr>
        <w:pStyle w:val="FirstParagraph"/>
      </w:pPr>
      <w:r>
        <w:t xml:space="preserve">Objetivo: Controles oficiais atuais, linhas de base, procedimentos e downloads. Projecto oficial:</w:t>
      </w:r>
      <w:r>
        <w:t xml:space="preserve"> </w:t>
      </w:r>
      <w:hyperlink r:id="rId127">
        <w:r>
          <w:rPr>
            <w:rStyle w:val="Hyperlink"/>
          </w:rPr>
          <w:t xml:space="preserve">NIST CPRT</w:t>
        </w:r>
      </w:hyperlink>
    </w:p>
    <w:p>
      <w:pPr>
        <w:pStyle w:val="BodyText"/>
      </w:pPr>
      <w:r>
        <w:t xml:space="preserve">Início rápido e seguro: Abra o catálogo, selecione SP 800-53 Release 5.2.0, reveja o controle e discussão exatos e, em seguida, exporte um formato aprovado e release/date de registro.</w:t>
      </w:r>
    </w:p>
    <w:p>
      <w:pPr>
        <w:pStyle w:val="BodyText"/>
      </w:pPr>
      <w:r>
        <w:t xml:space="preserve">Reter: autoridade, escopo, fonte/lançamento, versão, configuração/consulta, população, data, resultado bruto, validação do analista, limitação, mapeamento de controle, achado, correção e reteste. Proteger as informações do sistema e da vulnerabilidade.</w:t>
      </w:r>
    </w:p>
    <w:bookmarkEnd w:id="128"/>
    <w:bookmarkStart w:id="130" w:name="nist-conteúdo-oscal"/>
    <w:p>
      <w:pPr>
        <w:pStyle w:val="Heading1"/>
      </w:pPr>
      <w:r>
        <w:t xml:space="preserve"># 26,2 NIST Conteúdo Oscal</w:t>
      </w:r>
    </w:p>
    <w:p>
      <w:pPr>
        <w:pStyle w:val="FirstParagraph"/>
      </w:pPr>
      <w:r>
        <w:t xml:space="preserve">Objetivo: Conteúdo de controle NIST legível por máquina oficial. Projeto oficial:</w:t>
      </w:r>
      <w:r>
        <w:t xml:space="preserve"> </w:t>
      </w:r>
      <w:hyperlink r:id="rId129">
        <w:r>
          <w:rPr>
            <w:rStyle w:val="Hyperlink"/>
          </w:rPr>
          <w:t xml:space="preserve">NIST Conteúdo Oscal</w:t>
        </w:r>
      </w:hyperlink>
    </w:p>
    <w:p>
      <w:pPr>
        <w:pStyle w:val="BodyText"/>
      </w:pPr>
      <w:r>
        <w:t xml:space="preserve">Início rápido seguro: Clone ou baixe uma versão marcada, valide a identidade do arquivo, inspecione o catálogo/profile SP 800-53 e preserve a versão fonte.</w:t>
      </w:r>
    </w:p>
    <w:p>
      <w:pPr>
        <w:pStyle w:val="BodyText"/>
      </w:pPr>
      <w:r>
        <w:t xml:space="preserve">Reter: autoridade, escopo, fonte/lançamento, versão, configuração/consulta, população, data, resultado bruto, validação do analista, limitação, mapeamento de controle, achado, correção e reteste. Proteger as informações do sistema e da vulnerabilidade.</w:t>
      </w:r>
    </w:p>
    <w:bookmarkEnd w:id="130"/>
    <w:bookmarkStart w:id="132" w:name="compliance-trestle"/>
    <w:p>
      <w:pPr>
        <w:pStyle w:val="Heading1"/>
      </w:pPr>
      <w:r>
        <w:t xml:space="preserve"># 26.3 Compliance Trestle</w:t>
      </w:r>
    </w:p>
    <w:p>
      <w:pPr>
        <w:pStyle w:val="FirstParagraph"/>
      </w:pPr>
      <w:r>
        <w:t xml:space="preserve">Objetivo: Criação, transformação e governança da OSCAL. Projecto oficial:</w:t>
      </w:r>
      <w:r>
        <w:t xml:space="preserve"> </w:t>
      </w:r>
      <w:hyperlink r:id="rId131">
        <w:r>
          <w:rPr>
            <w:rStyle w:val="Hyperlink"/>
          </w:rPr>
          <w:t xml:space="preserve">Compliance Trestle</w:t>
        </w:r>
      </w:hyperlink>
    </w:p>
    <w:p>
      <w:pPr>
        <w:pStyle w:val="BodyText"/>
      </w:pPr>
      <w:r>
        <w:t xml:space="preserve">Início rápido seguro: Crie um espaço de trabalho de laboratório, importe OSCAL oficial, autor de um pequeno perfil e definição de componentes, valide, reveja alterações e exporte.</w:t>
      </w:r>
    </w:p>
    <w:p>
      <w:pPr>
        <w:pStyle w:val="BodyText"/>
      </w:pPr>
      <w:r>
        <w:t xml:space="preserve">Reter: autoridade, escopo, fonte/lançamento, versão, configuração/consulta, população, data, resultado bruto, validação do analista, limitação, mapeamento de controle, achado, correção e reteste. Proteger as informações do sistema e da vulnerabilidade.</w:t>
      </w:r>
    </w:p>
    <w:bookmarkEnd w:id="132"/>
    <w:bookmarkStart w:id="134" w:name="lula"/>
    <w:p>
      <w:pPr>
        <w:pStyle w:val="Heading1"/>
      </w:pPr>
      <w:r>
        <w:t xml:space="preserve"># 26.4 Lula</w:t>
      </w:r>
    </w:p>
    <w:p>
      <w:pPr>
        <w:pStyle w:val="FirstParagraph"/>
      </w:pPr>
      <w:r>
        <w:t xml:space="preserve">Objetivo: Avaliar provas de controle como código. Projecto oficial:</w:t>
      </w:r>
      <w:r>
        <w:t xml:space="preserve"> </w:t>
      </w:r>
      <w:hyperlink r:id="rId133">
        <w:r>
          <w:rPr>
            <w:rStyle w:val="Hyperlink"/>
          </w:rPr>
          <w:t xml:space="preserve">Lula</w:t>
        </w:r>
      </w:hyperlink>
    </w:p>
    <w:p>
      <w:pPr>
        <w:pStyle w:val="BodyText"/>
      </w:pPr>
      <w:r>
        <w:t xml:space="preserve">Início rápido seguro: Use um repositório de laboratório, defina uma validação não-destrutiva mapeada para um controle, execute-o contra dados sintéticos ou autorizados, revise evidências e veja o resultado.</w:t>
      </w:r>
    </w:p>
    <w:p>
      <w:pPr>
        <w:pStyle w:val="BodyText"/>
      </w:pPr>
      <w:r>
        <w:t xml:space="preserve">Reter: autoridade, escopo, fonte/lançamento, versão, configuração/consulta, população, data, resultado bruto, validação do analista, limitação, mapeamento de controle, achado, correção e reteste. Proteger as informações do sistema e da vulnerabilidade.</w:t>
      </w:r>
    </w:p>
    <w:bookmarkEnd w:id="134"/>
    <w:bookmarkStart w:id="136" w:name="assistente-ciso"/>
    <w:p>
      <w:pPr>
        <w:pStyle w:val="Heading1"/>
      </w:pPr>
      <w:r>
        <w:t xml:space="preserve"># 26.5 Assistente CISO</w:t>
      </w:r>
    </w:p>
    <w:p>
      <w:pPr>
        <w:pStyle w:val="FirstParagraph"/>
      </w:pPr>
      <w:r>
        <w:t xml:space="preserve">Objetivo: Risco, controles, evidências, avaliações e achados. Projeto oficial:</w:t>
      </w:r>
      <w:r>
        <w:t xml:space="preserve"> </w:t>
      </w:r>
      <w:hyperlink r:id="rId135">
        <w:r>
          <w:rPr>
            <w:rStyle w:val="Hyperlink"/>
          </w:rPr>
          <w:t xml:space="preserve">CISO Assistant</w:t>
        </w:r>
      </w:hyperlink>
    </w:p>
    <w:p>
      <w:pPr>
        <w:pStyle w:val="BodyText"/>
      </w:pPr>
      <w:r>
        <w:t xml:space="preserve">Início rápido seguro: Crie um projeto abrangente, carregue um framework relevante, atribua proprietários, implementação de documentos, anexe evidências, avalie e rastreie as descobertas.</w:t>
      </w:r>
    </w:p>
    <w:p>
      <w:pPr>
        <w:pStyle w:val="BodyText"/>
      </w:pPr>
      <w:r>
        <w:t xml:space="preserve">Reter: autoridade, escopo, fonte/lançamento, versão, configuração/consulta, população, data, resultado bruto, validação do analista, limitação, mapeamento de controle, achado, correção e reteste. Proteger as informações do sistema e da vulnerabilidade.</w:t>
      </w:r>
    </w:p>
    <w:bookmarkEnd w:id="136"/>
    <w:bookmarkStart w:id="138" w:name="heimdall"/>
    <w:p>
      <w:pPr>
        <w:pStyle w:val="Heading1"/>
      </w:pPr>
      <w:r>
        <w:t xml:space="preserve"># 26.6 Heimdall</w:t>
      </w:r>
    </w:p>
    <w:p>
      <w:pPr>
        <w:pStyle w:val="FirstParagraph"/>
      </w:pPr>
      <w:r>
        <w:t xml:space="preserve">Objetivo: Ver e normalizar os resultados da avaliação de segurança. Projeto oficial:</w:t>
      </w:r>
      <w:r>
        <w:t xml:space="preserve"> </w:t>
      </w:r>
      <w:hyperlink r:id="rId137">
        <w:r>
          <w:rPr>
            <w:rStyle w:val="Hyperlink"/>
          </w:rPr>
          <w:t xml:space="preserve">Heimdall</w:t>
        </w:r>
      </w:hyperlink>
    </w:p>
    <w:p>
      <w:pPr>
        <w:pStyle w:val="BodyText"/>
      </w:pPr>
      <w:r>
        <w:t xml:space="preserve">Início rápido seguro: Importar um resultado de amostra aprovado, confirmar mapeamentos e pontuação, exceções de revisão, restringir o acesso e exportar um relatório higiénico.</w:t>
      </w:r>
    </w:p>
    <w:p>
      <w:pPr>
        <w:pStyle w:val="BodyText"/>
      </w:pPr>
      <w:r>
        <w:t xml:space="preserve">Reter: autoridade, escopo, fonte/lançamento, versão, configuração/consulta, população, data, resultado bruto, validação do analista, limitação, mapeamento de controle, achado, correção e reteste. Proteger as informações do sistema e da vulnerabilidade.</w:t>
      </w:r>
    </w:p>
    <w:bookmarkEnd w:id="138"/>
    <w:bookmarkStart w:id="140" w:name="opencontrol"/>
    <w:p>
      <w:pPr>
        <w:pStyle w:val="Heading1"/>
      </w:pPr>
      <w:r>
        <w:t xml:space="preserve"># 26.7 OpenControl</w:t>
      </w:r>
    </w:p>
    <w:p>
      <w:pPr>
        <w:pStyle w:val="FirstParagraph"/>
      </w:pPr>
      <w:r>
        <w:t xml:space="preserve">Objetivo: Documentação de conformidade como texto estruturado. Projeto oficial:</w:t>
      </w:r>
      <w:r>
        <w:t xml:space="preserve"> </w:t>
      </w:r>
      <w:hyperlink r:id="rId139">
        <w:r>
          <w:rPr>
            <w:rStyle w:val="Hyperlink"/>
          </w:rPr>
          <w:t xml:space="preserve">OpenControl</w:t>
        </w:r>
      </w:hyperlink>
    </w:p>
    <w:p>
      <w:pPr>
        <w:pStyle w:val="BodyText"/>
      </w:pPr>
      <w:r>
        <w:t xml:space="preserve">Início rápido seguro: Criar um componente de laboratório, mapear um controle, escrever detalhes de implementação e referências de evidência, revisão por pares e rastrear no controle de versão.</w:t>
      </w:r>
    </w:p>
    <w:p>
      <w:pPr>
        <w:pStyle w:val="BodyText"/>
      </w:pPr>
      <w:r>
        <w:t xml:space="preserve">Reter: autoridade, escopo, fonte/lançamento, versão, configuração/consulta, população, data, resultado bruto, validação do analista, limitação, mapeamento de controle, achado, correção e reteste. Proteger as informações do sistema e da vulnerabilidade.</w:t>
      </w:r>
    </w:p>
    <w:bookmarkEnd w:id="140"/>
    <w:bookmarkStart w:id="142" w:name="cli-oscal"/>
    <w:p>
      <w:pPr>
        <w:pStyle w:val="Heading1"/>
      </w:pPr>
      <w:r>
        <w:t xml:space="preserve"># 26.8 CLI OSCAL</w:t>
      </w:r>
    </w:p>
    <w:p>
      <w:pPr>
        <w:pStyle w:val="FirstParagraph"/>
      </w:pPr>
      <w:r>
        <w:t xml:space="preserve">Finalidade: Validar e transformar conteúdo OSCAL. Projeto oficial:</w:t>
      </w:r>
      <w:r>
        <w:t xml:space="preserve"> </w:t>
      </w:r>
      <w:hyperlink r:id="rId141">
        <w:r>
          <w:rPr>
            <w:rStyle w:val="Hyperlink"/>
          </w:rPr>
          <w:t xml:space="preserve">OSCAL CLI</w:t>
        </w:r>
      </w:hyperlink>
    </w:p>
    <w:p>
      <w:pPr>
        <w:pStyle w:val="BodyText"/>
      </w:pPr>
      <w:r>
        <w:t xml:space="preserve">Início rápido seguro: Validar um pequeno arquivo OSCAL de laboratório, corrigir erros de esquema, transformar apenas com versões aprovadas e reter saída de validação.</w:t>
      </w:r>
    </w:p>
    <w:p>
      <w:pPr>
        <w:pStyle w:val="BodyText"/>
      </w:pPr>
      <w:r>
        <w:t xml:space="preserve">Reter: autoridade, escopo, fonte/lançamento, versão, configuração/consulta, população, data, resultado bruto, validação do analista, limitação, mapeamento de controle, achado, correção e reteste. Proteger as informações do sistema e da vulnerabilidade.</w:t>
      </w:r>
    </w:p>
    <w:bookmarkEnd w:id="142"/>
    <w:bookmarkStart w:id="144" w:name="wazuh"/>
    <w:p>
      <w:pPr>
        <w:pStyle w:val="Heading1"/>
      </w:pPr>
      <w:r>
        <w:t xml:space="preserve"># 26.9 Wazuh</w:t>
      </w:r>
    </w:p>
    <w:p>
      <w:pPr>
        <w:pStyle w:val="FirstParagraph"/>
      </w:pPr>
      <w:r>
        <w:t xml:space="preserve">Objetivo: Monitoramento de pontos finais, integridade do arquivo, análise de log e alertas. Projecto oficial:</w:t>
      </w:r>
      <w:r>
        <w:t xml:space="preserve"> </w:t>
      </w:r>
      <w:hyperlink r:id="rId143">
        <w:r>
          <w:rPr>
            <w:rStyle w:val="Hyperlink"/>
          </w:rPr>
          <w:t xml:space="preserve">Wazuh</w:t>
        </w:r>
      </w:hyperlink>
    </w:p>
    <w:p>
      <w:pPr>
        <w:pStyle w:val="BodyText"/>
      </w:pPr>
      <w:r>
        <w:t xml:space="preserve">Início rápido seguro: Inscreva-se em um endpoint de laboratório, gere um evento inofensivo, valide coleta e alerta, cobertura de documentos e limitações e retenha evidências.</w:t>
      </w:r>
    </w:p>
    <w:p>
      <w:pPr>
        <w:pStyle w:val="BodyText"/>
      </w:pPr>
      <w:r>
        <w:t xml:space="preserve">Reter: autoridade, escopo, fonte/lançamento, versão, configuração/consulta, população, data, resultado bruto, validação do analista, limitação, mapeamento de controle, achado, correção e reteste. Proteger as informações do sistema e da vulnerabilidade.</w:t>
      </w:r>
    </w:p>
    <w:bookmarkEnd w:id="144"/>
    <w:bookmarkStart w:id="147" w:name="openscap"/>
    <w:p>
      <w:pPr>
        <w:pStyle w:val="Heading1"/>
      </w:pPr>
      <w:r>
        <w:t xml:space="preserve"># 26.10 OpenSCAP</w:t>
      </w:r>
    </w:p>
    <w:p>
      <w:pPr>
        <w:pStyle w:val="FirstParagraph"/>
      </w:pPr>
      <w:r>
        <w:t xml:space="preserve">Objetivo: Avaliação da configuração e vulnerabilidade. Projeto oficial:</w:t>
      </w:r>
      <w:r>
        <w:t xml:space="preserve"> </w:t>
      </w:r>
      <w:hyperlink r:id="rId145">
        <w:r>
          <w:rPr>
            <w:rStyle w:val="Hyperlink"/>
          </w:rPr>
          <w:t xml:space="preserve">OpenSCAP</w:t>
        </w:r>
      </w:hyperlink>
    </w:p>
    <w:p>
      <w:pPr>
        <w:pStyle w:val="BodyText"/>
      </w:pPr>
      <w:r>
        <w:t xml:space="preserve">Início rápido seguro: Escolha um perfil aplicável para um sistema de laboratório, execute uma varredura autorizada, valide resultados, personalize documentos, corrija e rescan.</w:t>
      </w:r>
    </w:p>
    <w:p>
      <w:pPr>
        <w:pStyle w:val="BodyText"/>
      </w:pPr>
      <w:r>
        <w:t xml:space="preserve">Reter: autoridade, escopo, fonte/lançamento, versão, configuração/consulta, população, data, resultado bruto, validação do analista, limitação, mapeamento de controle, achado, correção e reteste. Proteger as informações do sistema e da vulnerabilidade.</w:t>
      </w:r>
    </w:p>
    <w:p>
      <w:pPr>
        <w:pStyle w:val="BodyText"/>
      </w:pPr>
      <w:r>
        <w:t xml:space="preserve">26.11 Osquery</w:t>
      </w:r>
    </w:p>
    <w:p>
      <w:pPr>
        <w:pStyle w:val="BodyText"/>
      </w:pPr>
      <w:r>
        <w:t xml:space="preserve">Finalidade: Endpoint inventário e consultas de configuração. Projeto oficial:</w:t>
      </w:r>
      <w:r>
        <w:t xml:space="preserve"> </w:t>
      </w:r>
      <w:hyperlink r:id="rId146">
        <w:r>
          <w:rPr>
            <w:rStyle w:val="Hyperlink"/>
          </w:rPr>
          <w:t xml:space="preserve">osquery</w:t>
        </w:r>
      </w:hyperlink>
    </w:p>
    <w:p>
      <w:pPr>
        <w:pStyle w:val="BodyText"/>
      </w:pPr>
      <w:r>
        <w:t xml:space="preserve">Início rápido seguro: Execute consultas de laboratório somente leitura, defina a população, compare resultados com requisitos, valide exceções e registre consulta/versão.</w:t>
      </w:r>
    </w:p>
    <w:p>
      <w:pPr>
        <w:pStyle w:val="BodyText"/>
      </w:pPr>
      <w:r>
        <w:t xml:space="preserve">Reter: autoridade, escopo, fonte/lançamento, versão, configuração/consulta, população, data, resultado bruto, validação do analista, limitação, mapeamento de controle, achado, correção e reteste. Proteger as informações do sistema e da vulnerabilidade.</w:t>
      </w:r>
    </w:p>
    <w:bookmarkEnd w:id="147"/>
    <w:bookmarkStart w:id="149" w:name="nmap"/>
    <w:p>
      <w:pPr>
        <w:pStyle w:val="Heading1"/>
      </w:pPr>
      <w:r>
        <w:t xml:space="preserve"># 26.12 Nmap</w:t>
      </w:r>
    </w:p>
    <w:p>
      <w:pPr>
        <w:pStyle w:val="FirstParagraph"/>
      </w:pPr>
      <w:r>
        <w:t xml:space="preserve">Finalidade: Activo autorizado e descoberta de serviços. Projeto oficial:</w:t>
      </w:r>
      <w:r>
        <w:t xml:space="preserve"> </w:t>
      </w:r>
      <w:hyperlink r:id="rId148">
        <w:r>
          <w:rPr>
            <w:rStyle w:val="Hyperlink"/>
          </w:rPr>
          <w:t xml:space="preserve">Nmap</w:t>
        </w:r>
      </w:hyperlink>
    </w:p>
    <w:p>
      <w:pPr>
        <w:pStyle w:val="BodyText"/>
      </w:pPr>
      <w:r>
        <w:t xml:space="preserve">Início rápido seguro: Analise apenas faixas autorizadas por escrito com opções limitadas, concilie com inventário, investigue incógnitas e preserve evidências de escopo e comando.</w:t>
      </w:r>
    </w:p>
    <w:p>
      <w:pPr>
        <w:pStyle w:val="BodyText"/>
      </w:pPr>
      <w:r>
        <w:t xml:space="preserve">Reter: autoridade, escopo, fonte/lançamento, versão, configuração/consulta, população, data, resultado bruto, validação do analista, limitação, mapeamento de controle, achado, correção e reteste. Proteger as informações do sistema e da vulnerabilidade.</w:t>
      </w:r>
    </w:p>
    <w:bookmarkEnd w:id="149"/>
    <w:bookmarkStart w:id="151" w:name="greenbone-community-edition"/>
    <w:p>
      <w:pPr>
        <w:pStyle w:val="Heading1"/>
      </w:pPr>
      <w:r>
        <w:t xml:space="preserve"># 26.13 Greenbone Community Edition</w:t>
      </w:r>
    </w:p>
    <w:p>
      <w:pPr>
        <w:pStyle w:val="FirstParagraph"/>
      </w:pPr>
      <w:r>
        <w:t xml:space="preserve">Objetivo: Avaliação de vulnerabilidade autorizada. Projeto oficial:</w:t>
      </w:r>
      <w:r>
        <w:t xml:space="preserve"> </w:t>
      </w:r>
      <w:hyperlink r:id="rId150">
        <w:r>
          <w:rPr>
            <w:rStyle w:val="Hyperlink"/>
          </w:rPr>
          <w:t xml:space="preserve">Greenbone Community Edition</w:t>
        </w:r>
      </w:hyperlink>
    </w:p>
    <w:p>
      <w:pPr>
        <w:pStyle w:val="BodyText"/>
      </w:pPr>
      <w:r>
        <w:t xml:space="preserve">Início rápido e seguro: Atualizar feeds, definir metas e credenciais aprovadas, validar cobertura, revisar achados, corretos e rescan.</w:t>
      </w:r>
    </w:p>
    <w:p>
      <w:pPr>
        <w:pStyle w:val="BodyText"/>
      </w:pPr>
      <w:r>
        <w:t xml:space="preserve">Reter: autoridade, escopo, fonte/lançamento, versão, configuração/consulta, população, data, resultado bruto, validação do analista, limitação, mapeamento de controle, achado, correção e reteste. Proteger as informações do sistema e da vulnerabilidade.</w:t>
      </w:r>
    </w:p>
    <w:bookmarkEnd w:id="151"/>
    <w:bookmarkStart w:id="153" w:name="trivy"/>
    <w:p>
      <w:pPr>
        <w:pStyle w:val="Heading1"/>
      </w:pPr>
      <w:r>
        <w:t xml:space="preserve"># 26.14 Trivy</w:t>
      </w:r>
    </w:p>
    <w:p>
      <w:pPr>
        <w:pStyle w:val="FirstParagraph"/>
      </w:pPr>
      <w:r>
        <w:t xml:space="preserve">Objetivo: Repositório, imagem, dependência, segredo e verificação de IAC. Projeto oficial:</w:t>
      </w:r>
      <w:r>
        <w:t xml:space="preserve"> </w:t>
      </w:r>
      <w:hyperlink r:id="rId152">
        <w:r>
          <w:rPr>
            <w:rStyle w:val="Hyperlink"/>
          </w:rPr>
          <w:t xml:space="preserve">Trivy</w:t>
        </w:r>
      </w:hyperlink>
    </w:p>
    <w:p>
      <w:pPr>
        <w:pStyle w:val="BodyText"/>
      </w:pPr>
      <w:r>
        <w:t xml:space="preserve">Início rápido seguro: Analise um repositório ou imagem de treinamento autorizado, valide achados, exceções corretas ou aprovadas por documentos e reescane em CI.</w:t>
      </w:r>
    </w:p>
    <w:p>
      <w:pPr>
        <w:pStyle w:val="BodyText"/>
      </w:pPr>
      <w:r>
        <w:t xml:space="preserve">Reter: autoridade, escopo, fonte/lançamento, versão, configuração/consulta, população, data, resultado bruto, validação do analista, limitação, mapeamento de controle, achado, correção e reteste. Proteger as informações do sistema e da vulnerabilidade.</w:t>
      </w:r>
    </w:p>
    <w:bookmarkEnd w:id="153"/>
    <w:bookmarkStart w:id="155" w:name="owasp-zap"/>
    <w:p>
      <w:pPr>
        <w:pStyle w:val="Heading1"/>
      </w:pPr>
      <w:r>
        <w:t xml:space="preserve"># 26.15 OWASP ZAP</w:t>
      </w:r>
    </w:p>
    <w:p>
      <w:pPr>
        <w:pStyle w:val="FirstParagraph"/>
      </w:pPr>
      <w:r>
        <w:t xml:space="preserve">Finalidade: Testes de segurança de aplicações web autorizados. Projecto oficial:</w:t>
      </w:r>
      <w:r>
        <w:t xml:space="preserve"> </w:t>
      </w:r>
      <w:hyperlink r:id="rId154">
        <w:r>
          <w:rPr>
            <w:rStyle w:val="Hyperlink"/>
          </w:rPr>
          <w:t xml:space="preserve">OWASP ZAP</w:t>
        </w:r>
      </w:hyperlink>
    </w:p>
    <w:p>
      <w:pPr>
        <w:pStyle w:val="BodyText"/>
      </w:pPr>
      <w:r>
        <w:t xml:space="preserve">Início rápido seguro: Use um aplicativo de treinamento, rasteje passivamente, use a varredura ativa apenas com permissão, valide achados, corrija e reteste.</w:t>
      </w:r>
    </w:p>
    <w:p>
      <w:pPr>
        <w:pStyle w:val="BodyText"/>
      </w:pPr>
      <w:r>
        <w:t xml:space="preserve">Reter: autoridade, escopo, fonte/lançamento, versão, configuração/consulta, população, data, resultado bruto, validação do analista, limitação, mapeamento de controle, achado, correção e reteste. Proteger as informações do sistema e da vulnerabilidade.</w:t>
      </w:r>
    </w:p>
    <w:bookmarkEnd w:id="155"/>
    <w:bookmarkStart w:id="157" w:name="keycloak"/>
    <w:p>
      <w:pPr>
        <w:pStyle w:val="Heading1"/>
      </w:pPr>
      <w:r>
        <w:t xml:space="preserve"># 26.16 Keycloak</w:t>
      </w:r>
    </w:p>
    <w:p>
      <w:pPr>
        <w:pStyle w:val="FirstParagraph"/>
      </w:pPr>
      <w:r>
        <w:t xml:space="preserve">Objetivo: Identidade, papéis, MFA, sessões e eventos de auditoria. Projeto oficial:</w:t>
      </w:r>
      <w:r>
        <w:t xml:space="preserve"> </w:t>
      </w:r>
      <w:hyperlink r:id="rId156">
        <w:r>
          <w:rPr>
            <w:rStyle w:val="Hyperlink"/>
          </w:rPr>
          <w:t xml:space="preserve">Keycloak</w:t>
        </w:r>
      </w:hyperlink>
    </w:p>
    <w:p>
      <w:pPr>
        <w:pStyle w:val="BodyText"/>
      </w:pPr>
      <w:r>
        <w:t xml:space="preserve">Início rápido seguro: Crie um reino de laboratório, configure papéis e MFA, teste joiner-mover-leaver e casos privilegiados, e reveja eventos.</w:t>
      </w:r>
    </w:p>
    <w:p>
      <w:pPr>
        <w:pStyle w:val="BodyText"/>
      </w:pPr>
      <w:r>
        <w:t xml:space="preserve">Reter: autoridade, escopo, fonte/lançamento, versão, configuração/consulta, população, data, resultado bruto, validação do analista, limitação, mapeamento de controle, achado, correção e reteste. Proteger as informações do sistema e da vulnerabilidade.</w:t>
      </w:r>
    </w:p>
    <w:bookmarkEnd w:id="157"/>
    <w:bookmarkStart w:id="159" w:name="defectdojo"/>
    <w:p>
      <w:pPr>
        <w:pStyle w:val="Heading1"/>
      </w:pPr>
      <w:r>
        <w:t xml:space="preserve"># 26.17 DefectDojo</w:t>
      </w:r>
    </w:p>
    <w:p>
      <w:pPr>
        <w:pStyle w:val="FirstParagraph"/>
      </w:pPr>
      <w:r>
        <w:t xml:space="preserve">Objetivo: Encontrar agregação, atribuição, remediação e reteste. Projeto oficial:</w:t>
      </w:r>
      <w:r>
        <w:t xml:space="preserve"> </w:t>
      </w:r>
      <w:hyperlink r:id="rId158">
        <w:r>
          <w:rPr>
            <w:rStyle w:val="Hyperlink"/>
          </w:rPr>
          <w:t xml:space="preserve">DefectDojo</w:t>
        </w:r>
      </w:hyperlink>
    </w:p>
    <w:p>
      <w:pPr>
        <w:pStyle w:val="BodyText"/>
      </w:pPr>
      <w:r>
        <w:t xml:space="preserve">Início rápido e seguro: Importar resultados de laboratório seguros, validar deduplicação e gravidade, atribuir ação, anexar evidências e fechar apenas após o reteste.</w:t>
      </w:r>
    </w:p>
    <w:p>
      <w:pPr>
        <w:pStyle w:val="BodyText"/>
      </w:pPr>
      <w:r>
        <w:t xml:space="preserve">Reter: autoridade, escopo, fonte/lançamento, versão, configuração/consulta, população, data, resultado bruto, validação do analista, limitação, mapeamento de controle, achado, correção e reteste. Proteger as informações do sistema e da vulnerabilidade.</w:t>
      </w:r>
    </w:p>
    <w:bookmarkEnd w:id="159"/>
    <w:bookmarkStart w:id="161" w:name="open-policy-agent"/>
    <w:p>
      <w:pPr>
        <w:pStyle w:val="Heading1"/>
      </w:pPr>
      <w:r>
        <w:t xml:space="preserve"># 26.18 Open Policy Agent</w:t>
      </w:r>
    </w:p>
    <w:p>
      <w:pPr>
        <w:pStyle w:val="FirstParagraph"/>
      </w:pPr>
      <w:r>
        <w:t xml:space="preserve">Objetivo: Decisões de política como código. Projeto oficial:</w:t>
      </w:r>
      <w:r>
        <w:t xml:space="preserve"> </w:t>
      </w:r>
      <w:hyperlink r:id="rId160">
        <w:r>
          <w:rPr>
            <w:rStyle w:val="Hyperlink"/>
          </w:rPr>
          <w:t xml:space="preserve">Open Policy Agent</w:t>
        </w:r>
      </w:hyperlink>
    </w:p>
    <w:p>
      <w:pPr>
        <w:pStyle w:val="BodyText"/>
      </w:pPr>
      <w:r>
        <w:t xml:space="preserve">Início rápido seguro: Escreva uma política de laboratório pequena para uma regra de configuração aprovada, teste casos de permissão/negação e falha, revisão por pares, decisões de registro e preservar autoridade de exceção humana.</w:t>
      </w:r>
    </w:p>
    <w:p>
      <w:pPr>
        <w:pStyle w:val="BodyText"/>
      </w:pPr>
      <w:r>
        <w:t xml:space="preserve">Reter: autoridade, escopo, fonte/lançamento, versão, configuração/consulta, população, data, resultado bruto, validação do analista, limitação, mapeamento de controle, achado, correção e reteste. Proteger as informações do sistema e da vulnerabilidade.</w:t>
      </w:r>
    </w:p>
    <w:bookmarkEnd w:id="161"/>
    <w:bookmarkStart w:id="164" w:name="manual-do-rmf-para-gerentes"/>
    <w:p>
      <w:pPr>
        <w:pStyle w:val="Heading1"/>
      </w:pPr>
      <w:r>
        <w:t xml:space="preserve">27. Manual do RMF para gerentes</w:t>
      </w:r>
    </w:p>
    <w:p>
      <w:pPr>
        <w:numPr>
          <w:ilvl w:val="0"/>
          <w:numId w:val="1034"/>
        </w:numPr>
        <w:pStyle w:val="Compact"/>
      </w:pPr>
      <w:r>
        <w:t xml:space="preserve">Os gerentes mantêm RMF focado em risco de missão, evidências confiáveis, decisões oportunas e correção.*</w:t>
      </w:r>
    </w:p>
    <w:bookmarkStart w:id="162" w:name="section-1"/>
    <w:p>
      <w:pPr>
        <w:pStyle w:val="Heading2"/>
      </w:pPr>
      <w:r>
        <w:t xml:space="preserve">* * * * * * * * * * * * * * * * * * * * * * * * * * * * * * * * * * * * * * * * * *</w:t>
      </w:r>
    </w:p>
    <w:p>
      <w:pPr>
        <w:pStyle w:val="FirstParagraph"/>
      </w:pPr>
      <w:r>
        <w:t xml:space="preserve">□ Limite □ Sabemos o que está dentro, herdado, conectado e externamente fornecido? □ Nuvem, fornecedor ou caminho de administração desconhecidos</w:t>
      </w:r>
      <w:r>
        <w:t xml:space="preserve"> </w:t>
      </w:r>
      <w:r>
        <w:t xml:space="preserve">O impacto reflete todos os tipos de informação, dependência, privacidade, segurança e efeito da missão? Categoria copiada de outro sistema</w:t>
      </w:r>
      <w:r>
        <w:t xml:space="preserve"> </w:t>
      </w:r>
      <w:r>
        <w:t xml:space="preserve">□ Selecção □ Baseline, alfaiate, parâmetros, adições e alocações são justificados? Conjunto de controlo tratado como uma lista de verificação sem acompanhamento</w:t>
      </w:r>
      <w:r>
        <w:t xml:space="preserve"> </w:t>
      </w:r>
      <w:r>
        <w:t xml:space="preserve">• Implementação • Os proprietários podem explicar quem/o/onde/como/quando e mostrar evidências operacionais? Linguagem de política copiada como implementação</w:t>
      </w:r>
      <w:r>
        <w:t xml:space="preserve"> </w:t>
      </w:r>
      <w:r>
        <w:t xml:space="preserve">□ Avaliação São credíveis o escopo, a população, os métodos, a independência, as limitações e os retestes? Varrer é igual à avaliação</w:t>
      </w:r>
      <w:r>
        <w:t xml:space="preserve"> </w:t>
      </w:r>
      <w:r>
        <w:t xml:space="preserve">□ Autorização; A decisão oficial entende risco residual e condições? O pacote esconde incerteza grave/aberta</w:t>
      </w:r>
      <w:r>
        <w:t xml:space="preserve"> </w:t>
      </w:r>
      <w:r>
        <w:t xml:space="preserve">□ Monitoramento □ Mudanças e indicadores levam a atualizações de resposta e pacote? Painel sem ação responsável</w:t>
      </w:r>
      <w:r>
        <w:t xml:space="preserve"> </w:t>
      </w:r>
      <w:r>
        <w:t xml:space="preserve">• POA&amp;M □ As acções graves e atrasadas são financiadas e retestadas de forma independente? Extensões repetidas sem decisão de risco</w:t>
      </w:r>
    </w:p>
    <w:bookmarkEnd w:id="162"/>
    <w:bookmarkStart w:id="163" w:name="ritmo-de-gerente"/>
    <w:p>
      <w:pPr>
        <w:pStyle w:val="Heading2"/>
      </w:pPr>
      <w:r>
        <w:t xml:space="preserve">27.1 Ritmo de gerente</w:t>
      </w:r>
    </w:p>
    <w:p>
      <w:pPr>
        <w:numPr>
          <w:ilvl w:val="0"/>
          <w:numId w:val="1035"/>
        </w:numPr>
      </w:pPr>
      <w:r>
        <w:t xml:space="preserve">Mensal: achados graves, alterações significativas, POA&amp;Ms em atraso, alterações de controle comum, limiares de monitoramento e condições de autorização.</w:t>
      </w:r>
    </w:p>
    <w:p>
      <w:pPr>
        <w:numPr>
          <w:ilvl w:val="0"/>
          <w:numId w:val="1035"/>
        </w:numPr>
      </w:pPr>
      <w:r>
        <w:t xml:space="preserve">Trimestralmente: controlar a qualidade das evidências, vulnerabilidade e tendências de configuração, riscos de fornecedores, riscos de privacidade, resultados de recuperação/incidente e bloqueadores de recursos.</w:t>
      </w:r>
    </w:p>
    <w:p>
      <w:pPr>
        <w:numPr>
          <w:ilvl w:val="0"/>
          <w:numId w:val="1035"/>
        </w:numPr>
      </w:pPr>
      <w:r>
        <w:t xml:space="preserve">Nos lançamentos ou grandes mudanças: fronteira, categorização, controle, avaliação e impacto da autorização.</w:t>
      </w:r>
    </w:p>
    <w:p>
      <w:pPr>
        <w:numPr>
          <w:ilvl w:val="0"/>
          <w:numId w:val="1035"/>
        </w:numPr>
      </w:pPr>
      <w:r>
        <w:t xml:space="preserve">Ciclo anual ou aprovado: estratégia de risco, controles comuns, valores de parâmetros, estratégia de monitoramento, capacidade do avaliador, qualidade do pacote, métricas e melhoria do processo.</w:t>
      </w:r>
    </w:p>
    <w:bookmarkEnd w:id="163"/>
    <w:bookmarkEnd w:id="164"/>
    <w:bookmarkStart w:id="168" w:name="guia-de-carreira-do-analista-júnior"/>
    <w:p>
      <w:pPr>
        <w:pStyle w:val="Heading1"/>
      </w:pPr>
      <w:r>
        <w:t xml:space="preserve">28. Guia de Carreira do Analista Júnior</w:t>
      </w:r>
    </w:p>
    <w:p>
      <w:pPr>
        <w:pStyle w:val="FirstParagraph"/>
      </w:pPr>
      <w:r>
        <w:rPr>
          <w:iCs/>
          <w:i/>
        </w:rPr>
        <w:t xml:space="preserve">Junior RMF analistas criar valor através de limites precisos, mapeamentos, declarações, evidências, descobertas e rastreamento.</w:t>
      </w:r>
    </w:p>
    <w:p>
      <w:pPr>
        <w:pStyle w:val="CaptionedFigure"/>
      </w:pPr>
      <w:r>
        <w:drawing>
          <wp:inline>
            <wp:extent cx="5334000" cy="2945449"/>
            <wp:effectExtent b="0" l="0" r="0" t="0"/>
            <wp:docPr descr="Trace cada conclusão da exigência à implementação, evidência, resultado, risco e ação." title="" id="166" name="Picture"/>
            <a:graphic>
              <a:graphicData uri="http://schemas.openxmlformats.org/drawingml/2006/picture">
                <pic:pic>
                  <pic:nvPicPr>
                    <pic:cNvPr descr="media/image10.png" id="167" name="Picture"/>
                    <pic:cNvPicPr>
                      <a:picLocks noChangeArrowheads="1"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54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Trace cada conclusão da exigência à implementação, evidência, resultado, risco e ação.</w:t>
      </w:r>
    </w:p>
    <w:p>
      <w:pPr>
        <w:pStyle w:val="BodyText"/>
      </w:pPr>
      <w:r>
        <w:t xml:space="preserve">Figura 10. Caminho de analista RMF júnior</w:t>
      </w:r>
    </w:p>
    <w:bookmarkEnd w:id="168"/>
    <w:bookmarkStart w:id="169" w:name="funções-comuns"/>
    <w:p>
      <w:pPr>
        <w:pStyle w:val="Heading1"/>
      </w:pPr>
      <w:r>
        <w:t xml:space="preserve"># 28.1 Funções comuns</w:t>
      </w:r>
    </w:p>
    <w:p>
      <w:pPr>
        <w:numPr>
          <w:ilvl w:val="0"/>
          <w:numId w:val="1036"/>
        </w:numPr>
      </w:pPr>
      <w:r>
        <w:t xml:space="preserve">Júnior GRC Analisador</w:t>
      </w:r>
    </w:p>
    <w:p>
      <w:pPr>
        <w:numPr>
          <w:ilvl w:val="0"/>
          <w:numId w:val="1036"/>
        </w:numPr>
      </w:pPr>
      <w:r>
        <w:t xml:space="preserve">RMF Analisador</w:t>
      </w:r>
    </w:p>
    <w:p>
      <w:pPr>
        <w:numPr>
          <w:ilvl w:val="0"/>
          <w:numId w:val="1036"/>
        </w:numPr>
      </w:pPr>
      <w:r>
        <w:t xml:space="preserve">Assessor de Controles de Segurança (junior)</w:t>
      </w:r>
    </w:p>
    <w:p>
      <w:pPr>
        <w:numPr>
          <w:ilvl w:val="0"/>
          <w:numId w:val="1036"/>
        </w:numPr>
      </w:pPr>
      <w:r>
        <w:t xml:space="preserve">Apoio ao responsável pela segurança do sistema de informação</w:t>
      </w:r>
    </w:p>
    <w:p>
      <w:pPr>
        <w:numPr>
          <w:ilvl w:val="0"/>
          <w:numId w:val="1036"/>
        </w:numPr>
      </w:pPr>
      <w:r>
        <w:t xml:space="preserve">Analisador de conformidade de segurança cibernética</w:t>
      </w:r>
    </w:p>
    <w:p>
      <w:pPr>
        <w:numPr>
          <w:ilvl w:val="0"/>
          <w:numId w:val="1036"/>
        </w:numPr>
      </w:pPr>
      <w:r>
        <w:t xml:space="preserve">Analisador de Autorização de Segurança</w:t>
      </w:r>
    </w:p>
    <w:p>
      <w:pPr>
        <w:numPr>
          <w:ilvl w:val="0"/>
          <w:numId w:val="1036"/>
        </w:numPr>
      </w:pPr>
      <w:r>
        <w:t xml:space="preserve">Analista de Controles de Privacidade</w:t>
      </w:r>
    </w:p>
    <w:p>
      <w:pPr>
        <w:numPr>
          <w:ilvl w:val="0"/>
          <w:numId w:val="1036"/>
        </w:numPr>
      </w:pPr>
      <w:r>
        <w:t xml:space="preserve">Analisador de Monitoramento Contínuo</w:t>
      </w:r>
    </w:p>
    <w:bookmarkEnd w:id="169"/>
    <w:bookmarkStart w:id="170" w:name="trabalho-típico"/>
    <w:p>
      <w:pPr>
        <w:pStyle w:val="Heading1"/>
      </w:pPr>
      <w:r>
        <w:t xml:space="preserve"># 28.2 Trabalho típico</w:t>
      </w:r>
    </w:p>
    <w:p>
      <w:pPr>
        <w:numPr>
          <w:ilvl w:val="0"/>
          <w:numId w:val="1037"/>
        </w:numPr>
      </w:pPr>
      <w:r>
        <w:t xml:space="preserve">Manter o inventário do sistema, limites, tipos de informação, categorizações, alocação de controle, evidências, achados, POA&amp;M e versões de pacotes.</w:t>
      </w:r>
    </w:p>
    <w:p>
      <w:pPr>
        <w:numPr>
          <w:ilvl w:val="0"/>
          <w:numId w:val="1037"/>
        </w:numPr>
      </w:pPr>
      <w:r>
        <w:t xml:space="preserve">Leia texto e procedimentos de controle exatos; lançamento de registros e parâmetros definidos pela organização.</w:t>
      </w:r>
    </w:p>
    <w:p>
      <w:pPr>
        <w:numPr>
          <w:ilvl w:val="0"/>
          <w:numId w:val="1037"/>
        </w:numPr>
      </w:pPr>
      <w:r>
        <w:t xml:space="preserve">Elaborar declarações de implementação e validá-las com proprietários e provas.</w:t>
      </w:r>
    </w:p>
    <w:p>
      <w:pPr>
        <w:numPr>
          <w:ilvl w:val="0"/>
          <w:numId w:val="1037"/>
        </w:numPr>
      </w:pPr>
      <w:r>
        <w:t xml:space="preserve">Recolha de evidências de forma segura, valide a qualidade da população e da fonte, execute as etapas de exame/entrevista/teste aprovadas e as limitações do documento.</w:t>
      </w:r>
    </w:p>
    <w:p>
      <w:pPr>
        <w:numPr>
          <w:ilvl w:val="0"/>
          <w:numId w:val="1037"/>
        </w:numPr>
      </w:pPr>
      <w:r>
        <w:t xml:space="preserve">Escreva conclusões claras e trace marcos através de reteste independente.</w:t>
      </w:r>
    </w:p>
    <w:p>
      <w:pPr>
        <w:numPr>
          <w:ilvl w:val="0"/>
          <w:numId w:val="1037"/>
        </w:numPr>
      </w:pPr>
      <w:r>
        <w:t xml:space="preserve">Use CPRT, OSCAL, planilhas, repositórios, painéis e ferramentas técnicas aprovadas sem reivindicar autoridade além do papel.</w:t>
      </w:r>
    </w:p>
    <w:bookmarkEnd w:id="170"/>
    <w:bookmarkStart w:id="172" w:name="Xad9c5e5870a1d313a8afb95b48d15b486ae427d"/>
    <w:p>
      <w:pPr>
        <w:pStyle w:val="Heading1"/>
      </w:pPr>
      <w:r>
        <w:t xml:space="preserve">29. Laboratório Fictício, Plano de Trinta Dias e Preparação de Entrevistas</w:t>
      </w:r>
    </w:p>
    <w:p>
      <w:pPr>
        <w:numPr>
          <w:ilvl w:val="0"/>
          <w:numId w:val="1038"/>
        </w:numPr>
        <w:pStyle w:val="Compact"/>
      </w:pPr>
      <w:r>
        <w:t xml:space="preserve">Um sistema fictício e um laboratório autorizado podem se tornar um portfólio de entrada forte.*</w:t>
      </w:r>
    </w:p>
    <w:p>
      <w:pPr>
        <w:pStyle w:val="FirstParagraph"/>
      </w:pPr>
      <w:r>
        <w:t xml:space="preserve">Regra do laboratório:** Use organizações ficcionais, dados sintéticos, sistemas isolados e autorização escrita. Nunca escaneie alvos públicos ou publique planos de sistema reais, vulnerabilidades, credenciais, diagramas ou evidências de avaliação.</w:t>
      </w:r>
      <w:r>
        <w:t xml:space="preserve"> </w:t>
      </w:r>
      <w:r>
        <w:t xml:space="preserve">O que é que se passa?</w:t>
      </w:r>
    </w:p>
    <w:bookmarkStart w:id="171" w:name="laboratório-de-portfólio"/>
    <w:p>
      <w:pPr>
        <w:pStyle w:val="Heading2"/>
      </w:pPr>
      <w:r>
        <w:t xml:space="preserve">29.1 Laboratório de Portfólio</w:t>
      </w:r>
    </w:p>
    <w:p>
      <w:pPr>
        <w:numPr>
          <w:ilvl w:val="0"/>
          <w:numId w:val="1039"/>
        </w:numPr>
      </w:pPr>
      <w:r>
        <w:t xml:space="preserve">Criar uma organização fictícia de 100 pessoas e um portal de cliente hospedado na nuvem com um provedor de identidade, banco de dados, pipeline CI/CD, fornecedor de suporte e dados pessoais.</w:t>
      </w:r>
    </w:p>
    <w:p>
      <w:pPr>
        <w:numPr>
          <w:ilvl w:val="0"/>
          <w:numId w:val="1039"/>
        </w:numPr>
      </w:pPr>
      <w:r>
        <w:t xml:space="preserve">Defina missão, stakeholders, fronteira, inventário, arquitetura, fluxo de dados, dependências, serviços externos e alocação de controle.</w:t>
      </w:r>
    </w:p>
    <w:p>
      <w:pPr>
        <w:numPr>
          <w:ilvl w:val="0"/>
          <w:numId w:val="1039"/>
        </w:numPr>
      </w:pPr>
      <w:r>
        <w:t xml:space="preserve">Categorize confidencialidade, integridade e disponibilidade com tipos de informações documentadas e raciocínio de impacto.</w:t>
      </w:r>
    </w:p>
    <w:p>
      <w:pPr>
        <w:numPr>
          <w:ilvl w:val="0"/>
          <w:numId w:val="1039"/>
        </w:numPr>
      </w:pPr>
      <w:r>
        <w:t xml:space="preserve">Selecione uma linha de base moderada como ponto de partida educacional; ajuste 20 controles representativos e parâmetros com lógica de risco fictícia.</w:t>
      </w:r>
    </w:p>
    <w:p>
      <w:pPr>
        <w:numPr>
          <w:ilvl w:val="0"/>
          <w:numId w:val="1039"/>
        </w:numPr>
      </w:pPr>
      <w:r>
        <w:t xml:space="preserve">Escreva dez fortes declarações de implementação em diferentes famílias.</w:t>
      </w:r>
    </w:p>
    <w:p>
      <w:pPr>
        <w:numPr>
          <w:ilvl w:val="0"/>
          <w:numId w:val="1039"/>
        </w:numPr>
      </w:pPr>
      <w:r>
        <w:t xml:space="preserve">Criar um plano de avaliação e testar cinco controles usando evidências sintéticas e ferramentas de laboratório autorizadas.</w:t>
      </w:r>
    </w:p>
    <w:p>
      <w:pPr>
        <w:numPr>
          <w:ilvl w:val="0"/>
          <w:numId w:val="1039"/>
        </w:numPr>
      </w:pPr>
      <w:r>
        <w:t xml:space="preserve">Escreva dois achados, uma POA&amp;M, evidência de correção e resultados de reteste.</w:t>
      </w:r>
    </w:p>
    <w:p>
      <w:pPr>
        <w:numPr>
          <w:ilvl w:val="0"/>
          <w:numId w:val="1039"/>
        </w:numPr>
      </w:pPr>
      <w:r>
        <w:t xml:space="preserve">Criar um breve briefing de autorização e estratégia de monitoramento contínuo.</w:t>
      </w:r>
    </w:p>
    <w:p>
      <w:pPr>
        <w:numPr>
          <w:ilvl w:val="0"/>
          <w:numId w:val="1039"/>
        </w:numPr>
      </w:pPr>
      <w:r>
        <w:t xml:space="preserve">Representar um perfil, fragmento de SSP, resultado de avaliação ou POA&amp;M em OSCAL e validá-lo.</w:t>
      </w:r>
    </w:p>
    <w:p>
      <w:pPr>
        <w:numPr>
          <w:ilvl w:val="0"/>
          <w:numId w:val="1039"/>
        </w:numPr>
      </w:pPr>
      <w:r>
        <w:t xml:space="preserve">Publicar artefatos higiénicos claramente rotulados de ficção e não uma autorização NIST.</w:t>
      </w:r>
    </w:p>
    <w:bookmarkEnd w:id="171"/>
    <w:bookmarkEnd w:id="172"/>
    <w:bookmarkStart w:id="174" w:name="plano-de-30-dias"/>
    <w:p>
      <w:pPr>
        <w:pStyle w:val="Heading1"/>
      </w:pPr>
      <w:r>
        <w:t xml:space="preserve"># 29,2 Plano de 30 dias</w:t>
      </w:r>
    </w:p>
    <w:p>
      <w:pPr>
        <w:numPr>
          <w:ilvl w:val="0"/>
          <w:numId w:val="1040"/>
        </w:numPr>
        <w:pStyle w:val="Heading2"/>
      </w:pPr>
      <w:bookmarkStart w:id="173" w:name="dias-foco-entrega"/>
      <w:r>
        <w:t xml:space="preserve">Dias** * Foco** * Entrega**</w:t>
      </w:r>
      <w:bookmarkEnd w:id="173"/>
    </w:p>
    <w:p>
      <w:pPr>
        <w:numPr>
          <w:ilvl w:val="0"/>
          <w:numId w:val="1000"/>
        </w:numPr>
        <w:pStyle w:val="Compact"/>
      </w:pPr>
      <w:r>
        <w:t xml:space="preserve">1–4 RMF, suite de publicação, papéis, três níveis .</w:t>
      </w:r>
      <w:r>
        <w:t xml:space="preserve"> </w:t>
      </w:r>
      <w:r>
        <w:t xml:space="preserve">5–7 Limites, informações, fluxo de dados, categorização</w:t>
      </w:r>
      <w:r>
        <w:t xml:space="preserve"> </w:t>
      </w:r>
      <w:r>
        <w:t xml:space="preserve">□ 8–11 □ Linhas de base, alfaiataria, parâmetros, alocação</w:t>
      </w:r>
      <w:r>
        <w:t xml:space="preserve"> </w:t>
      </w:r>
      <w:r>
        <w:t xml:space="preserve">10 declarações de implementação</w:t>
      </w:r>
      <w:r>
        <w:t xml:space="preserve"> </w:t>
      </w:r>
      <w:r>
        <w:t xml:space="preserve">Métodos, populações, plano de avaliação e cinco trabalhos</w:t>
      </w:r>
      <w:r>
        <w:t xml:space="preserve"> </w:t>
      </w:r>
      <w:r>
        <w:t xml:space="preserve">Resultados, risco, POA&amp;M, reteste Dois registos de busca-encerramento</w:t>
      </w:r>
      <w:r>
        <w:t xml:space="preserve"> </w:t>
      </w:r>
      <w:r>
        <w:t xml:space="preserve">• 23–25 • Autorização e acompanhamento • Breve estratégia e acompanhamento executivo</w:t>
      </w:r>
      <w:r>
        <w:t xml:space="preserve"> </w:t>
      </w:r>
      <w:r>
        <w:t xml:space="preserve">26–27 □ OSCAL e ferramentas aprovadas</w:t>
      </w:r>
      <w:r>
        <w:t xml:space="preserve"> </w:t>
      </w:r>
      <w:r>
        <w:t xml:space="preserve">Portfolio e entrevista</w:t>
      </w:r>
    </w:p>
    <w:bookmarkEnd w:id="174"/>
    <w:bookmarkStart w:id="181" w:name="o-que-é-rmf"/>
    <w:p>
      <w:pPr>
        <w:pStyle w:val="Heading1"/>
      </w:pPr>
      <w:r>
        <w:t xml:space="preserve"># 29.3 O que é RMF?</w:t>
      </w:r>
    </w:p>
    <w:p>
      <w:pPr>
        <w:pStyle w:val="FirstParagraph"/>
      </w:pPr>
      <w:r>
        <w:t xml:space="preserve">Um processo de ciclo de vida de sete etapas para gerenciar o risco de segurança e privacidade: Preparar, categorizar, selecionar, implementar, avaliar, autorizar e monitorar.</w:t>
      </w:r>
    </w:p>
    <w:bookmarkStart w:id="175" w:name="o-sp-800-53-é-uma-lista-de-verificação"/>
    <w:p>
      <w:pPr>
        <w:pStyle w:val="Heading2"/>
      </w:pPr>
      <w:r>
        <w:t xml:space="preserve">29.4 O SP 800-53 é uma lista de verificação?</w:t>
      </w:r>
    </w:p>
    <w:p>
      <w:pPr>
        <w:pStyle w:val="FirstParagraph"/>
      </w:pPr>
      <w:r>
        <w:t xml:space="preserve">Não. É um catálogo de controle flexível. As organizações escolhem e adaptam os controlos através da gestão de riscos e dos requisitos aplicáveis.</w:t>
      </w:r>
    </w:p>
    <w:bookmarkEnd w:id="175"/>
    <w:bookmarkStart w:id="176" w:name="o-que-é-uma-linha-de-base"/>
    <w:p>
      <w:pPr>
        <w:pStyle w:val="Heading2"/>
      </w:pPr>
      <w:r>
        <w:t xml:space="preserve">29.5 O que é uma linha de base?</w:t>
      </w:r>
    </w:p>
    <w:p>
      <w:pPr>
        <w:pStyle w:val="FirstParagraph"/>
      </w:pPr>
      <w:r>
        <w:t xml:space="preserve">Um conjunto inicial de controles. A SP 800-53B fornece baixos, moderados, elevados e valores de privacidade para uso federal.</w:t>
      </w:r>
    </w:p>
    <w:bookmarkEnd w:id="176"/>
    <w:bookmarkStart w:id="177" w:name="o-que-é-alfaiataria"/>
    <w:p>
      <w:pPr>
        <w:pStyle w:val="Heading2"/>
      </w:pPr>
      <w:r>
        <w:t xml:space="preserve">29.6 O que é alfaiataria?</w:t>
      </w:r>
    </w:p>
    <w:p>
      <w:pPr>
        <w:pStyle w:val="FirstParagraph"/>
      </w:pPr>
      <w:r>
        <w:t xml:space="preserve">Escopo documentado, parâmetros, adições, especialização, alocação e controles de compensação aprovados que fazem o conjunto inicial se encaixar no sistema e risco.</w:t>
      </w:r>
    </w:p>
    <w:bookmarkEnd w:id="177"/>
    <w:bookmarkStart w:id="178" w:name="o-que-é-a-herança-de-controle"/>
    <w:p>
      <w:pPr>
        <w:pStyle w:val="Heading2"/>
      </w:pPr>
      <w:r>
        <w:t xml:space="preserve">29.7 O que é a herança de controle?</w:t>
      </w:r>
    </w:p>
    <w:p>
      <w:pPr>
        <w:pStyle w:val="FirstParagraph"/>
      </w:pPr>
      <w:r>
        <w:t xml:space="preserve">Um sistema depende de um controle fornecido por outro provedor autorizado, enquanto ainda implementa e testa suas próprias responsabilidades de cliente.</w:t>
      </w:r>
    </w:p>
    <w:bookmarkEnd w:id="178"/>
    <w:bookmarkStart w:id="179" w:name="como-avalia-um-controle"/>
    <w:p>
      <w:pPr>
        <w:pStyle w:val="Heading2"/>
      </w:pPr>
      <w:r>
        <w:t xml:space="preserve">29.8 Como avalia um controle?</w:t>
      </w:r>
    </w:p>
    <w:p>
      <w:pPr>
        <w:pStyle w:val="FirstParagraph"/>
      </w:pPr>
      <w:r>
        <w:t xml:space="preserve">Utilizar objetivos aprovados e examinar, entrevistar ou testar métodos com objetos definidos, profundidade, cobertura, população, evidência, exceções e limitações.</w:t>
      </w:r>
    </w:p>
    <w:bookmarkEnd w:id="179"/>
    <w:bookmarkStart w:id="180" w:name="o-que-é-autorização"/>
    <w:p>
      <w:pPr>
        <w:pStyle w:val="Heading2"/>
      </w:pPr>
      <w:r>
        <w:t xml:space="preserve">29.9 O que é autorização?</w:t>
      </w:r>
    </w:p>
    <w:p>
      <w:pPr>
        <w:pStyle w:val="FirstParagraph"/>
      </w:pPr>
      <w:r>
        <w:t xml:space="preserve">A decisão de um alto funcionário autorizado de aceitar um risco residual definido para um sistema ou controlos comuns nos termos indicados.</w:t>
      </w:r>
    </w:p>
    <w:bookmarkEnd w:id="180"/>
    <w:bookmarkEnd w:id="181"/>
    <w:bookmarkStart w:id="182" w:name="o-que-é-um-poam"/>
    <w:p>
      <w:pPr>
        <w:pStyle w:val="Heading1"/>
      </w:pPr>
      <w:r>
        <w:t xml:space="preserve"># 29.10 O que é um POA&amp;M?</w:t>
      </w:r>
    </w:p>
    <w:p>
      <w:pPr>
        <w:pStyle w:val="FirstParagraph"/>
      </w:pPr>
      <w:r>
        <w:t xml:space="preserve">Um plano rastreado para corrigir fraquezas identificadas, com risco, proprietário, marcos, recursos, programação, status e reteste.</w:t>
      </w:r>
    </w:p>
    <w:bookmarkEnd w:id="182"/>
    <w:bookmarkStart w:id="183" w:name="o-que-é-oscal"/>
    <w:p>
      <w:pPr>
        <w:pStyle w:val="Heading1"/>
      </w:pPr>
      <w:r>
        <w:t xml:space="preserve"># 29.11 O que é OSCAL?</w:t>
      </w:r>
    </w:p>
    <w:p>
      <w:pPr>
        <w:pStyle w:val="FirstParagraph"/>
      </w:pPr>
      <w:r>
        <w:t xml:space="preserve">Modelos legíveis por máquina da NIST para controles, perfis, implementações, avaliações, resultados e POA&amp;Ms.</w:t>
      </w:r>
    </w:p>
    <w:bookmarkEnd w:id="183"/>
    <w:bookmarkStart w:id="184" w:name="o-que-é-atual-sp-800-53"/>
    <w:p>
      <w:pPr>
        <w:pStyle w:val="Heading1"/>
      </w:pPr>
      <w:r>
        <w:t xml:space="preserve"># 29.12 O que é atual SP 800-53?</w:t>
      </w:r>
    </w:p>
    <w:p>
      <w:pPr>
        <w:pStyle w:val="FirstParagraph"/>
      </w:pPr>
      <w:r>
        <w:t xml:space="preserve">Revisão 5, Release 5.2.0, emitida em agosto de 2025.</w:t>
      </w:r>
    </w:p>
    <w:bookmarkEnd w:id="184"/>
    <w:bookmarkStart w:id="187" w:name="modelos-glossário-índice-e-referências"/>
    <w:p>
      <w:pPr>
        <w:pStyle w:val="Heading1"/>
      </w:pPr>
      <w:r>
        <w:t xml:space="preserve">30. Modelos, Glossário, Índice e Referências</w:t>
      </w:r>
    </w:p>
    <w:p>
      <w:pPr>
        <w:numPr>
          <w:ilvl w:val="0"/>
          <w:numId w:val="1041"/>
        </w:numPr>
        <w:pStyle w:val="Compact"/>
      </w:pPr>
      <w:r>
        <w:t xml:space="preserve">Estruturas de trabalho reutilizáveis, termos-chave, índice de assunto e fontes oficiais.*</w:t>
      </w:r>
    </w:p>
    <w:bookmarkStart w:id="186" w:name="registro-de-sistema-e-limite"/>
    <w:p>
      <w:pPr>
        <w:pStyle w:val="Heading2"/>
      </w:pPr>
      <w:r>
        <w:t xml:space="preserve">30.1 Registro de sistema e limite</w:t>
      </w:r>
    </w:p>
    <w:p>
      <w:pPr>
        <w:numPr>
          <w:ilvl w:val="0"/>
          <w:numId w:val="1042"/>
        </w:numPr>
        <w:pStyle w:val="Heading2"/>
      </w:pPr>
      <w:bookmarkStart w:id="185" w:name="campo-entrada"/>
      <w:r>
        <w:t xml:space="preserve">Campo** * Entrada**</w:t>
      </w:r>
      <w:bookmarkEnd w:id="185"/>
    </w:p>
    <w:p>
      <w:pPr>
        <w:numPr>
          <w:ilvl w:val="0"/>
          <w:numId w:val="1000"/>
        </w:numPr>
        <w:pStyle w:val="Compact"/>
      </w:pPr>
      <w:r>
        <w:t xml:space="preserve">• Sistema/proprietário/missão</w:t>
      </w:r>
    </w:p>
    <w:p>
      <w:pPr>
        <w:numPr>
          <w:ilvl w:val="0"/>
          <w:numId w:val="1042"/>
        </w:numPr>
        <w:pStyle w:val="Compact"/>
      </w:pPr>
      <w:r>
        <w:t xml:space="preserve">Limite de autorização</w:t>
      </w:r>
      <w:r>
        <w:t xml:space="preserve"> </w:t>
      </w:r>
      <w:r>
        <w:t xml:space="preserve">Tipos de informação/fluxo de dados</w:t>
      </w:r>
    </w:p>
    <w:p>
      <w:pPr>
        <w:numPr>
          <w:ilvl w:val="0"/>
          <w:numId w:val="1042"/>
        </w:numPr>
        <w:pStyle w:val="Compact"/>
      </w:pPr>
      <w:r>
        <w:t xml:space="preserve">Arquitectura/interfaces</w:t>
      </w:r>
      <w:r>
        <w:t xml:space="preserve"> </w:t>
      </w:r>
      <w:r>
        <w:t xml:space="preserve">Serviços/fornecedores externos</w:t>
      </w:r>
      <w:r>
        <w:t xml:space="preserve"> </w:t>
      </w:r>
      <w:r>
        <w:t xml:space="preserve">• Controlos/herança comuns</w:t>
      </w:r>
      <w:r>
        <w:t xml:space="preserve"> </w:t>
      </w:r>
      <w:r>
        <w:t xml:space="preserve">Dependências/locações</w:t>
      </w:r>
    </w:p>
    <w:p>
      <w:pPr>
        <w:numPr>
          <w:ilvl w:val="0"/>
          <w:numId w:val="1042"/>
        </w:numPr>
        <w:pStyle w:val="Compact"/>
      </w:pPr>
      <w:r>
        <w:t xml:space="preserve">Category/rationale *                                               </w:t>
      </w:r>
      <w:r>
        <w:t xml:space="preserve"> </w:t>
      </w:r>
      <w:r>
        <w:t xml:space="preserve">Estágio/mudanças do ciclo de vida</w:t>
      </w:r>
      <w:r>
        <w:t xml:space="preserve"> </w:t>
      </w:r>
      <w:r>
        <w:t xml:space="preserve">Aprovações/versão</w:t>
      </w:r>
    </w:p>
    <w:bookmarkEnd w:id="186"/>
    <w:bookmarkEnd w:id="187"/>
    <w:bookmarkStart w:id="192" w:name="documento-de-implementação-de-controle"/>
    <w:p>
      <w:pPr>
        <w:pStyle w:val="Heading1"/>
      </w:pPr>
      <w:r>
        <w:t xml:space="preserve"># 30.2 Documento de implementação de controle</w:t>
      </w:r>
    </w:p>
    <w:p>
      <w:pPr>
        <w:numPr>
          <w:ilvl w:val="0"/>
          <w:numId w:val="1043"/>
        </w:numPr>
        <w:pStyle w:val="Heading2"/>
      </w:pPr>
      <w:bookmarkStart w:id="188" w:name="campo-entrada-1"/>
      <w:r>
        <w:t xml:space="preserve">Campo** * Entrada**</w:t>
      </w:r>
      <w:bookmarkEnd w:id="188"/>
    </w:p>
    <w:p>
      <w:pPr>
        <w:numPr>
          <w:ilvl w:val="0"/>
          <w:numId w:val="1000"/>
        </w:numPr>
        <w:pStyle w:val="Compact"/>
      </w:pPr>
      <w:r>
        <w:t xml:space="preserve">• Controlo/melhoramento/libertação</w:t>
      </w:r>
    </w:p>
    <w:p>
      <w:pPr>
        <w:numPr>
          <w:ilvl w:val="0"/>
          <w:numId w:val="1043"/>
        </w:numPr>
        <w:pStyle w:val="Compact"/>
      </w:pPr>
      <w:r>
        <w:t xml:space="preserve">Parâmetro/requisito:</w:t>
      </w:r>
      <w:r>
        <w:t xml:space="preserve"> </w:t>
      </w:r>
      <w:r>
        <w:t xml:space="preserve">Atribuições/fornecedores</w:t>
      </w:r>
      <w:r>
        <w:t xml:space="preserve"> </w:t>
      </w:r>
      <w:r>
        <w:t xml:space="preserve">• Âmbito de aplicação/população</w:t>
      </w:r>
      <w:r>
        <w:t xml:space="preserve"> </w:t>
      </w:r>
      <w:r>
        <w:t xml:space="preserve">Quem / o que / onde                                                 </w:t>
      </w:r>
      <w:r>
        <w:t xml:space="preserve"> </w:t>
      </w:r>
      <w:r>
        <w:t xml:space="preserve">Como / configuração                                                  </w:t>
      </w:r>
    </w:p>
    <w:p>
      <w:pPr>
        <w:numPr>
          <w:ilvl w:val="0"/>
          <w:numId w:val="1043"/>
        </w:numPr>
        <w:pStyle w:val="Compact"/>
      </w:pPr>
      <w:r>
        <w:t xml:space="preserve">Quando / gatilho/frequência</w:t>
      </w:r>
      <w:r>
        <w:t xml:space="preserve"> </w:t>
      </w:r>
      <w:r>
        <w:t xml:space="preserve">• Provas/fonte/retenção</w:t>
      </w:r>
      <w:r>
        <w:t xml:space="preserve"> </w:t>
      </w:r>
      <w:r>
        <w:t xml:space="preserve">Exceção/fracasso/revisão</w:t>
      </w:r>
      <w:r>
        <w:t xml:space="preserve"> </w:t>
      </w:r>
      <w:r>
        <w:t xml:space="preserve">• Proprietário/aprovação/atualização</w:t>
      </w:r>
    </w:p>
    <w:bookmarkStart w:id="189" w:name="avaliação-e-registro-de-busca"/>
    <w:p>
      <w:pPr>
        <w:pStyle w:val="Heading2"/>
      </w:pPr>
      <w:r>
        <w:t xml:space="preserve">30.3 Avaliação e registro de busca</w:t>
      </w:r>
    </w:p>
    <w:p>
      <w:pPr>
        <w:numPr>
          <w:ilvl w:val="0"/>
          <w:numId w:val="1044"/>
        </w:numPr>
        <w:pStyle w:val="Compact"/>
      </w:pPr>
      <w:r>
        <w:t xml:space="preserve">Campo** * Entrada**</w:t>
      </w:r>
      <w:r>
        <w:t xml:space="preserve"> </w:t>
      </w:r>
      <w:r>
        <w:t xml:space="preserve">□———————————————————————————————————————————</w:t>
      </w:r>
      <w:r>
        <w:t xml:space="preserve"> </w:t>
      </w:r>
      <w:r>
        <w:t xml:space="preserve">Objectivo/método/objecto</w:t>
      </w:r>
    </w:p>
    <w:p>
      <w:pPr>
        <w:numPr>
          <w:ilvl w:val="0"/>
          <w:numId w:val="1044"/>
        </w:numPr>
        <w:pStyle w:val="Compact"/>
      </w:pPr>
      <w:r>
        <w:t xml:space="preserve">Profundidade/cobertura/período</w:t>
      </w:r>
    </w:p>
    <w:p>
      <w:pPr>
        <w:numPr>
          <w:ilvl w:val="0"/>
          <w:numId w:val="1044"/>
        </w:numPr>
        <w:pStyle w:val="Compact"/>
      </w:pPr>
      <w:r>
        <w:t xml:space="preserve">População/amostra/fiabilidade</w:t>
      </w:r>
      <w:r>
        <w:t xml:space="preserve"> </w:t>
      </w:r>
      <w:r>
        <w:t xml:space="preserve">Passos/tools/versão</w:t>
      </w:r>
      <w:r>
        <w:t xml:space="preserve"> </w:t>
      </w:r>
      <w:r>
        <w:t xml:space="preserve">Provas/resultados</w:t>
      </w:r>
      <w:r>
        <w:t xml:space="preserve"> </w:t>
      </w:r>
      <w:r>
        <w:t xml:space="preserve">Excepção/população afectada</w:t>
      </w:r>
    </w:p>
    <w:p>
      <w:pPr>
        <w:numPr>
          <w:ilvl w:val="0"/>
          <w:numId w:val="1044"/>
        </w:numPr>
        <w:pStyle w:val="Compact"/>
      </w:pPr>
      <w:r>
        <w:t xml:space="preserve">Risco/causas</w:t>
      </w:r>
    </w:p>
    <w:p>
      <w:pPr>
        <w:numPr>
          <w:ilvl w:val="0"/>
          <w:numId w:val="1044"/>
        </w:numPr>
        <w:pStyle w:val="Compact"/>
      </w:pPr>
      <w:r>
        <w:t xml:space="preserve">Acção/proprietário/milestones</w:t>
      </w:r>
      <w:r>
        <w:t xml:space="preserve"> </w:t>
      </w:r>
      <w:r>
        <w:t xml:space="preserve">Protecção provisória</w:t>
      </w:r>
      <w:r>
        <w:t xml:space="preserve"> </w:t>
      </w:r>
      <w:r>
        <w:t xml:space="preserve">Reteste/fechamento</w:t>
      </w:r>
    </w:p>
    <w:bookmarkEnd w:id="189"/>
    <w:bookmarkStart w:id="191" w:name="registro-de-autorização-e-monitoramento"/>
    <w:p>
      <w:pPr>
        <w:pStyle w:val="Heading2"/>
      </w:pPr>
      <w:r>
        <w:t xml:space="preserve">30.4 Registro de autorização e monitoramento</w:t>
      </w:r>
    </w:p>
    <w:p>
      <w:pPr>
        <w:numPr>
          <w:ilvl w:val="0"/>
          <w:numId w:val="1045"/>
        </w:numPr>
        <w:pStyle w:val="Heading2"/>
      </w:pPr>
      <w:bookmarkStart w:id="190" w:name="campo-entrada-2"/>
      <w:r>
        <w:t xml:space="preserve">Campo** * Entrada**</w:t>
      </w:r>
      <w:bookmarkEnd w:id="190"/>
    </w:p>
    <w:p>
      <w:pPr>
        <w:numPr>
          <w:ilvl w:val="0"/>
          <w:numId w:val="1045"/>
        </w:numPr>
        <w:pStyle w:val="Compact"/>
      </w:pPr>
      <w:r>
        <w:t xml:space="preserve">Pacote/versão/data</w:t>
      </w:r>
      <w:r>
        <w:t xml:space="preserve"> </w:t>
      </w:r>
      <w:r>
        <w:t xml:space="preserve">Resumo dos riscos residuais</w:t>
      </w:r>
      <w:r>
        <w:t xml:space="preserve"> </w:t>
      </w:r>
      <w:r>
        <w:t xml:space="preserve">Decisão/oficiais/termos</w:t>
      </w:r>
      <w:r>
        <w:t xml:space="preserve"> </w:t>
      </w:r>
      <w:r>
        <w:t xml:space="preserve">□ Condições/expiração</w:t>
      </w:r>
      <w:r>
        <w:t xml:space="preserve"> </w:t>
      </w:r>
      <w:r>
        <w:t xml:space="preserve">• POA&amp;M / riscos graves</w:t>
      </w:r>
      <w:r>
        <w:t xml:space="preserve"> </w:t>
      </w:r>
      <w:r>
        <w:t xml:space="preserve">□ Indicadores/fonte/frequência</w:t>
      </w:r>
    </w:p>
    <w:p>
      <w:pPr>
        <w:numPr>
          <w:ilvl w:val="0"/>
          <w:numId w:val="1045"/>
        </w:numPr>
        <w:pStyle w:val="Compact"/>
      </w:pPr>
      <w:r>
        <w:t xml:space="preserve">Limiar/escalão</w:t>
      </w:r>
    </w:p>
    <w:p>
      <w:pPr>
        <w:numPr>
          <w:ilvl w:val="0"/>
          <w:numId w:val="1045"/>
        </w:numPr>
        <w:pStyle w:val="Compact"/>
      </w:pPr>
      <w:r>
        <w:t xml:space="preserve">Activadores de mudança significativa</w:t>
      </w:r>
      <w:r>
        <w:t xml:space="preserve"> </w:t>
      </w:r>
      <w:r>
        <w:t xml:space="preserve">Informação/actualização do pacote</w:t>
      </w:r>
      <w:r>
        <w:t xml:space="preserve"> </w:t>
      </w:r>
      <w:r>
        <w:t xml:space="preserve">• Reautorização/fechamento</w:t>
      </w:r>
    </w:p>
    <w:bookmarkEnd w:id="191"/>
    <w:bookmarkEnd w:id="192"/>
    <w:bookmarkStart w:id="194" w:name="glossário"/>
    <w:p>
      <w:pPr>
        <w:pStyle w:val="Heading1"/>
      </w:pPr>
      <w:r>
        <w:t xml:space="preserve"># 30.5 Glossário</w:t>
      </w:r>
    </w:p>
    <w:bookmarkStart w:id="193" w:name="section-2"/>
    <w:p>
      <w:pPr>
        <w:pStyle w:val="Heading2"/>
      </w:pPr>
      <w:r>
        <w:t xml:space="preserve">* ** ** ** ** ** ** **</w:t>
      </w:r>
    </w:p>
    <w:p>
      <w:pPr>
        <w:pStyle w:val="FirstParagraph"/>
      </w:pPr>
      <w:r>
        <w:t xml:space="preserve">• Autorização; aceitação oficial do risco residual definido para um sistema ou para controlos comuns. □</w:t>
      </w:r>
      <w:r>
        <w:t xml:space="preserve"> </w:t>
      </w:r>
      <w:r>
        <w:t xml:space="preserve">• Limite de autorização; □</w:t>
      </w:r>
      <w:r>
        <w:t xml:space="preserve"> </w:t>
      </w:r>
      <w:r>
        <w:t xml:space="preserve">Início do conjunto de controle.</w:t>
      </w:r>
      <w:r>
        <w:t xml:space="preserve"> </w:t>
      </w:r>
      <w:r>
        <w:t xml:space="preserve">Controle comum . Controle implementado para vários sistemas.</w:t>
      </w:r>
      <w:r>
        <w:t xml:space="preserve"> </w:t>
      </w:r>
      <w:r>
        <w:t xml:space="preserve">O realce do controle do controle. O requisito adicional ou mais forte associado com um controle de base.</w:t>
      </w:r>
      <w:r>
        <w:t xml:space="preserve"> </w:t>
      </w:r>
      <w:r>
        <w:t xml:space="preserve">• Controlar a herança;</w:t>
      </w:r>
      <w:r>
        <w:t xml:space="preserve"> </w:t>
      </w:r>
      <w:r>
        <w:t xml:space="preserve">□ Parâmetro de controle □ Valor atribuído pela organização dentro de um controle.</w:t>
      </w:r>
      <w:r>
        <w:t xml:space="preserve"> </w:t>
      </w:r>
      <w:r>
        <w:t xml:space="preserve">Ferramenta de Cibersegurança e Referência de Privacidade do NIST.</w:t>
      </w:r>
      <w:r>
        <w:t xml:space="preserve"> </w:t>
      </w:r>
      <w:r>
        <w:t xml:space="preserve">O impacto do sistema tem precedência sobre outros objetivos de informação/segurança aplicáveis, sujeitos a análise aprovada. □</w:t>
      </w:r>
      <w:r>
        <w:t xml:space="preserve"> </w:t>
      </w:r>
      <w:r>
        <w:t xml:space="preserve">OSCAL O Open Security Controls Assessment Language.</w:t>
      </w:r>
      <w:r>
        <w:t xml:space="preserve"> </w:t>
      </w:r>
      <w:r>
        <w:t xml:space="preserve">Plano de ação e marcos para fraquezas, com ações corretivas. □</w:t>
      </w:r>
      <w:r>
        <w:t xml:space="preserve"> </w:t>
      </w:r>
      <w:r>
        <w:t xml:space="preserve">• Risco residual; risco remanescente após controlos e tratamento. □</w:t>
      </w:r>
      <w:r>
        <w:t xml:space="preserve"> </w:t>
      </w:r>
      <w:r>
        <w:t xml:space="preserve">□ RMF</w:t>
      </w:r>
      <w:r>
        <w:t xml:space="preserve"> </w:t>
      </w:r>
      <w:r>
        <w:t xml:space="preserve">□ categorização de segurança • Determinação de impacto potencial para confidencialidade, integridade e disponibilidade.</w:t>
      </w:r>
      <w:r>
        <w:t xml:space="preserve"> </w:t>
      </w:r>
      <w:r>
        <w:t xml:space="preserve">O Plano de Segurança do Sistema Descrição da implementação do sistema e controle.</w:t>
      </w:r>
      <w:r>
        <w:t xml:space="preserve"> </w:t>
      </w:r>
      <w:r>
        <w:t xml:space="preserve">Adaptação e especificação baseada em risco de um conjunto de controlo inicial.</w:t>
      </w:r>
    </w:p>
    <w:bookmarkEnd w:id="193"/>
    <w:bookmarkEnd w:id="194"/>
    <w:bookmarkStart w:id="210" w:name="índice-de-assunto"/>
    <w:p>
      <w:pPr>
        <w:pStyle w:val="Heading1"/>
      </w:pPr>
      <w:r>
        <w:t xml:space="preserve"># 30.6 Índice de assunto</w:t>
      </w:r>
    </w:p>
    <w:bookmarkStart w:id="195" w:name="sujeito-capítulo"/>
    <w:p>
      <w:pPr>
        <w:pStyle w:val="Heading2"/>
      </w:pPr>
      <w:r>
        <w:rPr>
          <w:bCs/>
          <w:b/>
        </w:rPr>
        <w:t xml:space="preserve">Sujeito</w:t>
      </w:r>
      <w:r>
        <w:t xml:space="preserve"> </w:t>
      </w:r>
      <w:r>
        <w:rPr>
          <w:bCs/>
          <w:b/>
        </w:rPr>
        <w:t xml:space="preserve">Capítulo</w:t>
      </w:r>
    </w:p>
    <w:p>
      <w:pPr>
        <w:pStyle w:val="FirstParagraph"/>
      </w:pPr>
      <w:r>
        <w:t xml:space="preserve">. Avaliação .. 10, 16–17 .</w:t>
      </w:r>
      <w:r>
        <w:t xml:space="preserve"> </w:t>
      </w:r>
      <w:r>
        <w:t xml:space="preserve">Autorização</w:t>
      </w:r>
      <w:r>
        <w:t xml:space="preserve"> </w:t>
      </w:r>
      <w:r>
        <w:t xml:space="preserve">□ Linhas de base/facilitação</w:t>
      </w:r>
      <w:r>
        <w:t xml:space="preserve"> </w:t>
      </w:r>
      <w:r>
        <w:t xml:space="preserve">Categorização</w:t>
      </w:r>
      <w:r>
        <w:t xml:space="preserve"> </w:t>
      </w:r>
      <w:r>
        <w:t xml:space="preserve">• Controlos comuns</w:t>
      </w:r>
      <w:r>
        <w:t xml:space="preserve"> </w:t>
      </w:r>
      <w:r>
        <w:t xml:space="preserve">• Famílias de controlo</w:t>
      </w:r>
      <w:r>
        <w:t xml:space="preserve"> </w:t>
      </w:r>
      <w:r>
        <w:t xml:space="preserve">Implementação</w:t>
      </w:r>
      <w:r>
        <w:t xml:space="preserve"> </w:t>
      </w:r>
      <w:r>
        <w:t xml:space="preserve">Analistas júnior</w:t>
      </w:r>
      <w:r>
        <w:t xml:space="preserve"> </w:t>
      </w:r>
      <w:r>
        <w:t xml:space="preserve">Gestor</w:t>
      </w:r>
      <w:r>
        <w:t xml:space="preserve"> </w:t>
      </w:r>
      <w:r>
        <w:t xml:space="preserve">• Monitorização</w:t>
      </w:r>
      <w:r>
        <w:t xml:space="preserve"> </w:t>
      </w:r>
      <w:r>
        <w:t xml:space="preserve">Oscal 19, 26</w:t>
      </w:r>
      <w:r>
        <w:t xml:space="preserve"> </w:t>
      </w:r>
      <w:r>
        <w:t xml:space="preserve">□ POA&amp;M 17, 30</w:t>
      </w:r>
      <w:r>
        <w:t xml:space="preserve"> </w:t>
      </w:r>
      <w:r>
        <w:t xml:space="preserve">Privacidade 24</w:t>
      </w:r>
      <w:r>
        <w:t xml:space="preserve"> </w:t>
      </w:r>
      <w:r>
        <w:t xml:space="preserve">Release 5.2.0 2, 25</w:t>
      </w:r>
      <w:r>
        <w:t xml:space="preserve"> </w:t>
      </w:r>
      <w:r>
        <w:t xml:space="preserve">Funções</w:t>
      </w:r>
      <w:r>
        <w:t xml:space="preserve"> </w:t>
      </w:r>
      <w:r>
        <w:t xml:space="preserve">Selecção</w:t>
      </w:r>
      <w:r>
        <w:t xml:space="preserve"> </w:t>
      </w:r>
      <w:r>
        <w:t xml:space="preserve">Limite do sistema</w:t>
      </w:r>
      <w:r>
        <w:t xml:space="preserve"> </w:t>
      </w:r>
      <w:r>
        <w:t xml:space="preserve">Ferramentas</w:t>
      </w:r>
    </w:p>
    <w:bookmarkEnd w:id="195"/>
    <w:bookmarkStart w:id="208" w:name="referências-oficiais"/>
    <w:p>
      <w:pPr>
        <w:pStyle w:val="Heading2"/>
      </w:pPr>
      <w:r>
        <w:t xml:space="preserve">30.7 Referências oficiais</w:t>
      </w:r>
    </w:p>
    <w:p>
      <w:pPr>
        <w:numPr>
          <w:ilvl w:val="0"/>
          <w:numId w:val="1046"/>
        </w:numPr>
      </w:pPr>
      <w:hyperlink r:id="rId196">
        <w:r>
          <w:rPr>
            <w:rStyle w:val="Hyperlink"/>
          </w:rPr>
          <w:t xml:space="preserve">NIST Risk Management Framework</w:t>
        </w:r>
      </w:hyperlink>
    </w:p>
    <w:p>
      <w:pPr>
        <w:numPr>
          <w:ilvl w:val="0"/>
          <w:numId w:val="1046"/>
        </w:numPr>
      </w:pPr>
      <w:hyperlink r:id="rId197">
        <w:r>
          <w:rPr>
            <w:rStyle w:val="Hyperlink"/>
          </w:rPr>
          <w:t xml:space="preserve">NIST SP 800-37 Rev. 2</w:t>
        </w:r>
      </w:hyperlink>
    </w:p>
    <w:p>
      <w:pPr>
        <w:numPr>
          <w:ilvl w:val="0"/>
          <w:numId w:val="1046"/>
        </w:numPr>
      </w:pPr>
      <w:hyperlink r:id="rId198">
        <w:r>
          <w:rPr>
            <w:rStyle w:val="Hyperlink"/>
          </w:rPr>
          <w:t xml:space="preserve">NIST SP 800-53 Rev. 5 e Release 5.2.0</w:t>
        </w:r>
      </w:hyperlink>
    </w:p>
    <w:p>
      <w:pPr>
        <w:numPr>
          <w:ilvl w:val="0"/>
          <w:numId w:val="1046"/>
        </w:numPr>
      </w:pPr>
      <w:hyperlink r:id="rId199">
        <w:r>
          <w:rPr>
            <w:rStyle w:val="Hyperlink"/>
          </w:rPr>
          <w:t xml:space="preserve">NIST SP 800-53A Rev. 5 e Release 5.2.0</w:t>
        </w:r>
      </w:hyperlink>
    </w:p>
    <w:p>
      <w:pPr>
        <w:numPr>
          <w:ilvl w:val="0"/>
          <w:numId w:val="1046"/>
        </w:numPr>
      </w:pPr>
      <w:hyperlink r:id="rId200">
        <w:r>
          <w:rPr>
            <w:rStyle w:val="Hyperlink"/>
          </w:rPr>
          <w:t xml:space="preserve">NIST SP 800-53B</w:t>
        </w:r>
      </w:hyperlink>
    </w:p>
    <w:p>
      <w:pPr>
        <w:numPr>
          <w:ilvl w:val="0"/>
          <w:numId w:val="1046"/>
        </w:numPr>
      </w:pPr>
      <w:hyperlink r:id="rId201">
        <w:r>
          <w:rPr>
            <w:rStyle w:val="Hyperlink"/>
          </w:rPr>
          <w:t xml:space="preserve">NIST 2025 Lançamento 5.2.0 anúncio</w:t>
        </w:r>
      </w:hyperlink>
    </w:p>
    <w:p>
      <w:pPr>
        <w:numPr>
          <w:ilvl w:val="0"/>
          <w:numId w:val="1046"/>
        </w:numPr>
      </w:pPr>
      <w:hyperlink r:id="rId202">
        <w:r>
          <w:rPr>
            <w:rStyle w:val="Hyperlink"/>
          </w:rPr>
          <w:t xml:space="preserve">NIST SP 800-18 Rev. 2</w:t>
        </w:r>
      </w:hyperlink>
    </w:p>
    <w:p>
      <w:pPr>
        <w:numPr>
          <w:ilvl w:val="0"/>
          <w:numId w:val="1046"/>
        </w:numPr>
      </w:pPr>
      <w:hyperlink r:id="rId203">
        <w:r>
          <w:rPr>
            <w:rStyle w:val="Hyperlink"/>
          </w:rPr>
          <w:t xml:space="preserve">NIST SP 800-30 Rev. 1</w:t>
        </w:r>
      </w:hyperlink>
    </w:p>
    <w:p>
      <w:pPr>
        <w:numPr>
          <w:ilvl w:val="0"/>
          <w:numId w:val="1046"/>
        </w:numPr>
      </w:pPr>
      <w:hyperlink r:id="rId204">
        <w:r>
          <w:rPr>
            <w:rStyle w:val="Hyperlink"/>
          </w:rPr>
          <w:t xml:space="preserve">NIST SP 800-39</w:t>
        </w:r>
      </w:hyperlink>
    </w:p>
    <w:p>
      <w:pPr>
        <w:numPr>
          <w:ilvl w:val="0"/>
          <w:numId w:val="1046"/>
        </w:numPr>
      </w:pPr>
      <w:hyperlink r:id="rId127">
        <w:r>
          <w:rPr>
            <w:rStyle w:val="Hyperlink"/>
          </w:rPr>
          <w:t xml:space="preserve">NIST CPRT</w:t>
        </w:r>
      </w:hyperlink>
    </w:p>
    <w:p>
      <w:pPr>
        <w:numPr>
          <w:ilvl w:val="0"/>
          <w:numId w:val="1046"/>
        </w:numPr>
      </w:pPr>
      <w:hyperlink r:id="rId205">
        <w:r>
          <w:rPr>
            <w:rStyle w:val="Hyperlink"/>
          </w:rPr>
          <w:t xml:space="preserve">NIST Oscal</w:t>
        </w:r>
      </w:hyperlink>
    </w:p>
    <w:p>
      <w:pPr>
        <w:numPr>
          <w:ilvl w:val="0"/>
          <w:numId w:val="1046"/>
        </w:numPr>
      </w:pPr>
      <w:hyperlink r:id="rId206">
        <w:r>
          <w:rPr>
            <w:rStyle w:val="Hyperlink"/>
          </w:rPr>
          <w:t xml:space="preserve">NIST SP 800-53 controla os downloads</w:t>
        </w:r>
      </w:hyperlink>
    </w:p>
    <w:p>
      <w:pPr>
        <w:numPr>
          <w:ilvl w:val="0"/>
          <w:numId w:val="1046"/>
        </w:numPr>
      </w:pPr>
      <w:hyperlink r:id="rId207">
        <w:r>
          <w:rPr>
            <w:rStyle w:val="Hyperlink"/>
          </w:rPr>
          <w:t xml:space="preserve">NIST RMF cursos introdutórios</w:t>
        </w:r>
      </w:hyperlink>
    </w:p>
    <w:bookmarkEnd w:id="208"/>
    <w:bookmarkStart w:id="209" w:name="X9a3c6c700746bdf804c2452b71c6b949405b9a9"/>
    <w:p>
      <w:pPr>
        <w:pStyle w:val="Heading2"/>
      </w:pPr>
      <w:r>
        <w:t xml:space="preserve">Lembrete final:** lançamentos NIST, linhas de base, parâmetros, sobreposições, sistemas, ameaças, leis, contratos, ferramentas e mudança de risco organizacional. Confirme a fonte oficial atual, a autoridade local e os requisitos aplicáveis antes da implementação, avaliação ou autorização. □</w:t>
      </w:r>
    </w:p>
    <w:bookmarkEnd w:id="209"/>
    <w:bookmarkEnd w:id="21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165" Target="media/rId165.png" /><Relationship Type="http://schemas.openxmlformats.org/officeDocument/2006/relationships/image" Id="rId30" Target="media/rId30.png" /><Relationship Type="http://schemas.openxmlformats.org/officeDocument/2006/relationships/image" Id="rId40" Target="media/rId40.png" /><Relationship Type="http://schemas.openxmlformats.org/officeDocument/2006/relationships/image" Id="rId50" Target="media/rId50.png" /><Relationship Type="http://schemas.openxmlformats.org/officeDocument/2006/relationships/image" Id="rId59" Target="media/rId59.png" /><Relationship Type="http://schemas.openxmlformats.org/officeDocument/2006/relationships/image" Id="rId67" Target="media/rId67.png" /><Relationship Type="http://schemas.openxmlformats.org/officeDocument/2006/relationships/image" Id="rId73" Target="media/rId73.png" /><Relationship Type="http://schemas.openxmlformats.org/officeDocument/2006/relationships/image" Id="rId81" Target="media/rId81.png" /><Relationship Type="http://schemas.openxmlformats.org/officeDocument/2006/relationships/image" Id="rId86" Target="media/rId86.png" /><Relationship Type="http://schemas.openxmlformats.org/officeDocument/2006/relationships/hyperlink" Id="rId201" Target="https://csrc.nist.gov/News/2025/nist-releases-revision-to-sp-800-53-controls" TargetMode="External" /><Relationship Type="http://schemas.openxmlformats.org/officeDocument/2006/relationships/hyperlink" Id="rId127" Target="https://csrc.nist.gov/projects/cprt/catalog" TargetMode="External" /><Relationship Type="http://schemas.openxmlformats.org/officeDocument/2006/relationships/hyperlink" Id="rId196" Target="https://csrc.nist.gov/projects/risk-management" TargetMode="External" /><Relationship Type="http://schemas.openxmlformats.org/officeDocument/2006/relationships/hyperlink" Id="rId207" Target="https://csrc.nist.gov/projects/risk-management/rmf-courses" TargetMode="External" /><Relationship Type="http://schemas.openxmlformats.org/officeDocument/2006/relationships/hyperlink" Id="rId206" Target="https://csrc.nist.gov/projects/risk-management/sp800-53-controls/downloads" TargetMode="External" /><Relationship Type="http://schemas.openxmlformats.org/officeDocument/2006/relationships/hyperlink" Id="rId202" Target="https://csrc.nist.gov/pubs/sp/800/18/r2/final" TargetMode="External" /><Relationship Type="http://schemas.openxmlformats.org/officeDocument/2006/relationships/hyperlink" Id="rId203" Target="https://csrc.nist.gov/pubs/sp/800/30/r1/final" TargetMode="External" /><Relationship Type="http://schemas.openxmlformats.org/officeDocument/2006/relationships/hyperlink" Id="rId197" Target="https://csrc.nist.gov/pubs/sp/800/37/r2/final" TargetMode="External" /><Relationship Type="http://schemas.openxmlformats.org/officeDocument/2006/relationships/hyperlink" Id="rId204" Target="https://csrc.nist.gov/pubs/sp/800/39/final" TargetMode="External" /><Relationship Type="http://schemas.openxmlformats.org/officeDocument/2006/relationships/hyperlink" Id="rId199" Target="https://csrc.nist.gov/pubs/sp/800/53/a/r5/final" TargetMode="External" /><Relationship Type="http://schemas.openxmlformats.org/officeDocument/2006/relationships/hyperlink" Id="rId200" Target="https://csrc.nist.gov/pubs/sp/800/53/b/upd1/final" TargetMode="External" /><Relationship Type="http://schemas.openxmlformats.org/officeDocument/2006/relationships/hyperlink" Id="rId198" Target="https://csrc.nist.gov/pubs/sp/800/53/r5/upd1/final" TargetMode="External" /><Relationship Type="http://schemas.openxmlformats.org/officeDocument/2006/relationships/hyperlink" Id="rId133" Target="https://github.com/defenseunicorns/lula" TargetMode="External" /><Relationship Type="http://schemas.openxmlformats.org/officeDocument/2006/relationships/hyperlink" Id="rId137" Target="https://github.com/mitre/heimdall2" TargetMode="External" /><Relationship Type="http://schemas.openxmlformats.org/officeDocument/2006/relationships/hyperlink" Id="rId139" Target="https://github.com/opencontrol" TargetMode="External" /><Relationship Type="http://schemas.openxmlformats.org/officeDocument/2006/relationships/hyperlink" Id="rId131" Target="https://github.com/oscal-compass/compliance-trestle" TargetMode="External" /><Relationship Type="http://schemas.openxmlformats.org/officeDocument/2006/relationships/hyperlink" Id="rId141" Target="https://github.com/usnistgov/oscal-cli" TargetMode="External" /><Relationship Type="http://schemas.openxmlformats.org/officeDocument/2006/relationships/hyperlink" Id="rId129" Target="https://github.com/usnistgov/oscal-content" TargetMode="External" /><Relationship Type="http://schemas.openxmlformats.org/officeDocument/2006/relationships/hyperlink" Id="rId150" Target="https://greenbone.github.io/docs/latest/" TargetMode="External" /><Relationship Type="http://schemas.openxmlformats.org/officeDocument/2006/relationships/hyperlink" Id="rId135" Target="https://intuitem.github.io/ciso-assistant-community/" TargetMode="External" /><Relationship Type="http://schemas.openxmlformats.org/officeDocument/2006/relationships/hyperlink" Id="rId148" Target="https://nmap.org/" TargetMode="External" /><Relationship Type="http://schemas.openxmlformats.org/officeDocument/2006/relationships/hyperlink" Id="rId205" Target="https://pages.nist.gov/OSCAL/" TargetMode="External" /><Relationship Type="http://schemas.openxmlformats.org/officeDocument/2006/relationships/hyperlink" Id="rId152" Target="https://trivy.dev/" TargetMode="External" /><Relationship Type="http://schemas.openxmlformats.org/officeDocument/2006/relationships/hyperlink" Id="rId143" Target="https://wazuh.com/" TargetMode="External" /><Relationship Type="http://schemas.openxmlformats.org/officeDocument/2006/relationships/hyperlink" Id="rId158" Target="https://www.defectdojo.org/" TargetMode="External" /><Relationship Type="http://schemas.openxmlformats.org/officeDocument/2006/relationships/hyperlink" Id="rId156" Target="https://www.keycloak.org/" TargetMode="External" /><Relationship Type="http://schemas.openxmlformats.org/officeDocument/2006/relationships/hyperlink" Id="rId145" Target="https://www.open-scap.org/" TargetMode="External" /><Relationship Type="http://schemas.openxmlformats.org/officeDocument/2006/relationships/hyperlink" Id="rId160" Target="https://www.openpolicyagent.org/" TargetMode="External" /><Relationship Type="http://schemas.openxmlformats.org/officeDocument/2006/relationships/hyperlink" Id="rId146" Target="https://www.osquery.io/" TargetMode="External" /><Relationship Type="http://schemas.openxmlformats.org/officeDocument/2006/relationships/hyperlink" Id="rId154" Target="https://www.zaproxy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1" Target="https://csrc.nist.gov/News/2025/nist-releases-revision-to-sp-800-53-controls" TargetMode="External" /><Relationship Type="http://schemas.openxmlformats.org/officeDocument/2006/relationships/hyperlink" Id="rId127" Target="https://csrc.nist.gov/projects/cprt/catalog" TargetMode="External" /><Relationship Type="http://schemas.openxmlformats.org/officeDocument/2006/relationships/hyperlink" Id="rId196" Target="https://csrc.nist.gov/projects/risk-management" TargetMode="External" /><Relationship Type="http://schemas.openxmlformats.org/officeDocument/2006/relationships/hyperlink" Id="rId207" Target="https://csrc.nist.gov/projects/risk-management/rmf-courses" TargetMode="External" /><Relationship Type="http://schemas.openxmlformats.org/officeDocument/2006/relationships/hyperlink" Id="rId206" Target="https://csrc.nist.gov/projects/risk-management/sp800-53-controls/downloads" TargetMode="External" /><Relationship Type="http://schemas.openxmlformats.org/officeDocument/2006/relationships/hyperlink" Id="rId202" Target="https://csrc.nist.gov/pubs/sp/800/18/r2/final" TargetMode="External" /><Relationship Type="http://schemas.openxmlformats.org/officeDocument/2006/relationships/hyperlink" Id="rId203" Target="https://csrc.nist.gov/pubs/sp/800/30/r1/final" TargetMode="External" /><Relationship Type="http://schemas.openxmlformats.org/officeDocument/2006/relationships/hyperlink" Id="rId197" Target="https://csrc.nist.gov/pubs/sp/800/37/r2/final" TargetMode="External" /><Relationship Type="http://schemas.openxmlformats.org/officeDocument/2006/relationships/hyperlink" Id="rId204" Target="https://csrc.nist.gov/pubs/sp/800/39/final" TargetMode="External" /><Relationship Type="http://schemas.openxmlformats.org/officeDocument/2006/relationships/hyperlink" Id="rId199" Target="https://csrc.nist.gov/pubs/sp/800/53/a/r5/final" TargetMode="External" /><Relationship Type="http://schemas.openxmlformats.org/officeDocument/2006/relationships/hyperlink" Id="rId200" Target="https://csrc.nist.gov/pubs/sp/800/53/b/upd1/final" TargetMode="External" /><Relationship Type="http://schemas.openxmlformats.org/officeDocument/2006/relationships/hyperlink" Id="rId198" Target="https://csrc.nist.gov/pubs/sp/800/53/r5/upd1/final" TargetMode="External" /><Relationship Type="http://schemas.openxmlformats.org/officeDocument/2006/relationships/hyperlink" Id="rId133" Target="https://github.com/defenseunicorns/lula" TargetMode="External" /><Relationship Type="http://schemas.openxmlformats.org/officeDocument/2006/relationships/hyperlink" Id="rId137" Target="https://github.com/mitre/heimdall2" TargetMode="External" /><Relationship Type="http://schemas.openxmlformats.org/officeDocument/2006/relationships/hyperlink" Id="rId139" Target="https://github.com/opencontrol" TargetMode="External" /><Relationship Type="http://schemas.openxmlformats.org/officeDocument/2006/relationships/hyperlink" Id="rId131" Target="https://github.com/oscal-compass/compliance-trestle" TargetMode="External" /><Relationship Type="http://schemas.openxmlformats.org/officeDocument/2006/relationships/hyperlink" Id="rId141" Target="https://github.com/usnistgov/oscal-cli" TargetMode="External" /><Relationship Type="http://schemas.openxmlformats.org/officeDocument/2006/relationships/hyperlink" Id="rId129" Target="https://github.com/usnistgov/oscal-content" TargetMode="External" /><Relationship Type="http://schemas.openxmlformats.org/officeDocument/2006/relationships/hyperlink" Id="rId150" Target="https://greenbone.github.io/docs/latest/" TargetMode="External" /><Relationship Type="http://schemas.openxmlformats.org/officeDocument/2006/relationships/hyperlink" Id="rId135" Target="https://intuitem.github.io/ciso-assistant-community/" TargetMode="External" /><Relationship Type="http://schemas.openxmlformats.org/officeDocument/2006/relationships/hyperlink" Id="rId148" Target="https://nmap.org/" TargetMode="External" /><Relationship Type="http://schemas.openxmlformats.org/officeDocument/2006/relationships/hyperlink" Id="rId205" Target="https://pages.nist.gov/OSCAL/" TargetMode="External" /><Relationship Type="http://schemas.openxmlformats.org/officeDocument/2006/relationships/hyperlink" Id="rId152" Target="https://trivy.dev/" TargetMode="External" /><Relationship Type="http://schemas.openxmlformats.org/officeDocument/2006/relationships/hyperlink" Id="rId143" Target="https://wazuh.com/" TargetMode="External" /><Relationship Type="http://schemas.openxmlformats.org/officeDocument/2006/relationships/hyperlink" Id="rId158" Target="https://www.defectdojo.org/" TargetMode="External" /><Relationship Type="http://schemas.openxmlformats.org/officeDocument/2006/relationships/hyperlink" Id="rId156" Target="https://www.keycloak.org/" TargetMode="External" /><Relationship Type="http://schemas.openxmlformats.org/officeDocument/2006/relationships/hyperlink" Id="rId145" Target="https://www.open-scap.org/" TargetMode="External" /><Relationship Type="http://schemas.openxmlformats.org/officeDocument/2006/relationships/hyperlink" Id="rId160" Target="https://www.openpolicyagent.org/" TargetMode="External" /><Relationship Type="http://schemas.openxmlformats.org/officeDocument/2006/relationships/hyperlink" Id="rId146" Target="https://www.osquery.io/" TargetMode="External" /><Relationship Type="http://schemas.openxmlformats.org/officeDocument/2006/relationships/hyperlink" Id="rId154" Target="https://www.zaproxy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2026-07-31T01:50:59Z</dcterms:created>
  <dcterms:modified xsi:type="dcterms:W3CDTF">2026-07-31T01:50:59Z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