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53 — Privacidad de IA y Gobernanza de Datos</w:t>
      </w:r>
    </w:p>
    <w:p>
      <w:pPr>
        <w:spacing w:after="120"/>
      </w:pPr>
      <w:r>
        <w:t>Fuente controlada de publicación — español latinoamericano</w:t>
      </w:r>
    </w:p>
    <w:p>
      <w:pPr>
        <w:spacing w:after="120"/>
      </w:pPr>
      <w:r>
        <w:t>Fecha de verificación: 1 de septiembre de 2026</w:t>
      </w:r>
    </w:p>
    <w:p>
      <w:pPr>
        <w:spacing w:after="120"/>
      </w:pPr>
      <w:r>
        <w:t>Estado de liberación: fuente candidata</w:t>
      </w:r>
    </w:p>
    <w:p>
      <w:pPr>
        <w:pStyle w:val="Heading2"/>
      </w:pPr>
      <w:r>
        <w:t>Propósito</w:t>
      </w:r>
    </w:p>
    <w:p>
      <w:pPr>
        <w:spacing w:after="120"/>
      </w:pPr>
      <w:r>
        <w:t>Este manual establece un modelo operativo práctico de privacidad y gobernanza de datos para sistemas de IA, incluyendo aprendizaje automático convencional, IA generativa, RAG/almacenes vectoriales y sistemas agénticos. Está diseñado para apoyar la implementación empresarial sin convertir obligaciones legales específicas de cada jurisdicción en una sola regla genérica de privacidad.</w:t>
      </w:r>
    </w:p>
    <w:p>
      <w:pPr>
        <w:pStyle w:val="Heading2"/>
      </w:pPr>
      <w:r>
        <w:t>Disciplina sobre el estado de las fuentes</w:t>
      </w:r>
    </w:p>
    <w:p>
      <w:pPr>
        <w:spacing w:after="120"/>
      </w:pPr>
      <w:r>
        <w:t>El NIST Privacy Framework es orientación voluntaria. Para esta edición, Privacy Framework 1.1 continúa como proyecto Initial Public Draft y no se presenta como reemplazo final de PF 1.0. Las leyes, guías regulatorias y obligaciones contractuales de cada jurisdicción conservan su propia aplicabilidad, definiciones, derechos, plazos y estado de cumplimiento. Un control empresarial común puede apoyar varios regímenes, pero no los vuelve equivalentes.</w:t>
      </w:r>
    </w:p>
    <w:p>
      <w:pPr>
        <w:pStyle w:val="Heading2"/>
      </w:pPr>
      <w:r>
        <w:t>Modelo operativo de privacidad y datos</w:t>
      </w:r>
    </w:p>
    <w:p>
      <w:pPr>
        <w:spacing w:after="120"/>
      </w:pPr>
      <w:r>
        <w:t>Caso de uso → fuente de datos → autorización/propósito → ingestión → preprocesamiento → entrenamiento/ajuste → límite del modelo/proveedor → prompt/contexto → RAG/almacén vectorial → herramientas/API → salida → registros/telemetría → retención/eliminación → evidencia de derechos/incidentes/cambios.</w:t>
      </w:r>
    </w:p>
    <w:p>
      <w:pPr>
        <w:pStyle w:val="Heading2"/>
      </w:pPr>
      <w:r>
        <w:t>PD-01 — Uso autorizado y limitación de propósito</w:t>
      </w:r>
    </w:p>
    <w:p>
      <w:pPr>
        <w:spacing w:after="120"/>
      </w:pPr>
      <w:r>
        <w:t>Documentar propósito empresarial, base jurídica o autorización aplicable, restricciones de origen, compatibilidad del uso y responsable antes de utilizar datos para entrenamiento, ajuste, RAG, evaluación, monitoreo o inferencia de producción.</w:t>
      </w:r>
    </w:p>
    <w:p>
      <w:pPr>
        <w:pStyle w:val="Heading2"/>
      </w:pPr>
      <w:r>
        <w:t>PD-02 — Inventario, procedencia y linaje de datos</w:t>
      </w:r>
    </w:p>
    <w:p>
      <w:pPr>
        <w:spacing w:after="120"/>
      </w:pPr>
      <w:r>
        <w:t>Mantener inventario trazable de conjuntos de datos, prompts, corpus, embeddings, almacenes vectoriales, datos de retroalimentación, conjuntos de evaluación y datos mantenidos por proveedores. Registrar fuente, propietario, base de adquisición, transformaciones, usos posteriores y restricciones materiales.</w:t>
      </w:r>
    </w:p>
    <w:p>
      <w:pPr>
        <w:pStyle w:val="Heading2"/>
      </w:pPr>
      <w:r>
        <w:t>PD-03 — Minimización y limitación de recolección</w:t>
      </w:r>
    </w:p>
    <w:p>
      <w:pPr>
        <w:spacing w:after="120"/>
      </w:pPr>
      <w:r>
        <w:t>Limitar datos personales, confidenciales y sensibles a lo necesario para el propósito aprobado. Evaluar atributos de menor riesgo, agregación, enmascaramiento, datos sintéticos o menor retención cuando permitan alcanzar el objetivo.</w:t>
      </w:r>
    </w:p>
    <w:p>
      <w:pPr>
        <w:pStyle w:val="Heading2"/>
      </w:pPr>
      <w:r>
        <w:t>PD-04 — Datos sensibles y categorías especiales</w:t>
      </w:r>
    </w:p>
    <w:p>
      <w:pPr>
        <w:spacing w:after="120"/>
      </w:pPr>
      <w:r>
        <w:t>Identificar datos sensibles, de categorías especiales, biométricos, de salud, financieros, ubicación precisa, menores y otros datos protegidos según los regímenes aplicables. Aplicar autorización, acceso, minimización, pruebas y escalamiento reforzados cuando corresponda.</w:t>
      </w:r>
    </w:p>
    <w:p>
      <w:pPr>
        <w:pStyle w:val="Heading2"/>
      </w:pPr>
      <w:r>
        <w:t>PD-05 — Calidad y representatividad de datos</w:t>
      </w:r>
    </w:p>
    <w:p>
      <w:pPr>
        <w:spacing w:after="120"/>
      </w:pPr>
      <w:r>
        <w:t>Definir criterios de aptitud para el propósito, limitaciones conocidas, datos faltantes, sesgo de muestreo, calidad de etiquetas y deriva. Conservar evidencia de que las decisiones de calidad fueron apropiadas para el caso de uso y las poblaciones afectadas.</w:t>
      </w:r>
    </w:p>
    <w:p>
      <w:pPr>
        <w:pStyle w:val="Heading2"/>
      </w:pPr>
      <w:r>
        <w:t>PD-06 — Gobernanza de datos de entrenamiento y ajuste</w:t>
      </w:r>
    </w:p>
    <w:p>
      <w:pPr>
        <w:spacing w:after="120"/>
      </w:pPr>
      <w:r>
        <w:t>Controlar datos de entrenamiento, fine-tuning y retroalimentación mediante fuentes aprobadas, procedencia, revisión de derechos/autorizaciones, versionado, integridad, retención y procedimientos de eliminación. Distinguir configuración de mejora del modelo del proveedor de entrenamiento controlado por la empresa.</w:t>
      </w:r>
    </w:p>
    <w:p>
      <w:pPr>
        <w:pStyle w:val="Heading2"/>
      </w:pPr>
      <w:r>
        <w:t>PD-07 — Límites de RAG y almacenes vectoriales</w:t>
      </w:r>
    </w:p>
    <w:p>
      <w:pPr>
        <w:spacing w:after="120"/>
      </w:pPr>
      <w:r>
        <w:t>Gobernar aprobación del corpus, procedencia documental, embeddings, filtros por rol/tenant, acceso al almacén vectorial, política de recuperación, fuentes obsoletas y propagación de eliminación. Recuperar un documento no demuestra que su uso sea autorizado o correcto.</w:t>
      </w:r>
    </w:p>
    <w:p>
      <w:pPr>
        <w:pStyle w:val="Heading2"/>
      </w:pPr>
      <w:r>
        <w:t>PD-08 — Autorización de recuperación y aislamiento</w:t>
      </w:r>
    </w:p>
    <w:p>
      <w:pPr>
        <w:spacing w:after="120"/>
      </w:pPr>
      <w:r>
        <w:t>Evaluar autorización en el momento de recuperación, no solo durante ingestión. Prevenir recuperación entre tenants, roles o propósitos y probar inyección indirecta y exfiltración iterativa que pueda revelar datos fuera de autorización.</w:t>
      </w:r>
    </w:p>
    <w:p>
      <w:pPr>
        <w:pStyle w:val="Heading2"/>
      </w:pPr>
      <w:r>
        <w:t>PD-09 — Retención y eliminación</w:t>
      </w:r>
    </w:p>
    <w:p>
      <w:pPr>
        <w:spacing w:after="120"/>
      </w:pPr>
      <w:r>
        <w:t>Definir reglas para datos fuente, prompts, salidas, logs, embeddings, almacenes vectoriales, cachés, copias de respaldo y copias del proveedor. Verificar propagación de eliminación y documentar limitaciones técnicas cuando la eliminación inmediata no sea viable.</w:t>
      </w:r>
    </w:p>
    <w:p>
      <w:pPr>
        <w:pStyle w:val="Heading2"/>
      </w:pPr>
      <w:r>
        <w:t>PD-10 — Transferencias internacionales y residencia</w:t>
      </w:r>
    </w:p>
    <w:p>
      <w:pPr>
        <w:spacing w:after="120"/>
      </w:pPr>
      <w:r>
        <w:t>Mapear origen, lugar de procesamiento, cadena de proveedores/subprocesadores, almacenamiento y mecanismo de transferencia cuando aplique. Conservar evaluaciones y salvaguardas específicas por jurisdicción, sin asumir que un control global satisface todos los regímenes.</w:t>
      </w:r>
    </w:p>
    <w:p>
      <w:pPr>
        <w:pStyle w:val="Heading2"/>
      </w:pPr>
      <w:r>
        <w:t>PD-11 — Soporte de derechos de las personas</w:t>
      </w:r>
    </w:p>
    <w:p>
      <w:pPr>
        <w:spacing w:after="120"/>
      </w:pPr>
      <w:r>
        <w:t>Cuando aplique, apoyar acceso, corrección, eliminación, oposición, restricción, apelación u otros derechos. Analizar implicaciones para modelo, entrenamiento, RAG, logs y proveedores y registrar cuándo una solicitud no puede cumplirse técnica o jurídicamente tal como fue formulada.</w:t>
      </w:r>
    </w:p>
    <w:p>
      <w:pPr>
        <w:pStyle w:val="Heading2"/>
      </w:pPr>
      <w:r>
        <w:t>PD-12 — Transparencia y avisos de privacidad</w:t>
      </w:r>
    </w:p>
    <w:p>
      <w:pPr>
        <w:spacing w:after="120"/>
      </w:pPr>
      <w:r>
        <w:t>Proporcionar avisos exactos sobre usos relevantes de datos, procesamiento de IA, proveedores, retención, decisiones automatizadas o apoyadas por IA y opciones materiales cuando sea requerido. No afirmar que todo uso de IA exige el mismo mecanismo de aviso o consentimiento.</w:t>
      </w:r>
    </w:p>
    <w:p>
      <w:pPr>
        <w:pStyle w:val="Heading2"/>
      </w:pPr>
      <w:r>
        <w:t>PD-13 — Integración de DPIA/PIA</w:t>
      </w:r>
    </w:p>
    <w:p>
      <w:pPr>
        <w:spacing w:after="120"/>
      </w:pPr>
      <w:r>
        <w:t>Aplicar evaluación de impacto de privacidad cuando sea requerida o adecuada al riesgo. Documentar personas afectadas, necesidad/proporcionalidad cuando corresponda, flujos de datos, amenazas, mitigaciones, riesgo residual, consultas, aprobaciones y disparadores de reevaluación.</w:t>
      </w:r>
    </w:p>
    <w:p>
      <w:pPr>
        <w:pStyle w:val="Heading2"/>
      </w:pPr>
      <w:r>
        <w:t>PD-14 — Integración con evaluación de impacto/riesgo de IA</w:t>
      </w:r>
    </w:p>
    <w:p>
      <w:pPr>
        <w:spacing w:after="120"/>
      </w:pPr>
      <w:r>
        <w:t>Compartir evidencia entre evaluaciones de privacidad y riesgo de IA manteniendo criterios de decisión separados. Relacionar daños de privacidad, equidad, amenazas de seguridad, supervisión humana, explicabilidad e impactos operativos sin sustituir una evaluación por otra.</w:t>
      </w:r>
    </w:p>
    <w:p>
      <w:pPr>
        <w:pStyle w:val="Heading2"/>
      </w:pPr>
      <w:r>
        <w:t>PD-15 — Desidentificación y riesgo de reidentificación</w:t>
      </w:r>
    </w:p>
    <w:p>
      <w:pPr>
        <w:spacing w:after="120"/>
      </w:pPr>
      <w:r>
        <w:t>Validar afirmaciones de anonimización, desidentificación, seudonimización o agregación frente a riesgos realistas de enlace e inferencia. No considerar datos transformados automáticamente fuera del alcance de privacidad sin análisis jurídico y técnico sustentable.</w:t>
      </w:r>
    </w:p>
    <w:p>
      <w:pPr>
        <w:pStyle w:val="Heading2"/>
      </w:pPr>
      <w:r>
        <w:t>PD-16 — Registro y observabilidad con preservación de privacidad</w:t>
      </w:r>
    </w:p>
    <w:p>
      <w:pPr>
        <w:spacing w:after="120"/>
      </w:pPr>
      <w:r>
        <w:t>Recolectar telemetría suficiente para seguridad, calidad y responsabilidad minimizando contenido personal o sensible innecesario. Definir redacción, acceso, retención, identificadores de correlación y reglas de preservación para incidentes.</w:t>
      </w:r>
    </w:p>
    <w:p>
      <w:pPr>
        <w:pStyle w:val="Heading2"/>
      </w:pPr>
      <w:r>
        <w:t>PD-17 — Gobernanza de datos de terceros y proveedores de modelos</w:t>
      </w:r>
    </w:p>
    <w:p>
      <w:pPr>
        <w:spacing w:after="120"/>
      </w:pPr>
      <w:r>
        <w:t>Evaluar roles del proveedor, uso de prompts/salidas, mejora del modelo, subprocesadores, alojamiento, retención, seguridad, incidentes, evidencia de auditoría, transferencias y requisitos de salida/eliminación. Reconciliar contratos con la configuración técnica real.</w:t>
      </w:r>
    </w:p>
    <w:p>
      <w:pPr>
        <w:pStyle w:val="Heading2"/>
      </w:pPr>
      <w:r>
        <w:t>PD-18 — Incidentes y brechas de privacidad</w:t>
      </w:r>
    </w:p>
    <w:p>
      <w:pPr>
        <w:spacing w:after="120"/>
      </w:pPr>
      <w:r>
        <w:t>Preservar datos, personas, sistemas, versiones de modelo/proveedor, prompts, eventos RAG, identidades y evidencia de contención. Realizar análisis de notificación específico por jurisdicción e integrar incidentes de privacidad con respuesta de seguridad e IA.</w:t>
      </w:r>
    </w:p>
    <w:p>
      <w:pPr>
        <w:pStyle w:val="Heading2"/>
      </w:pPr>
      <w:r>
        <w:t>PD-19 — Gestión de cambios y reevaluación</w:t>
      </w:r>
    </w:p>
    <w:p>
      <w:pPr>
        <w:spacing w:after="120"/>
      </w:pPr>
      <w:r>
        <w:t>Disparar reevaluación ante nuevas fuentes, propósitos, jurisdicciones, modelos/proveedores, corpus RAG, herramientas, permisos, configuraciones de retención o cambios materiales del procesamiento. Registrar aprobación, pruebas y disposición del riesgo residual.</w:t>
      </w:r>
    </w:p>
    <w:p>
      <w:pPr>
        <w:pStyle w:val="Heading2"/>
      </w:pPr>
      <w:r>
        <w:t>PD-20 — Aseguramiento, auditoría y reporte gerencial</w:t>
      </w:r>
    </w:p>
    <w:p>
      <w:pPr>
        <w:spacing w:after="120"/>
      </w:pPr>
      <w:r>
        <w:t>Probar evidencia de implementación, flujos de derechos, eliminación, límites de recuperación, controles de proveedor, calidad de evaluaciones y excepciones. Reportar riesgos residuales materiales, remediaciones vencidas, incidentes, problemas de transferencia y fallas recurrentes.</w:t>
      </w:r>
    </w:p>
    <w:p>
      <w:pPr>
        <w:pStyle w:val="Heading2"/>
      </w:pPr>
      <w:r>
        <w:t>Escenarios prácticos</w:t>
      </w:r>
    </w:p>
    <w:p>
      <w:pPr>
        <w:pStyle w:val="Heading3"/>
      </w:pPr>
      <w:r>
        <w:t>Escenario 1 — Asistente GenAI global con RAG interno</w:t>
      </w:r>
    </w:p>
    <w:p>
      <w:pPr>
        <w:spacing w:after="120"/>
      </w:pPr>
      <w:r>
        <w:t>Rastrear procedencia documental, sensibilidad de datos, límites de acceso, retención de embeddings/vector, restricciones de entrenamiento del proveedor, alojamiento internacional, propagación de eliminación y logs de recuperación. Separar evidencia empresarial común de obligaciones específicas por jurisdicción.</w:t>
      </w:r>
    </w:p>
    <w:p>
      <w:pPr>
        <w:pStyle w:val="Heading3"/>
      </w:pPr>
      <w:r>
        <w:t>Escenario 2 — Modelo entrenado con datos históricos de clientes</w:t>
      </w:r>
    </w:p>
    <w:p>
      <w:pPr>
        <w:spacing w:after="120"/>
      </w:pPr>
      <w:r>
        <w:t>Validar propósito original, autorización, minimización, datos sensibles, retención, representatividad, afirmaciones de desidentificación y riesgos posteriores. Determinar si se requiere reentrenamiento, exclusión o eliminación por retiro de fuente o ejercicio de derechos.</w:t>
      </w:r>
    </w:p>
    <w:p>
      <w:pPr>
        <w:pStyle w:val="Heading3"/>
      </w:pPr>
      <w:r>
        <w:t>Escenario 3 — Decisión laboral apoyada por IA</w:t>
      </w:r>
    </w:p>
    <w:p>
      <w:pPr>
        <w:spacing w:after="120"/>
      </w:pPr>
      <w:r>
        <w:t>Combinar análisis de privacidad/laboral, evaluación de impacto de IA, minimización, atributos sensibles o inferidos, revisión humana, explicación/apelación, retención y responsabilidad del proveedor.</w:t>
      </w:r>
    </w:p>
    <w:p>
      <w:pPr>
        <w:pStyle w:val="Heading3"/>
      </w:pPr>
      <w:r>
        <w:t>Escenario 4 — Proveedor externo de modelo fundacional</w:t>
      </w:r>
    </w:p>
    <w:p>
      <w:pPr>
        <w:spacing w:after="120"/>
      </w:pPr>
      <w:r>
        <w:t>Documentar rol del proveedor cuando aplique, uso de prompts/salidas, subprocesadores, alojamiento, retención, seguridad, incidentes, mejora del modelo y requisitos de salida/eliminación.</w:t>
      </w:r>
    </w:p>
    <w:p>
      <w:pPr>
        <w:pStyle w:val="Heading3"/>
      </w:pPr>
      <w:r>
        <w:t>Escenario 5 — Nueva jurisdicción después del despliegue</w:t>
      </w:r>
    </w:p>
    <w:p>
      <w:pPr>
        <w:spacing w:after="120"/>
      </w:pPr>
      <w:r>
        <w:t>Activar revisión de aplicabilidad, transferencias, avisos/derechos, retención local, ubicación del proveedor y nueva aprobación antes de ampliar el uso cuando corresponda.</w:t>
      </w:r>
    </w:p>
    <w:p>
      <w:pPr>
        <w:pStyle w:val="Heading2"/>
      </w:pPr>
      <w:r>
        <w:t>Registro de evidencia</w:t>
      </w:r>
    </w:p>
    <w:p>
      <w:pPr>
        <w:pStyle w:val="ListBullet"/>
      </w:pPr>
      <w:r>
        <w:t>PD-E01 Inventario de datos de IA.</w:t>
      </w:r>
    </w:p>
    <w:p>
      <w:pPr>
        <w:pStyle w:val="ListBullet"/>
      </w:pPr>
      <w:r>
        <w:t>PD-E02 Registro de procedencia y linaje.</w:t>
      </w:r>
    </w:p>
    <w:p>
      <w:pPr>
        <w:pStyle w:val="ListBullet"/>
      </w:pPr>
      <w:r>
        <w:t>PD-E03 Evaluación de uso autorizado y propósito.</w:t>
      </w:r>
    </w:p>
    <w:p>
      <w:pPr>
        <w:pStyle w:val="ListBullet"/>
      </w:pPr>
      <w:r>
        <w:t>PD-E04 DPIA/PIA y evaluación de impacto de IA.</w:t>
      </w:r>
    </w:p>
    <w:p>
      <w:pPr>
        <w:pStyle w:val="ListBullet"/>
      </w:pPr>
      <w:r>
        <w:t>PD-E05 Registro de controles de datos sensibles.</w:t>
      </w:r>
    </w:p>
    <w:p>
      <w:pPr>
        <w:pStyle w:val="ListBullet"/>
      </w:pPr>
      <w:r>
        <w:t>PD-E06 Registro de gobernanza RAG/vector.</w:t>
      </w:r>
    </w:p>
    <w:p>
      <w:pPr>
        <w:pStyle w:val="ListBullet"/>
      </w:pPr>
      <w:r>
        <w:t>PD-E07 Evidencia de respuesta a derechos.</w:t>
      </w:r>
    </w:p>
    <w:p>
      <w:pPr>
        <w:pStyle w:val="ListBullet"/>
      </w:pPr>
      <w:r>
        <w:t>PD-E08 Evaluación de transferencia internacional.</w:t>
      </w:r>
    </w:p>
    <w:p>
      <w:pPr>
        <w:pStyle w:val="ListBullet"/>
      </w:pPr>
      <w:r>
        <w:t>PD-E09 Evaluación de datos de terceros.</w:t>
      </w:r>
    </w:p>
    <w:p>
      <w:pPr>
        <w:pStyle w:val="ListBullet"/>
      </w:pPr>
      <w:r>
        <w:t>PD-E10 Verificación de retención/eliminación.</w:t>
      </w:r>
    </w:p>
    <w:p>
      <w:pPr>
        <w:pStyle w:val="ListBullet"/>
      </w:pPr>
      <w:r>
        <w:t>PD-E11 Registro de incidente de privacidad.</w:t>
      </w:r>
    </w:p>
    <w:p>
      <w:pPr>
        <w:pStyle w:val="ListBullet"/>
      </w:pPr>
      <w:r>
        <w:t>PD-E12 Registro de cambio/reevaluación.</w:t>
      </w:r>
    </w:p>
    <w:p>
      <w:pPr>
        <w:pStyle w:val="Heading2"/>
      </w:pPr>
      <w:r>
        <w:t>Regla de liberación</w:t>
      </w:r>
    </w:p>
    <w:p>
      <w:pPr>
        <w:spacing w:after="120"/>
      </w:pPr>
      <w:r>
        <w:t>Un control de privacidad no es efectivo solo porque exista una política. La efectividad requiere evidencia de implementación, aplicabilidad calificada por jurisdicción, pruebas, manejo de excepciones y disposición del riesgo residual. Cambios legales, técnicos o de proveedor materiales requieren reevaluación.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