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26 — Incident Response &amp; Cyber Crisis Management Controlled Implementation</w:t>
      </w:r>
    </w:p>
    <w:p>
      <w:pPr>
        <w:spacing w:after="120"/>
      </w:pPr>
      <w:r>
        <w:t>Source baseline: NIST SP 800-61 Rev. 3 (final, April 2025) supersedes Rev. 2 and aligns incident response with CSF 2.0. CISA and jurisdiction-specific notification guidance are supporting/overlay sources and must not be treated as universally binding. Recheck current source state before release.</w:t>
      </w:r>
    </w:p>
    <w:p>
      <w:pPr>
        <w:pStyle w:val="Heading2"/>
      </w:pPr>
      <w:r>
        <w:t>01. Purpose, scope, and assurance boundary</w:t>
      </w:r>
    </w:p>
    <w:p>
      <w:pPr>
        <w:spacing w:after="120"/>
      </w:pPr>
      <w:r>
        <w:t>Define a practical incident-response and cyber-crisis operating model without implying universal legal sufficiency, breach reportability, or audit opinion.</w:t>
      </w:r>
    </w:p>
    <w:p>
      <w:pPr>
        <w:pStyle w:val="Heading2"/>
      </w:pPr>
      <w:r>
        <w:t>02. Source hierarchy and version control</w:t>
      </w:r>
    </w:p>
    <w:p>
      <w:pPr>
        <w:spacing w:after="120"/>
      </w:pPr>
      <w:r>
        <w:t>Separate NIST guidance, CISA guidance, regulatory notification rules, contractual obligations, sector overlays, insurer requirements, and internal policy.</w:t>
      </w:r>
    </w:p>
    <w:p>
      <w:pPr>
        <w:pStyle w:val="Heading2"/>
      </w:pPr>
      <w:r>
        <w:t>03. Governance and executive accountability</w:t>
      </w:r>
    </w:p>
    <w:p>
      <w:pPr>
        <w:spacing w:after="120"/>
      </w:pPr>
      <w:r>
        <w:t>Assign executive sponsor, incident commander, crisis leader, legal/privacy roles, communications authority, business owners, and evidence accountability.</w:t>
      </w:r>
    </w:p>
    <w:p>
      <w:pPr>
        <w:pStyle w:val="Heading2"/>
      </w:pPr>
      <w:r>
        <w:t>04. Incident response policy</w:t>
      </w:r>
    </w:p>
    <w:p>
      <w:pPr>
        <w:spacing w:after="120"/>
      </w:pPr>
      <w:r>
        <w:t>Define policy scope, authority, severity thresholds, escalation, evidence, communications, recovery, lessons learned, and governance requirements.</w:t>
      </w:r>
    </w:p>
    <w:p>
      <w:pPr>
        <w:pStyle w:val="Heading2"/>
      </w:pPr>
      <w:r>
        <w:t>05. Organizational preparation</w:t>
      </w:r>
    </w:p>
    <w:p>
      <w:pPr>
        <w:spacing w:after="120"/>
      </w:pPr>
      <w:r>
        <w:t>Maintain readiness across people, process, tooling, logging, contact data, access, backups, forensic capability, vendors, and decision support.</w:t>
      </w:r>
    </w:p>
    <w:p>
      <w:pPr>
        <w:pStyle w:val="Heading2"/>
      </w:pPr>
      <w:r>
        <w:t>06. Asset, service, and dependency context</w:t>
      </w:r>
    </w:p>
    <w:p>
      <w:pPr>
        <w:spacing w:after="120"/>
      </w:pPr>
      <w:r>
        <w:t>Link incident response to critical services, assets, identities, applications, cloud services, suppliers, facilities, and business processes.</w:t>
      </w:r>
    </w:p>
    <w:p>
      <w:pPr>
        <w:pStyle w:val="Heading2"/>
      </w:pPr>
      <w:r>
        <w:t>07. Threat and scenario planning</w:t>
      </w:r>
    </w:p>
    <w:p>
      <w:pPr>
        <w:spacing w:after="120"/>
      </w:pPr>
      <w:r>
        <w:t>Maintain scenario libraries for ransomware, data theft, account compromise, cloud abuse, supply-chain events, destructive malware, insider misuse, and service disruption.</w:t>
      </w:r>
    </w:p>
    <w:p>
      <w:pPr>
        <w:pStyle w:val="Heading2"/>
      </w:pPr>
      <w:r>
        <w:t>08. Detection and event intake</w:t>
      </w:r>
    </w:p>
    <w:p>
      <w:pPr>
        <w:spacing w:after="120"/>
      </w:pPr>
      <w:r>
        <w:t>Define monitored sources, alert triage, user/vendor reporting, escalation channels, minimum intake data, and evidence preservation.</w:t>
      </w:r>
    </w:p>
    <w:p>
      <w:pPr>
        <w:pStyle w:val="Heading2"/>
      </w:pPr>
      <w:r>
        <w:t>09. Triage and initial analysis</w:t>
      </w:r>
    </w:p>
    <w:p>
      <w:pPr>
        <w:spacing w:after="120"/>
      </w:pPr>
      <w:r>
        <w:t>Assess credibility, scope, affected services, indicators, likely impact, uncertainty, and immediate containment needs.</w:t>
      </w:r>
    </w:p>
    <w:p>
      <w:pPr>
        <w:pStyle w:val="Heading2"/>
      </w:pPr>
      <w:r>
        <w:t>10. Incident declaration and severity</w:t>
      </w:r>
    </w:p>
    <w:p>
      <w:pPr>
        <w:spacing w:after="120"/>
      </w:pPr>
      <w:r>
        <w:t>Use documented declaration criteria and severity levels tied to impact, spread, legal/regulatory triggers, customer harm, safety, and executive attention.</w:t>
      </w:r>
    </w:p>
    <w:p>
      <w:pPr>
        <w:pStyle w:val="Heading2"/>
      </w:pPr>
      <w:r>
        <w:t>11. Incident command structure</w:t>
      </w:r>
    </w:p>
    <w:p>
      <w:pPr>
        <w:spacing w:after="120"/>
      </w:pPr>
      <w:r>
        <w:t>Define operational command, specialist workstreams, decision authority, handoffs, battle rhythm, and command-log requirements.</w:t>
      </w:r>
    </w:p>
    <w:p>
      <w:pPr>
        <w:pStyle w:val="Heading2"/>
      </w:pPr>
      <w:r>
        <w:t>12. Crisis-management integration</w:t>
      </w:r>
    </w:p>
    <w:p>
      <w:pPr>
        <w:spacing w:after="120"/>
      </w:pPr>
      <w:r>
        <w:t>Escalate from incident handling to enterprise crisis governance when business, legal, safety, reputational, geopolitical, or executive thresholds are met.</w:t>
      </w:r>
    </w:p>
    <w:p>
      <w:pPr>
        <w:pStyle w:val="Heading2"/>
      </w:pPr>
      <w:r>
        <w:t>13. Investigation and evidence preservation</w:t>
      </w:r>
    </w:p>
    <w:p>
      <w:pPr>
        <w:spacing w:after="120"/>
      </w:pPr>
      <w:r>
        <w:t>Preserve logs, images, artifacts, timelines, chain-of-custody records, analyst notes, and decision evidence proportionate to legal and operational needs.</w:t>
      </w:r>
    </w:p>
    <w:p>
      <w:pPr>
        <w:pStyle w:val="Heading2"/>
      </w:pPr>
      <w:r>
        <w:t>14. Containment strategy</w:t>
      </w:r>
    </w:p>
    <w:p>
      <w:pPr>
        <w:spacing w:after="120"/>
      </w:pPr>
      <w:r>
        <w:t>Select short- and long-term containment actions using impact, attacker persistence, business criticality, safety, customer harm, and recovery constraints.</w:t>
      </w:r>
    </w:p>
    <w:p>
      <w:pPr>
        <w:pStyle w:val="Heading2"/>
      </w:pPr>
      <w:r>
        <w:t>15. Eradication and root-cause analysis</w:t>
      </w:r>
    </w:p>
    <w:p>
      <w:pPr>
        <w:spacing w:after="120"/>
      </w:pPr>
      <w:r>
        <w:t>Remove malicious presence, correct exploited weaknesses, invalidate compromised credentials, remediate persistence, and document causal factors.</w:t>
      </w:r>
    </w:p>
    <w:p>
      <w:pPr>
        <w:pStyle w:val="Heading2"/>
      </w:pPr>
      <w:r>
        <w:t>16. Recovery planning</w:t>
      </w:r>
    </w:p>
    <w:p>
      <w:pPr>
        <w:spacing w:after="120"/>
      </w:pPr>
      <w:r>
        <w:t>Define restoration order, clean-state criteria, security validation, business-owner acceptance, monitoring, rollback, and residual-risk decisions.</w:t>
      </w:r>
    </w:p>
    <w:p>
      <w:pPr>
        <w:pStyle w:val="Heading2"/>
      </w:pPr>
      <w:r>
        <w:t>17. Identity and access recovery</w:t>
      </w:r>
    </w:p>
    <w:p>
      <w:pPr>
        <w:spacing w:after="120"/>
      </w:pPr>
      <w:r>
        <w:t>Address credential reset, token revocation, privileged access, break-glass controls, federation, service accounts, and identity-provider compromise.</w:t>
      </w:r>
    </w:p>
    <w:p>
      <w:pPr>
        <w:pStyle w:val="Heading2"/>
      </w:pPr>
      <w:r>
        <w:t>18. Ransomware and extortion response</w:t>
      </w:r>
    </w:p>
    <w:p>
      <w:pPr>
        <w:spacing w:after="120"/>
      </w:pPr>
      <w:r>
        <w:t>Define decision governance for encryption, data theft, extortion, law enforcement, insurer, legal, communications, restoration, and sanctions-related review without prescribing payment decisions.</w:t>
      </w:r>
    </w:p>
    <w:p>
      <w:pPr>
        <w:pStyle w:val="Heading2"/>
      </w:pPr>
      <w:r>
        <w:t>19. Data breach and privacy incident coordination</w:t>
      </w:r>
    </w:p>
    <w:p>
      <w:pPr>
        <w:spacing w:after="120"/>
      </w:pPr>
      <w:r>
        <w:t>Coordinate privacy, legal, security, records, customer, regulator, and jurisdiction-specific assessment while preserving distinct reportability tests.</w:t>
      </w:r>
    </w:p>
    <w:p>
      <w:pPr>
        <w:pStyle w:val="Heading2"/>
      </w:pPr>
      <w:r>
        <w:t>20. Regulatory and contractual notification</w:t>
      </w:r>
    </w:p>
    <w:p>
      <w:pPr>
        <w:spacing w:after="120"/>
      </w:pPr>
      <w:r>
        <w:t>Maintain a jurisdiction- and obligation-aware notification matrix with trigger, timing, authority, owner, content, evidence, and change-control fields.</w:t>
      </w:r>
    </w:p>
    <w:p>
      <w:pPr>
        <w:pStyle w:val="Heading2"/>
      </w:pPr>
      <w:r>
        <w:t>21. Third-party and supply-chain incidents</w:t>
      </w:r>
    </w:p>
    <w:p>
      <w:pPr>
        <w:spacing w:after="120"/>
      </w:pPr>
      <w:r>
        <w:t>Define supplier notification, evidence, containment coordination, alternate service, contractual escalation, assurance, and concentration-risk response.</w:t>
      </w:r>
    </w:p>
    <w:p>
      <w:pPr>
        <w:pStyle w:val="Heading2"/>
      </w:pPr>
      <w:r>
        <w:t>22. Cloud and SaaS incidents</w:t>
      </w:r>
    </w:p>
    <w:p>
      <w:pPr>
        <w:spacing w:after="120"/>
      </w:pPr>
      <w:r>
        <w:t>Address shared responsibility, provider logs, tenant isolation, identity, API abuse, region impacts, evidence access, provider escalation, and recovery dependencies.</w:t>
      </w:r>
    </w:p>
    <w:p>
      <w:pPr>
        <w:pStyle w:val="Heading2"/>
      </w:pPr>
      <w:r>
        <w:t>23. OT/ICS and safety-sensitive incidents</w:t>
      </w:r>
    </w:p>
    <w:p>
      <w:pPr>
        <w:spacing w:after="120"/>
      </w:pPr>
      <w:r>
        <w:t>Preserve safety, reliability, engineering authority, process constraints, evidence, vendor coordination, and sector-specific escalation over purely IT-centric actions.</w:t>
      </w:r>
    </w:p>
    <w:p>
      <w:pPr>
        <w:pStyle w:val="Heading2"/>
      </w:pPr>
      <w:r>
        <w:t>24. Communications and stakeholder management</w:t>
      </w:r>
    </w:p>
    <w:p>
      <w:pPr>
        <w:spacing w:after="120"/>
      </w:pPr>
      <w:r>
        <w:t>Define internal communications, customer notices, media response, spokesperson authority, message approval, rumor control, and executive briefings.</w:t>
      </w:r>
    </w:p>
    <w:p>
      <w:pPr>
        <w:pStyle w:val="Heading2"/>
      </w:pPr>
      <w:r>
        <w:t>25. Decision logging and crisis records</w:t>
      </w:r>
    </w:p>
    <w:p>
      <w:pPr>
        <w:spacing w:after="120"/>
      </w:pPr>
      <w:r>
        <w:t>Maintain time-stamped decisions, assumptions, evidence considered, approvers, alternatives, residual risks, and follow-up actions.</w:t>
      </w:r>
    </w:p>
    <w:p>
      <w:pPr>
        <w:pStyle w:val="Heading2"/>
      </w:pPr>
      <w:r>
        <w:t>26. Legal privilege and investigation boundaries</w:t>
      </w:r>
    </w:p>
    <w:p>
      <w:pPr>
        <w:spacing w:after="120"/>
      </w:pPr>
      <w:r>
        <w:t>Coordinate counsel-led decisions where appropriate without assuming privilege automatically applies; separate operational facts from legal conclusions.</w:t>
      </w:r>
    </w:p>
    <w:p>
      <w:pPr>
        <w:pStyle w:val="Heading2"/>
      </w:pPr>
      <w:r>
        <w:t>27. Business continuity and disaster recovery integration</w:t>
      </w:r>
    </w:p>
    <w:p>
      <w:pPr>
        <w:spacing w:after="120"/>
      </w:pPr>
      <w:r>
        <w:t>Link incident response to BCMS activation, disaster recovery, alternate operations, supplier continuity, and crisis-management thresholds.</w:t>
      </w:r>
    </w:p>
    <w:p>
      <w:pPr>
        <w:pStyle w:val="Heading2"/>
      </w:pPr>
      <w:r>
        <w:t>28. Exercises and simulations</w:t>
      </w:r>
    </w:p>
    <w:p>
      <w:pPr>
        <w:spacing w:after="120"/>
      </w:pPr>
      <w:r>
        <w:t>Run tabletop, technical, executive, supplier, ransomware, cloud, communications, and integrated crisis exercises with measurable objectives.</w:t>
      </w:r>
    </w:p>
    <w:p>
      <w:pPr>
        <w:pStyle w:val="Heading2"/>
      </w:pPr>
      <w:r>
        <w:t>29. Metrics and performance management</w:t>
      </w:r>
    </w:p>
    <w:p>
      <w:pPr>
        <w:spacing w:after="120"/>
      </w:pPr>
      <w:r>
        <w:t>Track detection, declaration, containment, eradication, recovery, recurrence, exercise findings, notification readiness, issue aging, and evidence completeness.</w:t>
      </w:r>
    </w:p>
    <w:p>
      <w:pPr>
        <w:pStyle w:val="Heading2"/>
      </w:pPr>
      <w:r>
        <w:t>30. Post-incident review and remediation</w:t>
      </w:r>
    </w:p>
    <w:p>
      <w:pPr>
        <w:spacing w:after="120"/>
      </w:pPr>
      <w:r>
        <w:t>Perform lessons learned, root-cause validation, control-gap analysis, action tracking, residual-risk acceptance, and closure verification.</w:t>
      </w:r>
    </w:p>
    <w:p>
      <w:pPr>
        <w:pStyle w:val="Heading2"/>
      </w:pPr>
      <w:r>
        <w:t>31. Assurance and management review</w:t>
      </w:r>
    </w:p>
    <w:p>
      <w:pPr>
        <w:spacing w:after="120"/>
      </w:pPr>
      <w:r>
        <w:t>Provide independent review and leadership oversight over readiness, incidents, exercises, metrics, findings, resources, and improvement priorities.</w:t>
      </w:r>
    </w:p>
    <w:p>
      <w:pPr>
        <w:pStyle w:val="Heading2"/>
      </w:pPr>
      <w:r>
        <w:t>32. Release, evidence, and implementation roadmap</w:t>
      </w:r>
    </w:p>
    <w:p>
      <w:pPr>
        <w:spacing w:after="120"/>
      </w:pPr>
      <w:r>
        <w:t>Package Essential / Structured / Enhanced implementation paths with source verification, localization, accessibility, provenance, checksums, workflow-security, exact candidate identity, and sequential release controls.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