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26 — Implementación Controlada de Respuesta a Incidentes y Gestión de Crisis Cibernéticas</w:t>
      </w:r>
    </w:p>
    <w:p>
      <w:r>
        <w:rPr>
          <w:b/>
        </w:rPr>
        <w:t>Traducción de proyecto es-419 — no oficial.</w:t>
      </w:r>
    </w:p>
    <w:p>
      <w:pPr>
        <w:spacing w:after="120"/>
      </w:pPr>
      <w:r>
        <w:t>Base de fuentes: NIST SP 800-61 Rev. 3 (final, abril de 2025) sustituye a Rev. 2 y alinea la respuesta a incidentes con CSF 2.0. La orientación de CISA y las reglas de notificación específicas por jurisdicción son fuentes de apoyo o superpuestas y no deben tratarse como universalmente vinculantes. Revalide el estado vigente de las fuentes antes de publicar.</w:t>
      </w:r>
    </w:p>
    <w:p>
      <w:pPr>
        <w:pStyle w:val="Heading2"/>
      </w:pPr>
      <w:r>
        <w:t>01. Propósito, alcance y límite de aseguramiento</w:t>
      </w:r>
    </w:p>
    <w:p>
      <w:pPr>
        <w:spacing w:after="120"/>
      </w:pPr>
      <w:r>
        <w:t>Defina un modelo práctico de operación para respuesta a incidentes y crisis cibernéticas sin implicar suficiencia jurídica universal, reportabilidad de brechas u opinión de auditoría.</w:t>
      </w:r>
    </w:p>
    <w:p>
      <w:pPr>
        <w:pStyle w:val="Heading2"/>
      </w:pPr>
      <w:r>
        <w:t>02. Jerarquía de fuentes y control de versiones</w:t>
      </w:r>
    </w:p>
    <w:p>
      <w:pPr>
        <w:spacing w:after="120"/>
      </w:pPr>
      <w:r>
        <w:t>Separe orientación de NIST, orientación de CISA, reglas regulatorias de notificación, obligaciones contractuales, capas sectoriales, requisitos de aseguradoras y políticas internas.</w:t>
      </w:r>
    </w:p>
    <w:p>
      <w:pPr>
        <w:pStyle w:val="Heading2"/>
      </w:pPr>
      <w:r>
        <w:t>03. Gobernanza y rendición de cuentas ejecutiva</w:t>
      </w:r>
    </w:p>
    <w:p>
      <w:pPr>
        <w:spacing w:after="120"/>
      </w:pPr>
      <w:r>
        <w:t>Asigne patrocinador ejecutivo, comandante del incidente, líder de crisis, roles jurídicos y de privacidad, autoridad de comunicaciones, responsables del negocio y responsabilidad sobre evidencia.</w:t>
      </w:r>
    </w:p>
    <w:p>
      <w:pPr>
        <w:pStyle w:val="Heading2"/>
      </w:pPr>
      <w:r>
        <w:t>04. Política de respuesta a incidentes</w:t>
      </w:r>
    </w:p>
    <w:p>
      <w:pPr>
        <w:spacing w:after="120"/>
      </w:pPr>
      <w:r>
        <w:t>Defina alcance, autoridad, umbrales de severidad, escalamiento, evidencia, comunicaciones, recuperación, lecciones aprendidas y requisitos de gobernanza.</w:t>
      </w:r>
    </w:p>
    <w:p>
      <w:pPr>
        <w:pStyle w:val="Heading2"/>
      </w:pPr>
      <w:r>
        <w:t>05. Preparación organizacional</w:t>
      </w:r>
    </w:p>
    <w:p>
      <w:pPr>
        <w:spacing w:after="120"/>
      </w:pPr>
      <w:r>
        <w:t>Mantenga preparación de personas, procesos, herramientas, registros, datos de contacto, accesos, respaldos, capacidad forense, proveedores y soporte para decisiones.</w:t>
      </w:r>
    </w:p>
    <w:p>
      <w:pPr>
        <w:pStyle w:val="Heading2"/>
      </w:pPr>
      <w:r>
        <w:t>06. Contexto de activos, servicios y dependencias</w:t>
      </w:r>
    </w:p>
    <w:p>
      <w:pPr>
        <w:spacing w:after="120"/>
      </w:pPr>
      <w:r>
        <w:t>Vincule la respuesta a incidentes con servicios críticos, activos, identidades, aplicaciones, servicios en nube, proveedores, instalaciones y procesos de negocio.</w:t>
      </w:r>
    </w:p>
    <w:p>
      <w:pPr>
        <w:pStyle w:val="Heading2"/>
      </w:pPr>
      <w:r>
        <w:t>07. Planificación de amenazas y escenarios</w:t>
      </w:r>
    </w:p>
    <w:p>
      <w:pPr>
        <w:spacing w:after="120"/>
      </w:pPr>
      <w:r>
        <w:t>Mantenga bibliotecas de escenarios para ransomware, robo de datos, compromiso de cuentas, abuso de nube, eventos de cadena de suministro, malware destructivo, uso indebido interno e interrupción de servicios.</w:t>
      </w:r>
    </w:p>
    <w:p>
      <w:pPr>
        <w:pStyle w:val="Heading2"/>
      </w:pPr>
      <w:r>
        <w:t>08. Detección e ingreso de eventos</w:t>
      </w:r>
    </w:p>
    <w:p>
      <w:pPr>
        <w:spacing w:after="120"/>
      </w:pPr>
      <w:r>
        <w:t>Defina fuentes monitoreadas, triage de alertas, reporte por usuarios/proveedores, canales de escalamiento, datos mínimos de ingreso y preservación de evidencia.</w:t>
      </w:r>
    </w:p>
    <w:p>
      <w:pPr>
        <w:pStyle w:val="Heading2"/>
      </w:pPr>
      <w:r>
        <w:t>09. Triage y análisis inicial</w:t>
      </w:r>
    </w:p>
    <w:p>
      <w:pPr>
        <w:spacing w:after="120"/>
      </w:pPr>
      <w:r>
        <w:t>Evalúe credibilidad, alcance, servicios afectados, indicadores, impacto probable, incertidumbre y necesidades inmediatas de contención.</w:t>
      </w:r>
    </w:p>
    <w:p>
      <w:pPr>
        <w:pStyle w:val="Heading2"/>
      </w:pPr>
      <w:r>
        <w:t>10. Declaración y severidad del incidente</w:t>
      </w:r>
    </w:p>
    <w:p>
      <w:pPr>
        <w:spacing w:after="120"/>
      </w:pPr>
      <w:r>
        <w:t>Use criterios documentados de declaración y niveles de severidad vinculados con impacto, propagación, disparadores jurídicos/regulatorios, daño a clientes, seguridad física y atención ejecutiva.</w:t>
      </w:r>
    </w:p>
    <w:p>
      <w:pPr>
        <w:pStyle w:val="Heading2"/>
      </w:pPr>
      <w:r>
        <w:t>11. Estructura de mando del incidente</w:t>
      </w:r>
    </w:p>
    <w:p>
      <w:pPr>
        <w:spacing w:after="120"/>
      </w:pPr>
      <w:r>
        <w:t>Defina mando operativo, frentes especializados, autoridad de decisión, transferencias, ritmo operativo y requisitos del registro de mando.</w:t>
      </w:r>
    </w:p>
    <w:p>
      <w:pPr>
        <w:pStyle w:val="Heading2"/>
      </w:pPr>
      <w:r>
        <w:t>12. Integración con gestión de crisis</w:t>
      </w:r>
    </w:p>
    <w:p>
      <w:pPr>
        <w:spacing w:after="120"/>
      </w:pPr>
      <w:r>
        <w:t>Escale desde manejo de incidentes hacia gobernanza de crisis empresarial cuando se alcancen umbrales de negocio, jurídicos, seguridad, reputación, geopolítica o ejecutivos.</w:t>
      </w:r>
    </w:p>
    <w:p>
      <w:pPr>
        <w:pStyle w:val="Heading2"/>
      </w:pPr>
      <w:r>
        <w:t>13. Investigación y preservación de evidencia</w:t>
      </w:r>
    </w:p>
    <w:p>
      <w:pPr>
        <w:spacing w:after="120"/>
      </w:pPr>
      <w:r>
        <w:t>Preserve registros, imágenes, artefactos, cronologías, registros de cadena de custodia, notas de analistas y evidencia de decisiones de forma proporcional a necesidades jurídicas y operativas.</w:t>
      </w:r>
    </w:p>
    <w:p>
      <w:pPr>
        <w:pStyle w:val="Heading2"/>
      </w:pPr>
      <w:r>
        <w:t>14. Estrategia de contención</w:t>
      </w:r>
    </w:p>
    <w:p>
      <w:pPr>
        <w:spacing w:after="120"/>
      </w:pPr>
      <w:r>
        <w:t>Seleccione acciones de contención de corto y largo plazo según impacto, persistencia del atacante, criticidad del negocio, seguridad, daño a clientes y restricciones de recuperación.</w:t>
      </w:r>
    </w:p>
    <w:p>
      <w:pPr>
        <w:pStyle w:val="Heading2"/>
      </w:pPr>
      <w:r>
        <w:t>15. Erradicación y análisis de causa raíz</w:t>
      </w:r>
    </w:p>
    <w:p>
      <w:pPr>
        <w:spacing w:after="120"/>
      </w:pPr>
      <w:r>
        <w:t>Elimine presencia maliciosa, corrija debilidades explotadas, invalide credenciales comprometidas, remueva persistencia y documente factores causales.</w:t>
      </w:r>
    </w:p>
    <w:p>
      <w:pPr>
        <w:pStyle w:val="Heading2"/>
      </w:pPr>
      <w:r>
        <w:t>16. Planificación de recuperación</w:t>
      </w:r>
    </w:p>
    <w:p>
      <w:pPr>
        <w:spacing w:after="120"/>
      </w:pPr>
      <w:r>
        <w:t>Defina orden de restauración, criterios de estado limpio, validación de seguridad, aceptación del responsable del negocio, monitoreo, reversión y decisiones sobre riesgo residual.</w:t>
      </w:r>
    </w:p>
    <w:p>
      <w:pPr>
        <w:pStyle w:val="Heading2"/>
      </w:pPr>
      <w:r>
        <w:t>17. Recuperación de identidad y acceso</w:t>
      </w:r>
    </w:p>
    <w:p>
      <w:pPr>
        <w:spacing w:after="120"/>
      </w:pPr>
      <w:r>
        <w:t>Aborde restablecimiento de credenciales, revocación de tokens, acceso privilegiado, controles de emergencia, federación, cuentas de servicio y compromiso del proveedor de identidad.</w:t>
      </w:r>
    </w:p>
    <w:p>
      <w:pPr>
        <w:pStyle w:val="Heading2"/>
      </w:pPr>
      <w:r>
        <w:t>18. Respuesta a ransomware y extorsión</w:t>
      </w:r>
    </w:p>
    <w:p>
      <w:pPr>
        <w:spacing w:after="120"/>
      </w:pPr>
      <w:r>
        <w:t>Defina gobernanza de decisiones para cifrado, robo de datos, extorsión, fuerzas del orden, aseguradora, asuntos jurídicos, comunicaciones, restauración y revisión relacionada con sanciones, sin prescribir decisiones de pago.</w:t>
      </w:r>
    </w:p>
    <w:p>
      <w:pPr>
        <w:pStyle w:val="Heading2"/>
      </w:pPr>
      <w:r>
        <w:t>19. Coordinación de brechas de datos e incidentes de privacidad</w:t>
      </w:r>
    </w:p>
    <w:p>
      <w:pPr>
        <w:spacing w:after="120"/>
      </w:pPr>
      <w:r>
        <w:t>Coordine privacidad, asuntos jurídicos, seguridad, registros, clientes, reguladores y evaluación por jurisdicción, preservando pruebas diferenciadas de reportabilidad.</w:t>
      </w:r>
    </w:p>
    <w:p>
      <w:pPr>
        <w:pStyle w:val="Heading2"/>
      </w:pPr>
      <w:r>
        <w:t>20. Notificación regulatoria y contractual</w:t>
      </w:r>
    </w:p>
    <w:p>
      <w:pPr>
        <w:spacing w:after="120"/>
      </w:pPr>
      <w:r>
        <w:t>Mantenga una matriz de notificación consciente de jurisdicciones y obligaciones con campos de disparador, plazo, autoridad, responsable, contenido, evidencia y control de cambios.</w:t>
      </w:r>
    </w:p>
    <w:p>
      <w:pPr>
        <w:pStyle w:val="Heading2"/>
      </w:pPr>
      <w:r>
        <w:t>21. Incidentes de terceros y cadena de suministro</w:t>
      </w:r>
    </w:p>
    <w:p>
      <w:pPr>
        <w:spacing w:after="120"/>
      </w:pPr>
      <w:r>
        <w:t>Defina notificación de proveedores, evidencia, coordinación de contención, servicio alternativo, escalamiento contractual, aseguramiento y respuesta a riesgo de concentración.</w:t>
      </w:r>
    </w:p>
    <w:p>
      <w:pPr>
        <w:pStyle w:val="Heading2"/>
      </w:pPr>
      <w:r>
        <w:t>22. Incidentes en nube y SaaS</w:t>
      </w:r>
    </w:p>
    <w:p>
      <w:pPr>
        <w:spacing w:after="120"/>
      </w:pPr>
      <w:r>
        <w:t>Aborde responsabilidad compartida, registros del proveedor, aislamiento del tenant, identidad, abuso de API, impactos regionales, acceso a evidencia, escalamiento al proveedor y dependencias de recuperación.</w:t>
      </w:r>
    </w:p>
    <w:p>
      <w:pPr>
        <w:pStyle w:val="Heading2"/>
      </w:pPr>
      <w:r>
        <w:t>23. Incidentes OT/ICS y sensibles a la seguridad</w:t>
      </w:r>
    </w:p>
    <w:p>
      <w:pPr>
        <w:spacing w:after="120"/>
      </w:pPr>
      <w:r>
        <w:t>Preserve seguridad, confiabilidad, autoridad de ingeniería, restricciones del proceso, evidencia, coordinación con proveedores y escalamiento sectorial por encima de acciones puramente centradas en TI.</w:t>
      </w:r>
    </w:p>
    <w:p>
      <w:pPr>
        <w:pStyle w:val="Heading2"/>
      </w:pPr>
      <w:r>
        <w:t>24. Comunicaciones y gestión de partes interesadas</w:t>
      </w:r>
    </w:p>
    <w:p>
      <w:pPr>
        <w:spacing w:after="120"/>
      </w:pPr>
      <w:r>
        <w:t>Defina comunicaciones internas, avisos a clientes, respuesta a medios, autoridad del portavoz, aprobación de mensajes, control de rumores e informes ejecutivos.</w:t>
      </w:r>
    </w:p>
    <w:p>
      <w:pPr>
        <w:pStyle w:val="Heading2"/>
      </w:pPr>
      <w:r>
        <w:t>25. Registro de decisiones y expedientes de crisis</w:t>
      </w:r>
    </w:p>
    <w:p>
      <w:pPr>
        <w:spacing w:after="120"/>
      </w:pPr>
      <w:r>
        <w:t>Mantenga decisiones con sello de tiempo, supuestos, evidencia considerada, aprobadores, alternativas, riesgos residuales y acciones de seguimiento.</w:t>
      </w:r>
    </w:p>
    <w:p>
      <w:pPr>
        <w:pStyle w:val="Heading2"/>
      </w:pPr>
      <w:r>
        <w:t>26. Privilegio jurídico y límites de investigación</w:t>
      </w:r>
    </w:p>
    <w:p>
      <w:pPr>
        <w:spacing w:after="120"/>
      </w:pPr>
      <w:r>
        <w:t>Coordine decisiones lideradas por asesoría jurídica cuando corresponda sin asumir que el privilegio aplica automáticamente; separe hechos operativos de conclusiones jurídicas.</w:t>
      </w:r>
    </w:p>
    <w:p>
      <w:pPr>
        <w:pStyle w:val="Heading2"/>
      </w:pPr>
      <w:r>
        <w:t>27. Integración con continuidad del negocio y recuperación ante desastres</w:t>
      </w:r>
    </w:p>
    <w:p>
      <w:pPr>
        <w:spacing w:after="120"/>
      </w:pPr>
      <w:r>
        <w:t>Vincule respuesta a incidentes con activación del SGContinuidad, recuperación ante desastres, operaciones alternas, continuidad de proveedores y umbrales de gestión de crisis.</w:t>
      </w:r>
    </w:p>
    <w:p>
      <w:pPr>
        <w:pStyle w:val="Heading2"/>
      </w:pPr>
      <w:r>
        <w:t>28. Ejercicios y simulaciones</w:t>
      </w:r>
    </w:p>
    <w:p>
      <w:pPr>
        <w:spacing w:after="120"/>
      </w:pPr>
      <w:r>
        <w:t>Ejecute ejercicios de mesa, técnicos, ejecutivos, con proveedores, ransomware, nube, comunicaciones y crisis integradas con objetivos medibles.</w:t>
      </w:r>
    </w:p>
    <w:p>
      <w:pPr>
        <w:pStyle w:val="Heading2"/>
      </w:pPr>
      <w:r>
        <w:t>29. Métricas y gestión del desempeño</w:t>
      </w:r>
    </w:p>
    <w:p>
      <w:pPr>
        <w:spacing w:after="120"/>
      </w:pPr>
      <w:r>
        <w:t>Mida detección, declaración, contención, erradicación, recuperación, recurrencia, hallazgos de ejercicios, preparación para notificación, antigüedad de problemas e integridad de evidencia.</w:t>
      </w:r>
    </w:p>
    <w:p>
      <w:pPr>
        <w:pStyle w:val="Heading2"/>
      </w:pPr>
      <w:r>
        <w:t>30. Revisión posterior al incidente y remediación</w:t>
      </w:r>
    </w:p>
    <w:p>
      <w:pPr>
        <w:spacing w:after="120"/>
      </w:pPr>
      <w:r>
        <w:t>Realice lecciones aprendidas, validación de causa raíz, análisis de brechas de control, seguimiento de acciones, aceptación de riesgo residual y verificación de cierre.</w:t>
      </w:r>
    </w:p>
    <w:p>
      <w:pPr>
        <w:pStyle w:val="Heading2"/>
      </w:pPr>
      <w:r>
        <w:t>31. Aseguramiento y revisión por la dirección</w:t>
      </w:r>
    </w:p>
    <w:p>
      <w:pPr>
        <w:spacing w:after="120"/>
      </w:pPr>
      <w:r>
        <w:t>Proporcione revisión independiente y supervisión de liderazgo sobre preparación, incidentes, ejercicios, métricas, hallazgos, recursos y prioridades de mejora.</w:t>
      </w:r>
    </w:p>
    <w:p>
      <w:pPr>
        <w:pStyle w:val="Heading2"/>
      </w:pPr>
      <w:r>
        <w:t>32. Publicación, evidencia y hoja de ruta de implementación</w:t>
      </w:r>
    </w:p>
    <w:p>
      <w:pPr>
        <w:spacing w:after="120"/>
      </w:pPr>
      <w:r>
        <w:t>Empaquete rutas de implementación Esencial / Estructurada / Mejorada con verificación de fuentes, localización, accesibilidad, procedencia, checksums, seguridad de workflows, identidad exacta del candidato y controles de publicación secuencial.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