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26 — Implementação Controlada de Resposta a Incidentes e Gestão de Crises Cibernéticas</w:t>
      </w:r>
    </w:p>
    <w:p>
      <w:r>
        <w:rPr>
          <w:b/>
        </w:rPr>
        <w:t>Tradução de projeto pt-BR — não oficial.</w:t>
      </w:r>
    </w:p>
    <w:p>
      <w:pPr>
        <w:spacing w:after="120"/>
      </w:pPr>
      <w:r>
        <w:t>Base de fontes: NIST SP 800-61 Rev. 3 (final, abril de 2025) substitui a Rev. 2 e alinha a resposta a incidentes ao CSF 2.0. As orientações da CISA e as regras de notificação específicas por jurisdição são fontes de apoio ou sobreposição e não devem ser tratadas como universalmente vinculantes. Revalide o estado atual das fontes antes da publicação.</w:t>
      </w:r>
    </w:p>
    <w:p>
      <w:pPr>
        <w:pStyle w:val="Heading2"/>
      </w:pPr>
      <w:r>
        <w:t>01. Propósito, escopo e limite de assurance</w:t>
      </w:r>
    </w:p>
    <w:p>
      <w:pPr>
        <w:spacing w:after="120"/>
      </w:pPr>
      <w:r>
        <w:t>Defina um modelo prático de operação para resposta a incidentes e crises cibernéticas sem implicar suficiência jurídica universal, reportabilidade de violações ou opinião de auditoria.</w:t>
      </w:r>
    </w:p>
    <w:p>
      <w:pPr>
        <w:pStyle w:val="Heading2"/>
      </w:pPr>
      <w:r>
        <w:t>02. Hierarquia de fontes e controle de versões</w:t>
      </w:r>
    </w:p>
    <w:p>
      <w:pPr>
        <w:spacing w:after="120"/>
      </w:pPr>
      <w:r>
        <w:t>Separe orientações do NIST, orientações da CISA, regras regulatórias de notificação, obrigações contratuais, sobreposições setoriais, requisitos de seguradoras e política interna.</w:t>
      </w:r>
    </w:p>
    <w:p>
      <w:pPr>
        <w:pStyle w:val="Heading2"/>
      </w:pPr>
      <w:r>
        <w:t>03. Governança e responsabilização executiva</w:t>
      </w:r>
    </w:p>
    <w:p>
      <w:pPr>
        <w:spacing w:after="120"/>
      </w:pPr>
      <w:r>
        <w:t>Atribua patrocinador executivo, comandante do incidente, líder de crise, funções jurídicas e de privacidade, autoridade de comunicações, responsáveis de negócio e responsabilização por evidências.</w:t>
      </w:r>
    </w:p>
    <w:p>
      <w:pPr>
        <w:pStyle w:val="Heading2"/>
      </w:pPr>
      <w:r>
        <w:t>04. Política de resposta a incidentes</w:t>
      </w:r>
    </w:p>
    <w:p>
      <w:pPr>
        <w:spacing w:after="120"/>
      </w:pPr>
      <w:r>
        <w:t>Defina escopo, autoridade, limiares de severidade, escalonamento, evidências, comunicações, recuperação, lições aprendidas e requisitos de governança.</w:t>
      </w:r>
    </w:p>
    <w:p>
      <w:pPr>
        <w:pStyle w:val="Heading2"/>
      </w:pPr>
      <w:r>
        <w:t>05. Preparação organizacional</w:t>
      </w:r>
    </w:p>
    <w:p>
      <w:pPr>
        <w:spacing w:after="120"/>
      </w:pPr>
      <w:r>
        <w:t>Mantenha prontidão de pessoas, processos, ferramentas, registros, dados de contato, acessos, backups, capacidade forense, fornecedores e suporte à decisão.</w:t>
      </w:r>
    </w:p>
    <w:p>
      <w:pPr>
        <w:pStyle w:val="Heading2"/>
      </w:pPr>
      <w:r>
        <w:t>06. Contexto de ativos, serviços e dependências</w:t>
      </w:r>
    </w:p>
    <w:p>
      <w:pPr>
        <w:spacing w:after="120"/>
      </w:pPr>
      <w:r>
        <w:t>Vincule a resposta a incidentes a serviços críticos, ativos, identidades, aplicações, serviços em nuvem, fornecedores, instalações e processos de negócio.</w:t>
      </w:r>
    </w:p>
    <w:p>
      <w:pPr>
        <w:pStyle w:val="Heading2"/>
      </w:pPr>
      <w:r>
        <w:t>07. Planejamento de ameaças e cenários</w:t>
      </w:r>
    </w:p>
    <w:p>
      <w:pPr>
        <w:spacing w:after="120"/>
      </w:pPr>
      <w:r>
        <w:t>Mantenha bibliotecas de cenários para ransomware, roubo de dados, comprometimento de contas, abuso de nuvem, eventos de cadeia de suprimentos, malware destrutivo, uso indevido interno e interrupção de serviços.</w:t>
      </w:r>
    </w:p>
    <w:p>
      <w:pPr>
        <w:pStyle w:val="Heading2"/>
      </w:pPr>
      <w:r>
        <w:t>08. Detecção e entrada de eventos</w:t>
      </w:r>
    </w:p>
    <w:p>
      <w:pPr>
        <w:spacing w:after="120"/>
      </w:pPr>
      <w:r>
        <w:t>Defina fontes monitoradas, triagem de alertas, reporte por usuários/fornecedores, canais de escalonamento, dados mínimos de entrada e preservação de evidências.</w:t>
      </w:r>
    </w:p>
    <w:p>
      <w:pPr>
        <w:pStyle w:val="Heading2"/>
      </w:pPr>
      <w:r>
        <w:t>09. Triagem e análise inicial</w:t>
      </w:r>
    </w:p>
    <w:p>
      <w:pPr>
        <w:spacing w:after="120"/>
      </w:pPr>
      <w:r>
        <w:t>Avalie credibilidade, escopo, serviços afetados, indicadores, impacto provável, incerteza e necessidades imediatas de contenção.</w:t>
      </w:r>
    </w:p>
    <w:p>
      <w:pPr>
        <w:pStyle w:val="Heading2"/>
      </w:pPr>
      <w:r>
        <w:t>10. Declaração e severidade do incidente</w:t>
      </w:r>
    </w:p>
    <w:p>
      <w:pPr>
        <w:spacing w:after="120"/>
      </w:pPr>
      <w:r>
        <w:t>Use critérios documentados de declaração e níveis de severidade vinculados a impacto, propagação, gatilhos jurídicos/regulatórios, dano a clientes, segurança e atenção executiva.</w:t>
      </w:r>
    </w:p>
    <w:p>
      <w:pPr>
        <w:pStyle w:val="Heading2"/>
      </w:pPr>
      <w:r>
        <w:t>11. Estrutura de comando do incidente</w:t>
      </w:r>
    </w:p>
    <w:p>
      <w:pPr>
        <w:spacing w:after="120"/>
      </w:pPr>
      <w:r>
        <w:t>Defina comando operacional, frentes especializados, autoridade decisória, transições, ritmo operacional e requisitos do registro de comando.</w:t>
      </w:r>
    </w:p>
    <w:p>
      <w:pPr>
        <w:pStyle w:val="Heading2"/>
      </w:pPr>
      <w:r>
        <w:t>12. Integração com gestão de crises</w:t>
      </w:r>
    </w:p>
    <w:p>
      <w:pPr>
        <w:spacing w:after="120"/>
      </w:pPr>
      <w:r>
        <w:t>Escale do tratamento de incidentes para governança de crise empresarial quando forem atingidos limiares de negócio, jurídicos, de segurança, reputacionais, geopolíticos ou executivos.</w:t>
      </w:r>
    </w:p>
    <w:p>
      <w:pPr>
        <w:pStyle w:val="Heading2"/>
      </w:pPr>
      <w:r>
        <w:t>13. Investigação e preservação de evidências</w:t>
      </w:r>
    </w:p>
    <w:p>
      <w:pPr>
        <w:spacing w:after="120"/>
      </w:pPr>
      <w:r>
        <w:t>Preserve logs, imagens, artefatos, cronologias, registros de cadeia de custódia, notas de analistas e evidências de decisão proporcionais às necessidades jurídicas e operacionais.</w:t>
      </w:r>
    </w:p>
    <w:p>
      <w:pPr>
        <w:pStyle w:val="Heading2"/>
      </w:pPr>
      <w:r>
        <w:t>14. Estratégia de contenção</w:t>
      </w:r>
    </w:p>
    <w:p>
      <w:pPr>
        <w:spacing w:after="120"/>
      </w:pPr>
      <w:r>
        <w:t>Selecione ações de contenção de curto e longo prazo com base em impacto, persistência do invasor, criticidade do negócio, segurança, dano a clientes e restrições de recuperação.</w:t>
      </w:r>
    </w:p>
    <w:p>
      <w:pPr>
        <w:pStyle w:val="Heading2"/>
      </w:pPr>
      <w:r>
        <w:t>15. Erradicação e análise de causa raiz</w:t>
      </w:r>
    </w:p>
    <w:p>
      <w:pPr>
        <w:spacing w:after="120"/>
      </w:pPr>
      <w:r>
        <w:t>Remova presença maliciosa, corrija fragilidades exploradas, invalide credenciais comprometidas, elimine persistência e documente fatores causais.</w:t>
      </w:r>
    </w:p>
    <w:p>
      <w:pPr>
        <w:pStyle w:val="Heading2"/>
      </w:pPr>
      <w:r>
        <w:t>16. Planejamento de recuperação</w:t>
      </w:r>
    </w:p>
    <w:p>
      <w:pPr>
        <w:spacing w:after="120"/>
      </w:pPr>
      <w:r>
        <w:t>Defina ordem de restauração, critérios de estado limpo, validação de segurança, aceitação pelo responsável de negócio, monitoramento, rollback e decisões de risco residual.</w:t>
      </w:r>
    </w:p>
    <w:p>
      <w:pPr>
        <w:pStyle w:val="Heading2"/>
      </w:pPr>
      <w:r>
        <w:t>17. Recuperação de identidade e acesso</w:t>
      </w:r>
    </w:p>
    <w:p>
      <w:pPr>
        <w:spacing w:after="120"/>
      </w:pPr>
      <w:r>
        <w:t>Trate redefinição de credenciais, revogação de tokens, acesso privilegiado, controles de emergência, federação, contas de serviço e comprometimento do provedor de identidade.</w:t>
      </w:r>
    </w:p>
    <w:p>
      <w:pPr>
        <w:pStyle w:val="Heading2"/>
      </w:pPr>
      <w:r>
        <w:t>18. Resposta a ransomware e extorsão</w:t>
      </w:r>
    </w:p>
    <w:p>
      <w:pPr>
        <w:spacing w:after="120"/>
      </w:pPr>
      <w:r>
        <w:t>Defina governança decisória para criptografia, roubo de dados, extorsão, autoridades policiais, seguradora, jurídico, comunicações, restauração e revisão relacionada a sanções, sem prescrever decisões de pagamento.</w:t>
      </w:r>
    </w:p>
    <w:p>
      <w:pPr>
        <w:pStyle w:val="Heading2"/>
      </w:pPr>
      <w:r>
        <w:t>19. Coordenação de violação de dados e incidentes de privacidade</w:t>
      </w:r>
    </w:p>
    <w:p>
      <w:pPr>
        <w:spacing w:after="120"/>
      </w:pPr>
      <w:r>
        <w:t>Coordene privacidade, jurídico, segurança, registros, clientes, reguladores e avaliação específica por jurisdição, preservando testes distintos de reportabilidade.</w:t>
      </w:r>
    </w:p>
    <w:p>
      <w:pPr>
        <w:pStyle w:val="Heading2"/>
      </w:pPr>
      <w:r>
        <w:t>20. Notificação regulatória e contratual</w:t>
      </w:r>
    </w:p>
    <w:p>
      <w:pPr>
        <w:spacing w:after="120"/>
      </w:pPr>
      <w:r>
        <w:t>Mantenha uma matriz de notificação consciente de jurisdições e obrigações com campos de gatilho, prazo, autoridade, responsável, conteúdo, evidência e controle de mudanças.</w:t>
      </w:r>
    </w:p>
    <w:p>
      <w:pPr>
        <w:pStyle w:val="Heading2"/>
      </w:pPr>
      <w:r>
        <w:t>21. Incidentes de terceiros e cadeia de suprimentos</w:t>
      </w:r>
    </w:p>
    <w:p>
      <w:pPr>
        <w:spacing w:after="120"/>
      </w:pPr>
      <w:r>
        <w:t>Defina notificação de fornecedores, evidência, coordenação de contenção, serviço alternativo, escalonamento contratual, assurance e resposta a risco de concentração.</w:t>
      </w:r>
    </w:p>
    <w:p>
      <w:pPr>
        <w:pStyle w:val="Heading2"/>
      </w:pPr>
      <w:r>
        <w:t>22. Incidentes em nuvem e SaaS</w:t>
      </w:r>
    </w:p>
    <w:p>
      <w:pPr>
        <w:spacing w:after="120"/>
      </w:pPr>
      <w:r>
        <w:t>Trate responsabilidade compartilhada, logs do provedor, isolamento do tenant, identidade, abuso de API, impactos regionais, acesso a evidências, escalonamento ao provedor e dependências de recuperação.</w:t>
      </w:r>
    </w:p>
    <w:p>
      <w:pPr>
        <w:pStyle w:val="Heading2"/>
      </w:pPr>
      <w:r>
        <w:t>23. Incidentes OT/ICS e sensíveis à segurança</w:t>
      </w:r>
    </w:p>
    <w:p>
      <w:pPr>
        <w:spacing w:after="120"/>
      </w:pPr>
      <w:r>
        <w:t>Preserve segurança, confiabilidade, autoridade de engenharia, restrições do processo, evidências, coordenação com fornecedores e escalonamento setorial acima de ações puramente centradas em TI.</w:t>
      </w:r>
    </w:p>
    <w:p>
      <w:pPr>
        <w:pStyle w:val="Heading2"/>
      </w:pPr>
      <w:r>
        <w:t>24. Comunicações e gestão de partes interessadas</w:t>
      </w:r>
    </w:p>
    <w:p>
      <w:pPr>
        <w:spacing w:after="120"/>
      </w:pPr>
      <w:r>
        <w:t>Defina comunicações internas, avisos a clientes, resposta à mídia, autoridade do porta-voz, aprovação de mensagens, controle de rumores e briefings executivos.</w:t>
      </w:r>
    </w:p>
    <w:p>
      <w:pPr>
        <w:pStyle w:val="Heading2"/>
      </w:pPr>
      <w:r>
        <w:t>25. Registro de decisões e registros de crise</w:t>
      </w:r>
    </w:p>
    <w:p>
      <w:pPr>
        <w:spacing w:after="120"/>
      </w:pPr>
      <w:r>
        <w:t>Mantenha decisões com carimbo de tempo, premissas, evidências consideradas, aprovadores, alternativas, riscos residuais e ações de acompanhamento.</w:t>
      </w:r>
    </w:p>
    <w:p>
      <w:pPr>
        <w:pStyle w:val="Heading2"/>
      </w:pPr>
      <w:r>
        <w:t>26. Privilégio jurídico e limites de investigação</w:t>
      </w:r>
    </w:p>
    <w:p>
      <w:pPr>
        <w:spacing w:after="120"/>
      </w:pPr>
      <w:r>
        <w:t>Coordene decisões lideradas por assessoria jurídica quando apropriado sem presumir que o privilégio se aplique automaticamente; separe fatos operacionais de conclusões jurídicas.</w:t>
      </w:r>
    </w:p>
    <w:p>
      <w:pPr>
        <w:pStyle w:val="Heading2"/>
      </w:pPr>
      <w:r>
        <w:t>27. Integração com continuidade de negócios e recuperação de desastres</w:t>
      </w:r>
    </w:p>
    <w:p>
      <w:pPr>
        <w:spacing w:after="120"/>
      </w:pPr>
      <w:r>
        <w:t>Vincule a resposta a incidentes à ativação do SGCN, recuperação de desastres, operações alternativas, continuidade de fornecedores e limiares de gestão de crises.</w:t>
      </w:r>
    </w:p>
    <w:p>
      <w:pPr>
        <w:pStyle w:val="Heading2"/>
      </w:pPr>
      <w:r>
        <w:t>28. Exercícios e simulações</w:t>
      </w:r>
    </w:p>
    <w:p>
      <w:pPr>
        <w:spacing w:after="120"/>
      </w:pPr>
      <w:r>
        <w:t>Execute exercícios de mesa, técnicos, executivos, com fornecedores, ransomware, nuvem, comunicações e crises integradas com objetivos mensuráveis.</w:t>
      </w:r>
    </w:p>
    <w:p>
      <w:pPr>
        <w:pStyle w:val="Heading2"/>
      </w:pPr>
      <w:r>
        <w:t>29. Métricas e gestão de desempenho</w:t>
      </w:r>
    </w:p>
    <w:p>
      <w:pPr>
        <w:spacing w:after="120"/>
      </w:pPr>
      <w:r>
        <w:t>Acompanhe detecção, declaração, contenção, erradicação, recuperação, recorrência, achados de exercícios, prontidão para notificação, envelhecimento de problemas e completude das evidências.</w:t>
      </w:r>
    </w:p>
    <w:p>
      <w:pPr>
        <w:pStyle w:val="Heading2"/>
      </w:pPr>
      <w:r>
        <w:t>30. Revisão pós-incidente e remediação</w:t>
      </w:r>
    </w:p>
    <w:p>
      <w:pPr>
        <w:spacing w:after="120"/>
      </w:pPr>
      <w:r>
        <w:t>Realize lições aprendidas, validação de causa raiz, análise de lacunas de controle, acompanhamento de ações, aceitação de risco residual e verificação de encerramento.</w:t>
      </w:r>
    </w:p>
    <w:p>
      <w:pPr>
        <w:pStyle w:val="Heading2"/>
      </w:pPr>
      <w:r>
        <w:t>31. Assurance e análise crítica pela direção</w:t>
      </w:r>
    </w:p>
    <w:p>
      <w:pPr>
        <w:spacing w:after="120"/>
      </w:pPr>
      <w:r>
        <w:t>Forneça revisão independente e supervisão da liderança sobre prontidão, incidentes, exercícios, métricas, achados, recursos e prioridades de melhoria.</w:t>
      </w:r>
    </w:p>
    <w:p>
      <w:pPr>
        <w:pStyle w:val="Heading2"/>
      </w:pPr>
      <w:r>
        <w:t>32. Publicação, evidência e roteiro de implementação</w:t>
      </w:r>
    </w:p>
    <w:p>
      <w:pPr>
        <w:spacing w:after="120"/>
      </w:pPr>
      <w:r>
        <w:t>Empacote caminhos de implementação Essencial / Estruturado / Aprimorado com verificação de fontes, localização, acessibilidade, proveniência, checksums, segurança de workflows, identidade exata do candidato e controles de publicação sequencial.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