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38 — FERPA Controlled Implementation</w:t>
      </w:r>
    </w:p>
    <w:p>
      <w:pPr>
        <w:spacing w:after="120"/>
      </w:pPr>
      <w:r>
        <w:t>**Controlled baseline:** Family Educational Rights and Privacy Act, 20 U.S.C. § 1232g, and 34 CFR Part 99.</w:t>
      </w:r>
    </w:p>
    <w:p>
      <w:pPr>
        <w:spacing w:after="120"/>
      </w:pPr>
      <w:r>
        <w:t>**Boundary:** Department of Education guidance, state student-privacy law, contracts, grants, and organization practice remain distinct from FERPA statute/regulation.</w:t>
      </w:r>
    </w:p>
    <w:p>
      <w:pPr>
        <w:spacing w:after="120"/>
      </w:pPr>
      <w:r>
        <w:t>**Release rule:** reverify current e-CFR Part 99 and Department source materials at candidate freeze.</w:t>
      </w:r>
    </w:p>
    <w:p>
      <w:pPr>
        <w:pStyle w:val="Heading2"/>
      </w:pPr>
      <w:r>
        <w:t>Chapter 01 — Purpose, scope, and controlled-source hierarchy</w:t>
      </w:r>
    </w:p>
    <w:p>
      <w:pPr>
        <w:spacing w:after="120"/>
      </w:pPr>
      <w:r>
        <w:t>Establish the manual’s FERPA scope, authoritative-source hierarchy, ownership, and change-control rules. Do not treat guidance, state law, or contract terms as FERPA regulation.</w:t>
      </w:r>
    </w:p>
    <w:p>
      <w:pPr>
        <w:spacing w:after="120"/>
      </w:pPr>
      <w:r>
        <w:t>Maintain an applicability register, source register, owner matrix, change watch, and evidence index. Reassess when regulations, Department interpretations, institutional status, funding relationships, or operating models change.</w:t>
      </w:r>
    </w:p>
    <w:p>
      <w:pPr>
        <w:pStyle w:val="Heading2"/>
      </w:pPr>
      <w:r>
        <w:t>Chapter 02 — FERPA applicability and covered education records</w:t>
      </w:r>
    </w:p>
    <w:p>
      <w:pPr>
        <w:spacing w:after="120"/>
      </w:pPr>
      <w:r>
        <w:t>Determine whether the organization, student population, record, and activity fall within FERPA. Document exclusions, special populations, and records maintained outside the applicable education-record definition.</w:t>
      </w:r>
    </w:p>
    <w:p>
      <w:pPr>
        <w:spacing w:after="120"/>
      </w:pPr>
      <w:r>
        <w:t>Maintain applicability decisions, record-classification rationale, system inventories, record custodians, and legal/privacy review evidence where facts are ambiguous.</w:t>
      </w:r>
    </w:p>
    <w:p>
      <w:pPr>
        <w:pStyle w:val="Heading2"/>
      </w:pPr>
      <w:r>
        <w:t>Chapter 03 — Eligible student, parent, and authority transitions</w:t>
      </w:r>
    </w:p>
    <w:p>
      <w:pPr>
        <w:spacing w:after="120"/>
      </w:pPr>
      <w:r>
        <w:t>Define when FERPA rights are exercised by parents and when rights transfer to an eligible student. Account for institutional level, age, attendance, representation, and legally valid authority.</w:t>
      </w:r>
    </w:p>
    <w:p>
      <w:pPr>
        <w:spacing w:after="120"/>
      </w:pPr>
      <w:r>
        <w:t>Maintain authority-validation records, transition triggers, identity controls, representative documentation, and exceptions/escalations.</w:t>
      </w:r>
    </w:p>
    <w:p>
      <w:pPr>
        <w:pStyle w:val="Heading2"/>
      </w:pPr>
      <w:r>
        <w:t>Chapter 04 — Education-record inventory and data-flow mapping</w:t>
      </w:r>
    </w:p>
    <w:p>
      <w:pPr>
        <w:spacing w:after="120"/>
      </w:pPr>
      <w:r>
        <w:t>Inventory repositories, applications, paper files, communications, exports, integrations, backups, archives, and third-party platforms containing potential education records.</w:t>
      </w:r>
    </w:p>
    <w:p>
      <w:pPr>
        <w:spacing w:after="120"/>
      </w:pPr>
      <w:r>
        <w:t>Maintain data-flow diagrams, system owners, record locations, processing purposes, data categories, access paths, transfer points, and retention dependencies.</w:t>
      </w:r>
    </w:p>
    <w:p>
      <w:pPr>
        <w:pStyle w:val="Heading2"/>
      </w:pPr>
      <w:r>
        <w:t>Chapter 05 — Record classification and handling rules</w:t>
      </w:r>
    </w:p>
    <w:p>
      <w:pPr>
        <w:spacing w:after="120"/>
      </w:pPr>
      <w:r>
        <w:t>Define operational handling classes for FERPA-covered records and distinguish them from directory information, sole-possession records, law-enforcement-unit records, employment records, treatment records, alumni records, and other categories as applicable.</w:t>
      </w:r>
    </w:p>
    <w:p>
      <w:pPr>
        <w:spacing w:after="120"/>
      </w:pPr>
      <w:r>
        <w:t>Maintain classification rules, examples, owner decisions, exceptions, and change history.</w:t>
      </w:r>
    </w:p>
    <w:p>
      <w:pPr>
        <w:pStyle w:val="Heading2"/>
      </w:pPr>
      <w:r>
        <w:t>Chapter 06 — Governance, accountability, and policy ownership</w:t>
      </w:r>
    </w:p>
    <w:p>
      <w:pPr>
        <w:spacing w:after="120"/>
      </w:pPr>
      <w:r>
        <w:t>Assign accountable executive, privacy, records, security, registrar, legal, academic, IT, procurement, and operational roles. Establish policy approval, issue escalation, risk acceptance, and management review.</w:t>
      </w:r>
    </w:p>
    <w:p>
      <w:pPr>
        <w:spacing w:after="120"/>
      </w:pPr>
      <w:r>
        <w:t>Maintain RACI matrices, policy approvals, control owners, exception logs, meeting evidence, and corrective-action tracking.</w:t>
      </w:r>
    </w:p>
    <w:p>
      <w:pPr>
        <w:pStyle w:val="Heading2"/>
      </w:pPr>
      <w:r>
        <w:t>Chapter 07 — Notice of FERPA rights</w:t>
      </w:r>
    </w:p>
    <w:p>
      <w:pPr>
        <w:spacing w:after="120"/>
      </w:pPr>
      <w:r>
        <w:t>Define how required FERPA-rights notices are prepared, approved, delivered, made accessible, and updated for applicable students and parents.</w:t>
      </w:r>
    </w:p>
    <w:p>
      <w:pPr>
        <w:spacing w:after="120"/>
      </w:pPr>
      <w:r>
        <w:t>Maintain notice versions, publication dates, delivery evidence, accessibility review, language support decisions, and change records.</w:t>
      </w:r>
    </w:p>
    <w:p>
      <w:pPr>
        <w:pStyle w:val="Heading2"/>
      </w:pPr>
      <w:r>
        <w:t>Chapter 08 — Consent governance</w:t>
      </w:r>
    </w:p>
    <w:p>
      <w:pPr>
        <w:spacing w:after="120"/>
      </w:pPr>
      <w:r>
        <w:t>Establish a controlled process for obtaining and documenting FERPA consent when consent is required. Consent records should identify the records, purpose, recipients/recipient classes, authorization, date, and applicable revocation handling.</w:t>
      </w:r>
    </w:p>
    <w:p>
      <w:pPr>
        <w:spacing w:after="120"/>
      </w:pPr>
      <w:r>
        <w:t>Maintain consent forms, electronic authorization evidence, identity validation, revocation logs, and exception rationale.</w:t>
      </w:r>
    </w:p>
    <w:p>
      <w:pPr>
        <w:pStyle w:val="Heading2"/>
      </w:pPr>
      <w:r>
        <w:t>Chapter 09 — Disclosure-exception decision framework</w:t>
      </w:r>
    </w:p>
    <w:p>
      <w:pPr>
        <w:spacing w:after="120"/>
      </w:pPr>
      <w:r>
        <w:t>Require documented analysis before relying on a non-consent disclosure exception. Prevent teams from treating exceptions as blanket permissions.</w:t>
      </w:r>
    </w:p>
    <w:p>
      <w:pPr>
        <w:spacing w:after="120"/>
      </w:pPr>
      <w:r>
        <w:t>Maintain exception decision records, source citations, purpose, data scope, recipient, conditions, duration, owner approval, and reassessment triggers.</w:t>
      </w:r>
    </w:p>
    <w:p>
      <w:pPr>
        <w:pStyle w:val="Heading2"/>
      </w:pPr>
      <w:r>
        <w:t>Chapter 10 — School-official and legitimate-educational-interest controls</w:t>
      </w:r>
    </w:p>
    <w:p>
      <w:pPr>
        <w:spacing w:after="120"/>
      </w:pPr>
      <w:r>
        <w:t>Where the school-official exception is used, define criteria for school officials and legitimate educational interests, including contractor/vendor arrangements where applicable.</w:t>
      </w:r>
    </w:p>
    <w:p>
      <w:pPr>
        <w:spacing w:after="120"/>
      </w:pPr>
      <w:r>
        <w:t>Maintain criteria, annual notice alignment, contracts, use restrictions, access approvals, oversight evidence, and termination controls.</w:t>
      </w:r>
    </w:p>
    <w:p>
      <w:pPr>
        <w:pStyle w:val="Heading2"/>
      </w:pPr>
      <w:r>
        <w:t>Chapter 11 — Directory-information governance</w:t>
      </w:r>
    </w:p>
    <w:p>
      <w:pPr>
        <w:spacing w:after="120"/>
      </w:pPr>
      <w:r>
        <w:t>Define the institution’s directory-information designations, notice, opt-out process, suppression controls, timing, and downstream handling.</w:t>
      </w:r>
    </w:p>
    <w:p>
      <w:pPr>
        <w:spacing w:after="120"/>
      </w:pPr>
      <w:r>
        <w:t>Maintain designation decisions, published notices, opt-out records, suppression flags, disclosure controls, exception handling, and periodic testing.</w:t>
      </w:r>
    </w:p>
    <w:p>
      <w:pPr>
        <w:pStyle w:val="Heading2"/>
      </w:pPr>
      <w:r>
        <w:t>Chapter 12 — Access and inspection requests</w:t>
      </w:r>
    </w:p>
    <w:p>
      <w:pPr>
        <w:spacing w:after="120"/>
      </w:pPr>
      <w:r>
        <w:t>Implement documented workflows for applicable parents or eligible students to inspect and review education records within required timeframes and under applicable conditions.</w:t>
      </w:r>
    </w:p>
    <w:p>
      <w:pPr>
        <w:spacing w:after="120"/>
      </w:pPr>
      <w:r>
        <w:t>Maintain request logs, identity/authority validation, search records, responsive-record inventories, timing evidence, communications, and closure records.</w:t>
      </w:r>
    </w:p>
    <w:p>
      <w:pPr>
        <w:pStyle w:val="Heading2"/>
      </w:pPr>
      <w:r>
        <w:t>Chapter 13 — Amendment and hearing workflows</w:t>
      </w:r>
    </w:p>
    <w:p>
      <w:pPr>
        <w:spacing w:after="120"/>
      </w:pPr>
      <w:r>
        <w:t>Define processes for requests to amend records believed inaccurate, misleading, or otherwise within FERPA’s amendment framework, including escalation and hearing procedures where applicable.</w:t>
      </w:r>
    </w:p>
    <w:p>
      <w:pPr>
        <w:spacing w:after="120"/>
      </w:pPr>
      <w:r>
        <w:t>Maintain requests, determinations, evidence reviewed, hearing records, decisions, statements placed with records, notices, and timing metrics.</w:t>
      </w:r>
    </w:p>
    <w:p>
      <w:pPr>
        <w:pStyle w:val="Heading2"/>
      </w:pPr>
      <w:r>
        <w:t>Chapter 14 — Identity, authentication, and representative access</w:t>
      </w:r>
    </w:p>
    <w:p>
      <w:pPr>
        <w:spacing w:after="120"/>
      </w:pPr>
      <w:r>
        <w:t>Apply proportionate identity and authority verification before providing record access or accepting rights requests. Avoid collecting excessive verification data.</w:t>
      </w:r>
    </w:p>
    <w:p>
      <w:pPr>
        <w:spacing w:after="120"/>
      </w:pPr>
      <w:r>
        <w:t>Maintain identity method, representative authority evidence, failed-verification handling, secure delivery method, and audit evidence.</w:t>
      </w:r>
    </w:p>
    <w:p>
      <w:pPr>
        <w:pStyle w:val="Heading2"/>
      </w:pPr>
      <w:r>
        <w:t>Chapter 15 — Disclosure recordkeeping</w:t>
      </w:r>
    </w:p>
    <w:p>
      <w:pPr>
        <w:spacing w:after="120"/>
      </w:pPr>
      <w:r>
        <w:t>Maintain required records of applicable disclosures and requests for disclosures, including parties, legitimate interests, and downstream conditions where required.</w:t>
      </w:r>
    </w:p>
    <w:p>
      <w:pPr>
        <w:spacing w:after="120"/>
      </w:pPr>
      <w:r>
        <w:t>Define system-of-record, retention, linkage to the education record, exception cases, quality checks, and access controls.</w:t>
      </w:r>
    </w:p>
    <w:p>
      <w:pPr>
        <w:pStyle w:val="Heading2"/>
      </w:pPr>
      <w:r>
        <w:t>Chapter 16 — Redisclosure restrictions and downstream controls</w:t>
      </w:r>
    </w:p>
    <w:p>
      <w:pPr>
        <w:spacing w:after="120"/>
      </w:pPr>
      <w:r>
        <w:t>Where FERPA redisclosure restrictions apply, communicate conditions to recipients and maintain mechanisms to prevent or detect unauthorized onward disclosure.</w:t>
      </w:r>
    </w:p>
    <w:p>
      <w:pPr>
        <w:spacing w:after="120"/>
      </w:pPr>
      <w:r>
        <w:t>Maintain disclosure terms, recipient acknowledgements, contracts, permitted-purpose evidence, incident escalation, and corrective actions.</w:t>
      </w:r>
    </w:p>
    <w:p>
      <w:pPr>
        <w:pStyle w:val="Heading2"/>
      </w:pPr>
      <w:r>
        <w:t>Chapter 17 — Studies exception governance</w:t>
      </w:r>
    </w:p>
    <w:p>
      <w:pPr>
        <w:spacing w:after="120"/>
      </w:pPr>
      <w:r>
        <w:t>For disclosures under the studies exception, require documented applicability, written agreements where required, purpose limitation, data minimization, security, destruction requirements, and oversight.</w:t>
      </w:r>
    </w:p>
    <w:p>
      <w:pPr>
        <w:spacing w:after="120"/>
      </w:pPr>
      <w:r>
        <w:t>Maintain study approvals, agreements, data inventories, access lists, destruction evidence, findings, and closeout records.</w:t>
      </w:r>
    </w:p>
    <w:p>
      <w:pPr>
        <w:pStyle w:val="Heading2"/>
      </w:pPr>
      <w:r>
        <w:t>Chapter 18 — Audit or evaluation exception governance</w:t>
      </w:r>
    </w:p>
    <w:p>
      <w:pPr>
        <w:spacing w:after="120"/>
      </w:pPr>
      <w:r>
        <w:t>For audit/evaluation disclosures, document authorized representatives, program or legal authority, purpose, data scope, written terms where required, safeguards, and destruction requirements.</w:t>
      </w:r>
    </w:p>
    <w:p>
      <w:pPr>
        <w:spacing w:after="120"/>
      </w:pPr>
      <w:r>
        <w:t>Maintain authorization, agreements, data-transfer records, oversight evidence, destruction records, and issue logs.</w:t>
      </w:r>
    </w:p>
    <w:p>
      <w:pPr>
        <w:pStyle w:val="Heading2"/>
      </w:pPr>
      <w:r>
        <w:t>Chapter 19 — Financial-aid disclosures</w:t>
      </w:r>
    </w:p>
    <w:p>
      <w:pPr>
        <w:spacing w:after="120"/>
      </w:pPr>
      <w:r>
        <w:t>Where the financial-aid exception is used, document the applicable purpose and ensure disclosures remain limited to determining eligibility, amount, conditions, or enforcement of aid terms as applicable.</w:t>
      </w:r>
    </w:p>
    <w:p>
      <w:pPr>
        <w:spacing w:after="120"/>
      </w:pPr>
      <w:r>
        <w:t>Maintain purpose records, recipient authorization, data minimization, disclosure logs, and downstream-use controls.</w:t>
      </w:r>
    </w:p>
    <w:p>
      <w:pPr>
        <w:pStyle w:val="Heading2"/>
      </w:pPr>
      <w:r>
        <w:t>Chapter 20 — Health or safety emergency decisions</w:t>
      </w:r>
    </w:p>
    <w:p>
      <w:pPr>
        <w:spacing w:after="120"/>
      </w:pPr>
      <w:r>
        <w:t>Establish a documented emergency-decision process for disclosures made under the health-or-safety emergency exception, including articulable and significant threat analysis where applicable.</w:t>
      </w:r>
    </w:p>
    <w:p>
      <w:pPr>
        <w:spacing w:after="120"/>
      </w:pPr>
      <w:r>
        <w:t>Maintain contemporaneous decision evidence, threat/risk rationale, recipients, data disclosed, timing, decision authority, and post-event review.</w:t>
      </w:r>
    </w:p>
    <w:p>
      <w:pPr>
        <w:pStyle w:val="Heading2"/>
      </w:pPr>
      <w:r>
        <w:t>Chapter 21 — Judicial orders and lawfully issued subpoenas</w:t>
      </w:r>
    </w:p>
    <w:p>
      <w:pPr>
        <w:spacing w:after="120"/>
      </w:pPr>
      <w:r>
        <w:t>Route court orders, subpoenas, and similar demands through controlled legal/privacy review. Determine applicable notice requirements and exceptions before disclosure.</w:t>
      </w:r>
    </w:p>
    <w:p>
      <w:pPr>
        <w:spacing w:after="120"/>
      </w:pPr>
      <w:r>
        <w:t>Maintain demand intake, validation, legal analysis, notice determination, record scope, production evidence, confidentiality controls, and closure documentation.</w:t>
      </w:r>
    </w:p>
    <w:p>
      <w:pPr>
        <w:pStyle w:val="Heading2"/>
      </w:pPr>
      <w:r>
        <w:t>Chapter 22 — Vendor and third-party lifecycle governance</w:t>
      </w:r>
    </w:p>
    <w:p>
      <w:pPr>
        <w:spacing w:after="120"/>
      </w:pPr>
      <w:r>
        <w:t>Apply FERPA-specific due diligence to vendors that receive, maintain, process, or access education records. Assess purpose, access, control, redisclosure, security, subcontractors, retention, deletion, and incident terms.</w:t>
      </w:r>
    </w:p>
    <w:p>
      <w:pPr>
        <w:spacing w:after="120"/>
      </w:pPr>
      <w:r>
        <w:t>Maintain vendor inventory, applicability assessment, contract checklist, access approvals, monitoring, findings, remediation, and termination evidence.</w:t>
      </w:r>
    </w:p>
    <w:p>
      <w:pPr>
        <w:pStyle w:val="Heading2"/>
      </w:pPr>
      <w:r>
        <w:t>Chapter 23 — Cloud, SaaS, analytics, and digital learning platforms</w:t>
      </w:r>
    </w:p>
    <w:p>
      <w:pPr>
        <w:spacing w:after="120"/>
      </w:pPr>
      <w:r>
        <w:t>Map FERPA responsibilities across cloud, SaaS, learning management, collaboration, analytics, AI, and digital-learning services. Document data flows, account roles, platform defaults, telemetry, exports, and secondary-use risks.</w:t>
      </w:r>
    </w:p>
    <w:p>
      <w:pPr>
        <w:spacing w:after="120"/>
      </w:pPr>
      <w:r>
        <w:t>Maintain architecture diagrams, settings baselines, data-use assessments, integration approvals, monitoring, and exit plans.</w:t>
      </w:r>
    </w:p>
    <w:p>
      <w:pPr>
        <w:pStyle w:val="Heading2"/>
      </w:pPr>
      <w:r>
        <w:t>Chapter 24 — Security safeguards and access governance</w:t>
      </w:r>
    </w:p>
    <w:p>
      <w:pPr>
        <w:spacing w:after="120"/>
      </w:pPr>
      <w:r>
        <w:t>Implement risk-based administrative, technical, and physical safeguards appropriate to the education-record environment, recognizing that FERPA privacy requirements and security obligations from other sources may intersect but are not identical.</w:t>
      </w:r>
    </w:p>
    <w:p>
      <w:pPr>
        <w:spacing w:after="120"/>
      </w:pPr>
      <w:r>
        <w:t>Maintain access matrices, authentication controls, encryption decisions, logging, vulnerability management, secure configuration, monitoring, and corrective actions.</w:t>
      </w:r>
    </w:p>
    <w:p>
      <w:pPr>
        <w:pStyle w:val="Heading2"/>
      </w:pPr>
      <w:r>
        <w:t>Chapter 25 — Incident response and unauthorized disclosure</w:t>
      </w:r>
    </w:p>
    <w:p>
      <w:pPr>
        <w:spacing w:after="120"/>
      </w:pPr>
      <w:r>
        <w:t>Integrate potential FERPA-related disclosure incidents into incident response, evidence preservation, legal/privacy analysis, contractual notification, state-law analysis, and Department-facing processes where applicable.</w:t>
      </w:r>
    </w:p>
    <w:p>
      <w:pPr>
        <w:spacing w:after="120"/>
      </w:pPr>
      <w:r>
        <w:t>Maintain incident records, affected-record analysis, disclosure assessment, decisions, communications, remediation, lessons learned, and change actions.</w:t>
      </w:r>
    </w:p>
    <w:p>
      <w:pPr>
        <w:pStyle w:val="Heading2"/>
      </w:pPr>
      <w:r>
        <w:t>Chapter 26 — State student-privacy and sector overlays</w:t>
      </w:r>
    </w:p>
    <w:p>
      <w:pPr>
        <w:spacing w:after="120"/>
      </w:pPr>
      <w:r>
        <w:t>Maintain a separate overlay process for state student-data laws, K-12 requirements, higher-education rules, professional/licensure requirements, grant terms, and other applicable regimes.</w:t>
      </w:r>
    </w:p>
    <w:p>
      <w:pPr>
        <w:spacing w:after="120"/>
      </w:pPr>
      <w:r>
        <w:t>Do not represent overlay duties as FERPA duties. Maintain applicability matrices, source citations, conflicts, owners, and implementation decisions.</w:t>
      </w:r>
    </w:p>
    <w:p>
      <w:pPr>
        <w:pStyle w:val="Heading2"/>
      </w:pPr>
      <w:r>
        <w:t>Chapter 27 — Retention, deletion, archival, and defensible disposal</w:t>
      </w:r>
    </w:p>
    <w:p>
      <w:pPr>
        <w:spacing w:after="120"/>
      </w:pPr>
      <w:r>
        <w:t>Define record retention and disposal using applicable legal, records, litigation-hold, accreditation, contractual, business, and institutional requirements. FERPA should not be presented as a universal retention schedule.</w:t>
      </w:r>
    </w:p>
    <w:p>
      <w:pPr>
        <w:spacing w:after="120"/>
      </w:pPr>
      <w:r>
        <w:t>Maintain retention schedules, legal holds, deletion approvals, archive controls, vendor deletion evidence, exceptions, and disposal records.</w:t>
      </w:r>
    </w:p>
    <w:p>
      <w:pPr>
        <w:pStyle w:val="Heading2"/>
      </w:pPr>
      <w:r>
        <w:t>Chapter 28 — Training and role competence</w:t>
      </w:r>
    </w:p>
    <w:p>
      <w:pPr>
        <w:spacing w:after="120"/>
      </w:pPr>
      <w:r>
        <w:t>Provide role-based training for personnel who handle education records, rights requests, disclosures, vendor oversight, security, records management, and emergency decisions.</w:t>
      </w:r>
    </w:p>
    <w:p>
      <w:pPr>
        <w:spacing w:after="120"/>
      </w:pPr>
      <w:r>
        <w:t>Maintain curricula, attendance/completion, role mapping, competency checks, remediation, and periodic refresh evidence.</w:t>
      </w:r>
    </w:p>
    <w:p>
      <w:pPr>
        <w:pStyle w:val="Heading2"/>
      </w:pPr>
      <w:r>
        <w:t>Chapter 29 — Assurance, testing, and audit evidence</w:t>
      </w:r>
    </w:p>
    <w:p>
      <w:pPr>
        <w:spacing w:after="120"/>
      </w:pPr>
      <w:r>
        <w:t>Test FERPA controls using risk-based samples of notices, consents, disclosures, exception decisions, requests, vendor records, access controls, incident handling, and deletion evidence.</w:t>
      </w:r>
    </w:p>
    <w:p>
      <w:pPr>
        <w:spacing w:after="120"/>
      </w:pPr>
      <w:r>
        <w:t>Maintain test plans, samples, results, findings, root causes, corrective actions, retests, and management reporting.</w:t>
      </w:r>
    </w:p>
    <w:p>
      <w:pPr>
        <w:pStyle w:val="Heading2"/>
      </w:pPr>
      <w:r>
        <w:t>Chapter 30 — Metrics, management review, and continual improvement</w:t>
      </w:r>
    </w:p>
    <w:p>
      <w:pPr>
        <w:spacing w:after="120"/>
      </w:pPr>
      <w:r>
        <w:t>Define meaningful indicators such as request timeliness, unresolved exceptions, vendor findings, disclosure-record quality, access-review exceptions, training completion, incidents, remediation aging, and change-watch status.</w:t>
      </w:r>
    </w:p>
    <w:p>
      <w:pPr>
        <w:spacing w:after="120"/>
      </w:pPr>
      <w:r>
        <w:t>Management review should document decisions, resources, risk acceptance, corrective actions, and improvement priorities.</w:t>
      </w:r>
    </w:p>
    <w:p>
      <w:pPr>
        <w:pStyle w:val="Heading2"/>
      </w:pPr>
      <w:r>
        <w:t>Chapter 31 — Exact-hash localization, provenance, and release evidence</w:t>
      </w:r>
    </w:p>
    <w:p>
      <w:pPr>
        <w:spacing w:after="120"/>
      </w:pPr>
      <w:r>
        <w:t>Freeze controlled EN/es-419/pt-BR publication candidates before substantive review. Bind DOCX/PDF identities to SHA-256 hashes and preserve accessibility, rendered-page, localization, workflow-security, and release-QA evidence.</w:t>
      </w:r>
    </w:p>
    <w:p>
      <w:pPr>
        <w:spacing w:after="120"/>
      </w:pPr>
      <w:r>
        <w:t>Any material change after freeze requires explicit supersession, regeneration, re-hashing, and re-review of affected gates.</w:t>
      </w:r>
    </w:p>
    <w:p>
      <w:pPr>
        <w:pStyle w:val="Heading2"/>
      </w:pPr>
      <w:r>
        <w:t>Chapter 32 — Implementation roadmap and release-time reverification</w:t>
      </w:r>
    </w:p>
    <w:p>
      <w:pPr>
        <w:spacing w:after="120"/>
      </w:pPr>
      <w:r>
        <w:t>Implement in phases: applicability and inventory; governance and notices; rights and consent; disclosure exceptions; vendors/platforms; security/incident controls; assurance; metrics; and continual improvement.</w:t>
      </w:r>
    </w:p>
    <w:p>
      <w:pPr>
        <w:spacing w:after="120"/>
      </w:pPr>
      <w:r>
        <w:t>Immediately before publication, reverify current 20 U.S.C. § 1232g, 34 CFR Part 99, Department of Education FERPA source materials, and any expressly claimed state/sector overlays. Publication remains sequential after Manual 37 and requires all objective release gates to be green.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