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38 — Implementación Controlada de FERPA</w:t>
      </w:r>
    </w:p>
    <w:p>
      <w:pPr>
        <w:spacing w:after="120"/>
      </w:pPr>
      <w:r>
        <w:t>**Línea base controlada:** Family Educational Rights and Privacy Act, 20 U.S.C. § 1232g, y 34 CFR Part 99.</w:t>
      </w:r>
    </w:p>
    <w:p>
      <w:pPr>
        <w:spacing w:after="120"/>
      </w:pPr>
      <w:r>
        <w:t>**Límite:** la orientación del Departamento de Educación, las leyes estatales de privacidad estudiantil, contratos, subvenciones y prácticas de la organización se mantienen separados de la ley y regulación FERPA.</w:t>
      </w:r>
    </w:p>
    <w:p>
      <w:pPr>
        <w:spacing w:after="120"/>
      </w:pPr>
      <w:r>
        <w:t>**Regla de release:** reverificar e-CFR Part 99 vigente y fuentes del Departamento al congelar el candidato.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Establezca alcance FERPA, fuentes autoritativas, ownership y control de cambios. No trate guidance, ley estatal ni términos contractuales como regulación FERPA.</w:t>
      </w:r>
    </w:p>
    <w:p>
      <w:pPr>
        <w:spacing w:after="120"/>
      </w:pPr>
      <w:r>
        <w:t>Mantenga registro de aplicabilidad, fuentes, responsables, change watch e índice de evidencia.</w:t>
      </w:r>
    </w:p>
    <w:p>
      <w:pPr>
        <w:pStyle w:val="Heading2"/>
      </w:pPr>
      <w:r>
        <w:t>Chapter 02 — Aplicabilidad FERPA y registros educativos cubiertos</w:t>
      </w:r>
    </w:p>
    <w:p>
      <w:pPr>
        <w:spacing w:after="120"/>
      </w:pPr>
      <w:r>
        <w:t>Determine si organización, población estudiantil, registro y actividad están dentro de FERPA. Documente exclusiones, poblaciones especiales y registros fuera de la definición aplicable.</w:t>
      </w:r>
    </w:p>
    <w:p>
      <w:pPr>
        <w:spacing w:after="120"/>
      </w:pPr>
      <w:r>
        <w:t>Conserve decisiones, clasificación, inventarios, custodios y evidencia de revisión cuando existan ambigüedades.</w:t>
      </w:r>
    </w:p>
    <w:p>
      <w:pPr>
        <w:pStyle w:val="Heading2"/>
      </w:pPr>
      <w:r>
        <w:t>Chapter 03 — Estudiante elegible, padres y transiciones de autoridad</w:t>
      </w:r>
    </w:p>
    <w:p>
      <w:pPr>
        <w:spacing w:after="120"/>
      </w:pPr>
      <w:r>
        <w:t>Defina cuándo ejercen derechos los padres y cuándo se transfieren al estudiante elegible. Considere nivel educativo, edad, asistencia, representación y autoridad válida.</w:t>
      </w:r>
    </w:p>
    <w:p>
      <w:pPr>
        <w:spacing w:after="120"/>
      </w:pPr>
      <w:r>
        <w:t>Mantenga validación de autoridad, triggers de transición, identity controls y escalaciones.</w:t>
      </w:r>
    </w:p>
    <w:p>
      <w:pPr>
        <w:pStyle w:val="Heading2"/>
      </w:pPr>
      <w:r>
        <w:t>Chapter 04 — Inventario de registros educativos y flujos de datos</w:t>
      </w:r>
    </w:p>
    <w:p>
      <w:pPr>
        <w:spacing w:after="120"/>
      </w:pPr>
      <w:r>
        <w:t>Inventarie repositorios, aplicaciones, archivos físicos, comunicaciones, integraciones, backups, archivos y plataformas de terceros con potenciales education records.</w:t>
      </w:r>
    </w:p>
    <w:p>
      <w:pPr>
        <w:spacing w:after="120"/>
      </w:pPr>
      <w:r>
        <w:t>Conserve diagramas de flujo, owners, ubicaciones, propósitos, categorías, accesos, transfer points y dependencias de retención.</w:t>
      </w:r>
    </w:p>
    <w:p>
      <w:pPr>
        <w:pStyle w:val="Heading2"/>
      </w:pPr>
      <w:r>
        <w:t>Chapter 05 — Clasificación de registros y reglas de manejo</w:t>
      </w:r>
    </w:p>
    <w:p>
      <w:pPr>
        <w:spacing w:after="120"/>
      </w:pPr>
      <w:r>
        <w:t>Defina clases operativas para registros FERPA y distinga directory information, sole-possession, law-enforcement-unit, employment, treatment, alumni y otras categorías según corresponda.</w:t>
      </w:r>
    </w:p>
    <w:p>
      <w:pPr>
        <w:spacing w:after="120"/>
      </w:pPr>
      <w:r>
        <w:t>Mantenga reglas, ejemplos, decisiones, excepciones e historial de cambios.</w:t>
      </w:r>
    </w:p>
    <w:p>
      <w:pPr>
        <w:pStyle w:val="Heading2"/>
      </w:pPr>
      <w:r>
        <w:t>Chapter 06 — Gobernanza, accountability y ownership de políticas</w:t>
      </w:r>
    </w:p>
    <w:p>
      <w:pPr>
        <w:spacing w:after="120"/>
      </w:pPr>
      <w:r>
        <w:t>Asigne funciones ejecutivas, privacy, records, security, registrar, legal, academic, IT, procurement y operaciones. Defina aprobación, escalamiento, aceptación de riesgo y management review.</w:t>
      </w:r>
    </w:p>
    <w:p>
      <w:pPr>
        <w:spacing w:after="120"/>
      </w:pPr>
      <w:r>
        <w:t>Conserve RACI, aprobaciones, owners, excepciones, evidencia de reuniones y acciones correctivas.</w:t>
      </w:r>
    </w:p>
    <w:p>
      <w:pPr>
        <w:pStyle w:val="Heading2"/>
      </w:pPr>
      <w:r>
        <w:t>Chapter 07 — Aviso de derechos FERPA</w:t>
      </w:r>
    </w:p>
    <w:p>
      <w:pPr>
        <w:spacing w:after="120"/>
      </w:pPr>
      <w:r>
        <w:t>Defina cómo se prepara, aprueba, entrega, hace accesible y actualiza el aviso de derechos para estudiantes y padres aplicables.</w:t>
      </w:r>
    </w:p>
    <w:p>
      <w:pPr>
        <w:spacing w:after="120"/>
      </w:pPr>
      <w:r>
        <w:t>Mantenga versiones, fechas, evidencia de entrega, accessibility review y decisiones de soporte lingüístico.</w:t>
      </w:r>
    </w:p>
    <w:p>
      <w:pPr>
        <w:pStyle w:val="Heading2"/>
      </w:pPr>
      <w:r>
        <w:t>Chapter 08 — Gobernanza del consentimiento</w:t>
      </w:r>
    </w:p>
    <w:p>
      <w:pPr>
        <w:spacing w:after="120"/>
      </w:pPr>
      <w:r>
        <w:t>Implemente proceso controlado para obtener y documentar consentimiento cuando sea requerido. Registre records, propósito, recipients, autorización, fecha y tratamiento de revocación.</w:t>
      </w:r>
    </w:p>
    <w:p>
      <w:pPr>
        <w:spacing w:after="120"/>
      </w:pPr>
      <w:r>
        <w:t>Conserve formularios, evidencia electrónica, validación de identidad y rationale de excepciones.</w:t>
      </w:r>
    </w:p>
    <w:p>
      <w:pPr>
        <w:pStyle w:val="Heading2"/>
      </w:pPr>
      <w:r>
        <w:t>Chapter 09 — Marco de decisión para excepciones de divulgación</w:t>
      </w:r>
    </w:p>
    <w:p>
      <w:pPr>
        <w:spacing w:after="120"/>
      </w:pPr>
      <w:r>
        <w:t>Exija análisis documentado antes de usar una excepción de divulgación sin consentimiento. Evite tratar excepciones como permisos generales.</w:t>
      </w:r>
    </w:p>
    <w:p>
      <w:pPr>
        <w:spacing w:after="120"/>
      </w:pPr>
      <w:r>
        <w:t>Mantenga source citation, propósito, alcance, receptor, condiciones, duración, aprobación y reassessment triggers.</w:t>
      </w:r>
    </w:p>
    <w:p>
      <w:pPr>
        <w:pStyle w:val="Heading2"/>
      </w:pPr>
      <w:r>
        <w:t>Chapter 10 — School official y legitimate educational interest</w:t>
      </w:r>
    </w:p>
    <w:p>
      <w:pPr>
        <w:spacing w:after="120"/>
      </w:pPr>
      <w:r>
        <w:t>Cuando se use esta excepción, defina criterios de school official y legitimate educational interest, incluidos contratistas/proveedores cuando aplique.</w:t>
      </w:r>
    </w:p>
    <w:p>
      <w:pPr>
        <w:spacing w:after="120"/>
      </w:pPr>
      <w:r>
        <w:t>Conserve criterios, alineación con annual notice, contratos, restricciones de uso, approvals, oversight y termination controls.</w:t>
      </w:r>
    </w:p>
    <w:p>
      <w:pPr>
        <w:pStyle w:val="Heading2"/>
      </w:pPr>
      <w:r>
        <w:t>Chapter 11 — Gobernanza de directory information</w:t>
      </w:r>
    </w:p>
    <w:p>
      <w:pPr>
        <w:spacing w:after="120"/>
      </w:pPr>
      <w:r>
        <w:t>Defina designaciones institucionales, notice, opt-out, suppression, timing y downstream handling.</w:t>
      </w:r>
    </w:p>
    <w:p>
      <w:pPr>
        <w:spacing w:after="120"/>
      </w:pPr>
      <w:r>
        <w:t>Mantenga decisiones, avisos, opt-outs, suppression flags, disclosure controls y testing periódico.</w:t>
      </w:r>
    </w:p>
    <w:p>
      <w:pPr>
        <w:pStyle w:val="Heading2"/>
      </w:pPr>
      <w:r>
        <w:t>Chapter 12 — Solicitudes de acceso e inspección</w:t>
      </w:r>
    </w:p>
    <w:p>
      <w:pPr>
        <w:spacing w:after="120"/>
      </w:pPr>
      <w:r>
        <w:t>Implemente workflow para que padres o estudiantes elegibles inspeccionen/revisen registros dentro de plazos y condiciones aplicables.</w:t>
      </w:r>
    </w:p>
    <w:p>
      <w:pPr>
        <w:spacing w:after="120"/>
      </w:pPr>
      <w:r>
        <w:t>Conserve request logs, validación, búsquedas, inventario de registros, timing, comunicaciones y cierre.</w:t>
      </w:r>
    </w:p>
    <w:p>
      <w:pPr>
        <w:pStyle w:val="Heading2"/>
      </w:pPr>
      <w:r>
        <w:t>Chapter 13 — Solicitudes de modificación y hearings</w:t>
      </w:r>
    </w:p>
    <w:p>
      <w:pPr>
        <w:spacing w:after="120"/>
      </w:pPr>
      <w:r>
        <w:t>Defina procesos para solicitudes de modificación de registros dentro del framework FERPA, incluyendo escalamiento y audiencia cuando corresponda.</w:t>
      </w:r>
    </w:p>
    <w:p>
      <w:pPr>
        <w:spacing w:after="120"/>
      </w:pPr>
      <w:r>
        <w:t>Mantenga solicitudes, decisiones, evidencia, hearing records, statements, notices y métricas de tiempo.</w:t>
      </w:r>
    </w:p>
    <w:p>
      <w:pPr>
        <w:pStyle w:val="Heading2"/>
      </w:pPr>
      <w:r>
        <w:t>Chapter 14 — Identidad, autenticación y acceso por representantes</w:t>
      </w:r>
    </w:p>
    <w:p>
      <w:pPr>
        <w:spacing w:after="120"/>
      </w:pPr>
      <w:r>
        <w:t>Aplique verificación proporcional de identidad y autoridad antes de otorgar acceso o aceptar solicitudes. Evite recolectar datos de verificación excesivos.</w:t>
      </w:r>
    </w:p>
    <w:p>
      <w:pPr>
        <w:spacing w:after="120"/>
      </w:pPr>
      <w:r>
        <w:t>Conserve método, autoridad representativa, fallos de verificación, entrega segura y audit evidence.</w:t>
      </w:r>
    </w:p>
    <w:p>
      <w:pPr>
        <w:pStyle w:val="Heading2"/>
      </w:pPr>
      <w:r>
        <w:t>Chapter 15 — Registro de divulgaciones</w:t>
      </w:r>
    </w:p>
    <w:p>
      <w:pPr>
        <w:spacing w:after="120"/>
      </w:pPr>
      <w:r>
        <w:t>Mantenga registros requeridos de divulgaciones y solicitudes de divulgación, incluyendo partes, intereses legítimos y condiciones downstream cuando aplique.</w:t>
      </w:r>
    </w:p>
    <w:p>
      <w:pPr>
        <w:spacing w:after="120"/>
      </w:pPr>
      <w:r>
        <w:t>Defina system of record, retención, linkage, excepciones, quality checks y acceso.</w:t>
      </w:r>
    </w:p>
    <w:p>
      <w:pPr>
        <w:pStyle w:val="Heading2"/>
      </w:pPr>
      <w:r>
        <w:t>Chapter 16 — Restricciones de redisclosure y controles downstream</w:t>
      </w:r>
    </w:p>
    <w:p>
      <w:pPr>
        <w:spacing w:after="120"/>
      </w:pPr>
      <w:r>
        <w:t>Cuando apliquen restricciones de redisclosure, comunique condiciones y mantenga mecanismos para prevenir/detectar onward disclosure no autorizado.</w:t>
      </w:r>
    </w:p>
    <w:p>
      <w:pPr>
        <w:spacing w:after="120"/>
      </w:pPr>
      <w:r>
        <w:t>Conserve términos, acknowledgements, contratos, propósito permitido, incident escalation y acciones correctivas.</w:t>
      </w:r>
    </w:p>
    <w:p>
      <w:pPr>
        <w:pStyle w:val="Heading2"/>
      </w:pPr>
      <w:r>
        <w:t>Chapter 17 — Gobernanza de la excepción para studies</w:t>
      </w:r>
    </w:p>
    <w:p>
      <w:pPr>
        <w:spacing w:after="120"/>
      </w:pPr>
      <w:r>
        <w:t>Exija aplicabilidad documentada, acuerdos escritos cuando correspondan, purpose limitation, minimization, security, destruction y oversight.</w:t>
      </w:r>
    </w:p>
    <w:p>
      <w:pPr>
        <w:spacing w:after="120"/>
      </w:pPr>
      <w:r>
        <w:t>Mantenga approvals, agreements, data inventories, access lists, destruction evidence y closeout.</w:t>
      </w:r>
    </w:p>
    <w:p>
      <w:pPr>
        <w:pStyle w:val="Heading2"/>
      </w:pPr>
      <w:r>
        <w:t>Chapter 18 — Gobernanza de audit/evaluation exception</w:t>
      </w:r>
    </w:p>
    <w:p>
      <w:pPr>
        <w:spacing w:after="120"/>
      </w:pPr>
      <w:r>
        <w:t>Documente authorized representatives, autoridad del programa, propósito, alcance, términos escritos cuando sean requeridos, safeguards y destruction.</w:t>
      </w:r>
    </w:p>
    <w:p>
      <w:pPr>
        <w:spacing w:after="120"/>
      </w:pPr>
      <w:r>
        <w:t>Conserve authorization, agreements, transfer records, oversight, destruction y issue logs.</w:t>
      </w:r>
    </w:p>
    <w:p>
      <w:pPr>
        <w:pStyle w:val="Heading2"/>
      </w:pPr>
      <w:r>
        <w:t>Chapter 19 — Divulgaciones de financial aid</w:t>
      </w:r>
    </w:p>
    <w:p>
      <w:pPr>
        <w:spacing w:after="120"/>
      </w:pPr>
      <w:r>
        <w:t>Cuando se use la excepción, documente el propósito aplicable y limite la divulgación a elegibilidad, monto, condiciones o enforcement según corresponda.</w:t>
      </w:r>
    </w:p>
    <w:p>
      <w:pPr>
        <w:spacing w:after="120"/>
      </w:pPr>
      <w:r>
        <w:t>Mantenga purpose records, autorización del receptor, minimization y disclosure logs.</w:t>
      </w:r>
    </w:p>
    <w:p>
      <w:pPr>
        <w:pStyle w:val="Heading2"/>
      </w:pPr>
      <w:r>
        <w:t>Chapter 20 — Decisiones por health or safety emergency</w:t>
      </w:r>
    </w:p>
    <w:p>
      <w:pPr>
        <w:spacing w:after="120"/>
      </w:pPr>
      <w:r>
        <w:t>Establezca proceso documentado para la excepción de emergencia, incluido análisis de amenaza articulable y significativa cuando aplique.</w:t>
      </w:r>
    </w:p>
    <w:p>
      <w:pPr>
        <w:spacing w:after="120"/>
      </w:pPr>
      <w:r>
        <w:t>Mantenga rationale contemporáneo, recipients, datos divulgados, timing, autoridad y post-event review.</w:t>
      </w:r>
    </w:p>
    <w:p>
      <w:pPr>
        <w:pStyle w:val="Heading2"/>
      </w:pPr>
      <w:r>
        <w:t>Chapter 21 — Judicial orders y lawfully issued subpoenas</w:t>
      </w:r>
    </w:p>
    <w:p>
      <w:pPr>
        <w:spacing w:after="120"/>
      </w:pPr>
      <w:r>
        <w:t>Canalice órdenes judiciales, subpoenas y demandas similares por revisión legal/privacy. Determine notice requirements y excepciones antes de divulgar.</w:t>
      </w:r>
    </w:p>
    <w:p>
      <w:pPr>
        <w:spacing w:after="120"/>
      </w:pPr>
      <w:r>
        <w:t>Conserve intake, validación, análisis, notice determination, scope, production evidence y closure.</w:t>
      </w:r>
    </w:p>
    <w:p>
      <w:pPr>
        <w:pStyle w:val="Heading2"/>
      </w:pPr>
      <w:r>
        <w:t>Chapter 22 — Lifecycle de vendors y terceros</w:t>
      </w:r>
    </w:p>
    <w:p>
      <w:pPr>
        <w:spacing w:after="120"/>
      </w:pPr>
      <w:r>
        <w:t>Aplique due diligence FERPA a proveedores que reciban, mantengan, procesen o accedan education records. Evalúe propósito, acceso, control, redisclosure, security, subprocessors, retention, deletion e incident terms.</w:t>
      </w:r>
    </w:p>
    <w:p>
      <w:pPr>
        <w:spacing w:after="120"/>
      </w:pPr>
      <w:r>
        <w:t>Mantenga inventory, applicability assessment, contract checklist, approvals, monitoring y termination evidence.</w:t>
      </w:r>
    </w:p>
    <w:p>
      <w:pPr>
        <w:pStyle w:val="Heading2"/>
      </w:pPr>
      <w:r>
        <w:t>Chapter 23 — Cloud, SaaS, analytics y digital learning platforms</w:t>
      </w:r>
    </w:p>
    <w:p>
      <w:pPr>
        <w:spacing w:after="120"/>
      </w:pPr>
      <w:r>
        <w:t>Mapee responsabilidades FERPA en cloud, SaaS, LMS, collaboration, analytics, AI y digital-learning services. Documente data flows, roles, defaults, telemetry, exports y secondary-use risks.</w:t>
      </w:r>
    </w:p>
    <w:p>
      <w:pPr>
        <w:spacing w:after="120"/>
      </w:pPr>
      <w:r>
        <w:t>Conserve architecture diagrams, settings baseline, assessments, integration approvals y exit plans.</w:t>
      </w:r>
    </w:p>
    <w:p>
      <w:pPr>
        <w:pStyle w:val="Heading2"/>
      </w:pPr>
      <w:r>
        <w:t>Chapter 24 — Safeguards de seguridad y access governance</w:t>
      </w:r>
    </w:p>
    <w:p>
      <w:pPr>
        <w:spacing w:after="120"/>
      </w:pPr>
      <w:r>
        <w:t>Implemente controles administrativos, técnicos y físicos basados en riesgo. Mantenga separados los requisitos de privacidad FERPA de otras obligaciones de seguridad que puedan coexistir.</w:t>
      </w:r>
    </w:p>
    <w:p>
      <w:pPr>
        <w:spacing w:after="120"/>
      </w:pPr>
      <w:r>
        <w:t>Conserve access matrices, authentication, encryption decisions, logs, vulnerability management, secure configuration y remediation.</w:t>
      </w:r>
    </w:p>
    <w:p>
      <w:pPr>
        <w:pStyle w:val="Heading2"/>
      </w:pPr>
      <w:r>
        <w:t>Chapter 25 — Incident response y divulgación no autorizada</w:t>
      </w:r>
    </w:p>
    <w:p>
      <w:pPr>
        <w:spacing w:after="120"/>
      </w:pPr>
      <w:r>
        <w:t>Integre incidentes potencialmente relacionados con FERPA con response, evidence preservation, legal/privacy analysis, contratos, ley estatal y procesos Department-facing cuando apliquen.</w:t>
      </w:r>
    </w:p>
    <w:p>
      <w:pPr>
        <w:spacing w:after="120"/>
      </w:pPr>
      <w:r>
        <w:t>Mantenga incident records, affected-record analysis, decisiones, comunicaciones, remediation y lessons learned.</w:t>
      </w:r>
    </w:p>
    <w:p>
      <w:pPr>
        <w:pStyle w:val="Heading2"/>
      </w:pPr>
      <w:r>
        <w:t>Chapter 26 — Leyes estatales estudiantiles y overlays sectoriales</w:t>
      </w:r>
    </w:p>
    <w:p>
      <w:pPr>
        <w:spacing w:after="120"/>
      </w:pPr>
      <w:r>
        <w:t>Mantenga overlays separados para student-data laws estatales, K-12, higher education, licensure, grants y otros regímenes.</w:t>
      </w:r>
    </w:p>
    <w:p>
      <w:pPr>
        <w:spacing w:after="120"/>
      </w:pPr>
      <w:r>
        <w:t>No represente obligaciones overlay como obligaciones FERPA. Conserve matrices, fuentes, conflictos, owners y decisiones.</w:t>
      </w:r>
    </w:p>
    <w:p>
      <w:pPr>
        <w:pStyle w:val="Heading2"/>
      </w:pPr>
      <w:r>
        <w:t>Chapter 27 — Retención, deletion, archivo y disposición defendible</w:t>
      </w:r>
    </w:p>
    <w:p>
      <w:pPr>
        <w:spacing w:after="120"/>
      </w:pPr>
      <w:r>
        <w:t>Defina retención usando requisitos legales, records, litigation hold, accreditation, contract y business. No presente FERPA como retention schedule universal.</w:t>
      </w:r>
    </w:p>
    <w:p>
      <w:pPr>
        <w:spacing w:after="120"/>
      </w:pPr>
      <w:r>
        <w:t>Conserve schedules, holds, deletion approvals, archives, vendor deletion evidence y disposal records.</w:t>
      </w:r>
    </w:p>
    <w:p>
      <w:pPr>
        <w:pStyle w:val="Heading2"/>
      </w:pPr>
      <w:r>
        <w:t>Chapter 28 — Training y competencia por rol</w:t>
      </w:r>
    </w:p>
    <w:p>
      <w:pPr>
        <w:spacing w:after="120"/>
      </w:pPr>
      <w:r>
        <w:t>Proporcione capacitación por rol para personal que maneje education records, requests, disclosures, vendor oversight, security, records y emergency decisions.</w:t>
      </w:r>
    </w:p>
    <w:p>
      <w:pPr>
        <w:spacing w:after="120"/>
      </w:pPr>
      <w:r>
        <w:t>Mantenga curricula, completion, role mapping, competency checks y remediation.</w:t>
      </w:r>
    </w:p>
    <w:p>
      <w:pPr>
        <w:pStyle w:val="Heading2"/>
      </w:pPr>
      <w:r>
        <w:t>Chapter 29 — Assurance, testing y evidencia de auditoría</w:t>
      </w:r>
    </w:p>
    <w:p>
      <w:pPr>
        <w:spacing w:after="120"/>
      </w:pPr>
      <w:r>
        <w:t>Pruebe controles con muestras de notices, consents, disclosures, exception decisions, requests, vendor records, access, incidents y deletion evidence.</w:t>
      </w:r>
    </w:p>
    <w:p>
      <w:pPr>
        <w:spacing w:after="120"/>
      </w:pPr>
      <w:r>
        <w:t>Conserve test plans, samples, results, findings, root causes, corrective actions y retests.</w:t>
      </w:r>
    </w:p>
    <w:p>
      <w:pPr>
        <w:pStyle w:val="Heading2"/>
      </w:pPr>
      <w:r>
        <w:t>Chapter 30 — Métricas, management review y mejora continua</w:t>
      </w:r>
    </w:p>
    <w:p>
      <w:pPr>
        <w:spacing w:after="120"/>
      </w:pPr>
      <w:r>
        <w:t>Defina indicadores de timeliness, excepciones, vendor findings, calidad de disclosure records, access-review exceptions, training, incidents, remediation aging y change-watch.</w:t>
      </w:r>
    </w:p>
    <w:p>
      <w:pPr>
        <w:spacing w:after="120"/>
      </w:pPr>
      <w:r>
        <w:t>Management review debe documentar decisiones, recursos, risk acceptance y prioridades de mejora.</w:t>
      </w:r>
    </w:p>
    <w:p>
      <w:pPr>
        <w:pStyle w:val="Heading2"/>
      </w:pPr>
      <w:r>
        <w:t>Chapter 31 — Exact-hash, localización, provenance y release evidence</w:t>
      </w:r>
    </w:p>
    <w:p>
      <w:pPr>
        <w:spacing w:after="120"/>
      </w:pPr>
      <w:r>
        <w:t>Congele candidatos EN/es-419/pt-BR antes de substantive review. Vincule DOCX/PDF a SHA-256 y preserve accessibility, rendered-page, localization, workflow-security y release-QA evidence.</w:t>
      </w:r>
    </w:p>
    <w:p>
      <w:pPr>
        <w:spacing w:after="120"/>
      </w:pPr>
      <w:r>
        <w:t>Todo cambio material post-freeze exige supersession, regeneration, re-hashing y re-review de gates afectados.</w:t>
      </w:r>
    </w:p>
    <w:p>
      <w:pPr>
        <w:pStyle w:val="Heading2"/>
      </w:pPr>
      <w:r>
        <w:t>Chapter 32 — Roadmap de implementación y reverificación al release</w:t>
      </w:r>
    </w:p>
    <w:p>
      <w:pPr>
        <w:spacing w:after="120"/>
      </w:pPr>
      <w:r>
        <w:t>Implemente por fases: applicability/inventory; governance/notices; rights/consent; exceptions; vendors/platforms; security/incidents; assurance; metrics; improvement.</w:t>
      </w:r>
    </w:p>
    <w:p>
      <w:pPr>
        <w:spacing w:after="120"/>
      </w:pPr>
      <w:r>
        <w:t>Antes de publicación reverifique 20 U.S.C. § 1232g, 34 CFR Part 99, fuentes del Department of Education y overlays expresamente reclamados. La publicación permanece secuencial después de Manual 37 y exige todos los gates objetivos en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