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40 — Implementación Controlada de la Política de Seguridad CJIS</w:t>
      </w:r>
    </w:p>
    <w:p>
      <w:pPr>
        <w:spacing w:after="120"/>
      </w:pPr>
      <w:r>
        <w:t>**Línea base controlada:** FBI CJIS Security Policy Version 6.1, 25 de junio de 2026, sujeta a reverificación al momento del release.</w:t>
      </w:r>
    </w:p>
    <w:p>
      <w:pPr>
        <w:spacing w:after="120"/>
      </w:pPr>
      <w:r>
        <w:t>**Límite:** requisitos de la política FBI, requisitos de implementación de la CSA estatal, adendas/acuerdos de seguridad, contratos, materiales complementarios y prácticas de la organización permanecen como capas de fuente distintas.</w:t>
      </w:r>
    </w:p>
    <w:p>
      <w:pPr>
        <w:spacing w:after="120"/>
      </w:pPr>
      <w:r>
        <w:t>**Regla de release:** reverificar la política CJIS vigente del FBI y los requisitos CSA aplicables al congelar el candidato.</w:t>
      </w:r>
    </w:p>
    <w:p>
      <w:pPr>
        <w:pStyle w:val="Heading2"/>
      </w:pPr>
      <w:r>
        <w:t>Chapter 01 — Propósito, alcance y jerarquía de fuentes</w:t>
      </w:r>
    </w:p>
    <w:p>
      <w:pPr>
        <w:spacing w:after="120"/>
      </w:pPr>
      <w:r>
        <w:t>Establezca jerarquía controlada de fuentes CJIS, método de aplicabilidad, responsables, control de cambios e índice de evidencia. No trate ejemplos, material del resource center ni prácticas locales como texto vinculante independiente de la política FBI.</w:t>
      </w:r>
    </w:p>
    <w:p>
      <w:pPr>
        <w:pStyle w:val="Heading2"/>
      </w:pPr>
      <w:r>
        <w:t>Chapter 02 — Aplicabilidad y límites de CJI</w:t>
      </w:r>
    </w:p>
    <w:p>
      <w:pPr>
        <w:spacing w:after="120"/>
      </w:pPr>
      <w:r>
        <w:t>Determine si sistemas, usuarios, ubicaciones, interfaces y proveedores acceden, procesan, transmiten, almacenan o soportan Criminal Justice Information. Documente inclusiones, exclusiones y decisiones ambiguas con fundamento enlazado a fuentes.</w:t>
      </w:r>
    </w:p>
    <w:p>
      <w:pPr>
        <w:pStyle w:val="Heading2"/>
      </w:pPr>
      <w:r>
        <w:t>Chapter 03 — Modelo de agencia, CSA y responsabilidades</w:t>
      </w:r>
    </w:p>
    <w:p>
      <w:pPr>
        <w:spacing w:after="120"/>
      </w:pPr>
      <w:r>
        <w:t>Defina responsabilidades de agencia, CSA, contratación, hosting, soporte y proveedores para el modelo operativo concreto. Mantenga matrices de responsabilidad, acuerdos, rutas de escalamiento y evidencia de autoridad.</w:t>
      </w:r>
    </w:p>
    <w:p>
      <w:pPr>
        <w:pStyle w:val="Heading2"/>
      </w:pPr>
      <w:r>
        <w:t>Chapter 04 — Gobernanza y accountability</w:t>
      </w:r>
    </w:p>
    <w:p>
      <w:pPr>
        <w:spacing w:after="120"/>
      </w:pPr>
      <w:r>
        <w:t>Asigne funciones ejecutivas, security, privacy, legal, operaciones, arquitectura, procurement, RR. HH. y service owners. Mantenga aprobaciones, excepciones, decisiones de riesgo, evidencia de management review y ownership de acciones correctivas.</w:t>
      </w:r>
    </w:p>
    <w:p>
      <w:pPr>
        <w:pStyle w:val="Heading2"/>
      </w:pPr>
      <w:r>
        <w:t>Chapter 05 — Inventario de sistemas y datos</w:t>
      </w:r>
    </w:p>
    <w:p>
      <w:pPr>
        <w:spacing w:after="120"/>
      </w:pPr>
      <w:r>
        <w:t>Inventarie aplicaciones, infraestructura, endpoints, interfaces, servicios cloud, administradores, data stores, backups y terceros relacionados con CJI. Mantenga owners, data flows, límites de sistema, dependencias e historial de cambios.</w:t>
      </w:r>
    </w:p>
    <w:p>
      <w:pPr>
        <w:pStyle w:val="Heading2"/>
      </w:pPr>
      <w:r>
        <w:t>Chapter 06 — Mapeo de la política de seguridad</w:t>
      </w:r>
    </w:p>
    <w:p>
      <w:pPr>
        <w:spacing w:after="120"/>
      </w:pPr>
      <w:r>
        <w:t>Mapee requisitos CJIS aplicables a controles, procedimientos, configuraciones técnicas, objetos de evidencia y métodos de prueba. Preserve trazabilidad hacia la versión exacta de la política controlada.</w:t>
      </w:r>
    </w:p>
    <w:p>
      <w:pPr>
        <w:pStyle w:val="Heading2"/>
      </w:pPr>
      <w:r>
        <w:t>Chapter 07 — Screening y suitability de personal</w:t>
      </w:r>
    </w:p>
    <w:p>
      <w:pPr>
        <w:spacing w:after="120"/>
      </w:pPr>
      <w:r>
        <w:t>Defina screening, autorización, onboarding, cambios de estado, suspensión y offboarding para personal con acceso o funciones de soporte relevantes. Mantenga evidencia de terminación, decisiones, excepciones y revisión periódica.</w:t>
      </w:r>
    </w:p>
    <w:p>
      <w:pPr>
        <w:pStyle w:val="Heading2"/>
      </w:pPr>
      <w:r>
        <w:t>Chapter 08 — Concientización y capacitación por rol</w:t>
      </w:r>
    </w:p>
    <w:p>
      <w:pPr>
        <w:spacing w:after="120"/>
      </w:pPr>
      <w:r>
        <w:t>Imparta capacitación CJIS basada en roles y alineada con responsabilidades de acceso, administración, operación e incidentes. Mantenga currículo, completitud, competency checks, remediación y triggers de refresco.</w:t>
      </w:r>
    </w:p>
    <w:p>
      <w:pPr>
        <w:pStyle w:val="Heading2"/>
      </w:pPr>
      <w:r>
        <w:t>Chapter 09 — Protección física</w:t>
      </w:r>
    </w:p>
    <w:p>
      <w:pPr>
        <w:spacing w:after="120"/>
      </w:pPr>
      <w:r>
        <w:t>Defina controles de acceso físico, visitantes, instalaciones, workspace, dispositivos, media y ambiente para entornos CJI aplicables. Mantenga registros de acceso, revisiones de instalaciones, excepciones y acciones correctivas.</w:t>
      </w:r>
    </w:p>
    <w:p>
      <w:pPr>
        <w:pStyle w:val="Heading2"/>
      </w:pPr>
      <w:r>
        <w:t>Chapter 10 — Ciclo de vida de identidades y cuentas</w:t>
      </w:r>
    </w:p>
    <w:p>
      <w:pPr>
        <w:spacing w:after="120"/>
      </w:pPr>
      <w:r>
        <w:t>Controle solicitud, aprobación, provisioning, modificación, revisión periódica, suspensión y terminación de cuentas. Mantenga evidencia de identidad, ownership de cuenta, banderas privilegiadas, resultados de review y tiempos de revocación.</w:t>
      </w:r>
    </w:p>
    <w:p>
      <w:pPr>
        <w:pStyle w:val="Heading2"/>
      </w:pPr>
      <w:r>
        <w:t>Chapter 11 — Autenticación avanzada y MFA</w:t>
      </w:r>
    </w:p>
    <w:p>
      <w:pPr>
        <w:spacing w:after="120"/>
      </w:pPr>
      <w:r>
        <w:t>Aplique controles de autenticación apropiados al escenario de usuario, dispositivo, red, acceso remoto y privilegios conforme a la línea base CJIS vigente y requisitos CSA aplicables. Registre diseño técnico, excepciones, pruebas y controles compensatorios cuando estén permitidos.</w:t>
      </w:r>
    </w:p>
    <w:p>
      <w:pPr>
        <w:pStyle w:val="Heading2"/>
      </w:pPr>
      <w:r>
        <w:t>Chapter 12 — Acceso privilegiado</w:t>
      </w:r>
    </w:p>
    <w:p>
      <w:pPr>
        <w:spacing w:after="120"/>
      </w:pPr>
      <w:r>
        <w:t>Restrinja accesos privilegiados a personal autorizado y rutas administrativas aprobadas. Mantenga inventarios de roles privilegiados, justificaciones, session controls, monitoring, evidencia de review y procedimientos break-glass.</w:t>
      </w:r>
    </w:p>
    <w:p>
      <w:pPr>
        <w:pStyle w:val="Heading2"/>
      </w:pPr>
      <w:r>
        <w:t>Chapter 13 — Menor privilegio y control de acceso</w:t>
      </w:r>
    </w:p>
    <w:p>
      <w:pPr>
        <w:spacing w:after="120"/>
      </w:pPr>
      <w:r>
        <w:t>Implemente autorización adecuada al rol, segregación de funciones, need-to-know, recertificación periódica y gobernanza de cambios de acceso. Mantenga matrices, aprobaciones, excepciones y evidencia de prueba.</w:t>
      </w:r>
    </w:p>
    <w:p>
      <w:pPr>
        <w:pStyle w:val="Heading2"/>
      </w:pPr>
      <w:r>
        <w:t>Chapter 14 — Cifrado en tránsito</w:t>
      </w:r>
    </w:p>
    <w:p>
      <w:pPr>
        <w:spacing w:after="120"/>
      </w:pPr>
      <w:r>
        <w:t>Proteja CJI en tránsito a través de conexiones internas, externas, remotas, wireless, cloud y de terceros mediante mecanismos criptográficos aprobados. Mantenga baselines de protocolo, evidencia de certificados/keys, configuration checks y excepciones.</w:t>
      </w:r>
    </w:p>
    <w:p>
      <w:pPr>
        <w:pStyle w:val="Heading2"/>
      </w:pPr>
      <w:r>
        <w:t>Chapter 15 — Cifrado en reposo</w:t>
      </w:r>
    </w:p>
    <w:p>
      <w:pPr>
        <w:spacing w:after="120"/>
      </w:pPr>
      <w:r>
        <w:t>Proteja CJI almacenada cuando lo exija el contexto aplicable CJIS/CSA. Mantenga inventarios de storage, decisiones de cifrado, settings técnicos, dependencias de claves, excepciones y evidencia de validación.</w:t>
      </w:r>
    </w:p>
    <w:p>
      <w:pPr>
        <w:pStyle w:val="Heading2"/>
      </w:pPr>
      <w:r>
        <w:t>Chapter 16 — Gobernanza criptográfica y de claves</w:t>
      </w:r>
    </w:p>
    <w:p>
      <w:pPr>
        <w:spacing w:after="120"/>
      </w:pPr>
      <w:r>
        <w:t>Defina ownership, generación, almacenamiento, rotación, revocación, recuperación, backup y retiro de claves/certificados que protegen CJI. Mantenga inventarios, custodios, registros de cambio y resultados de pruebas.</w:t>
      </w:r>
    </w:p>
    <w:p>
      <w:pPr>
        <w:pStyle w:val="Heading2"/>
      </w:pPr>
      <w:r>
        <w:t>Chapter 17 — Logging y registros de auditoría</w:t>
      </w:r>
    </w:p>
    <w:p>
      <w:pPr>
        <w:spacing w:after="120"/>
      </w:pPr>
      <w:r>
        <w:t>Capture eventos relevantes para seguridad en sistemas CJI, actividad administrativa, autenticación, acceso, cambios de configuración e investigación de incidentes según aplique. Mantenga alcance, racional de retención, access controls, evidencia de review y excepciones.</w:t>
      </w:r>
    </w:p>
    <w:p>
      <w:pPr>
        <w:pStyle w:val="Heading2"/>
      </w:pPr>
      <w:r>
        <w:t>Chapter 18 — Monitoring y sincronización de tiempo</w:t>
      </w:r>
    </w:p>
    <w:p>
      <w:pPr>
        <w:spacing w:after="120"/>
      </w:pPr>
      <w:r>
        <w:t>Mantenga monitoring, alerting, time synchronization, event correlation y escalamiento suficientes para operaciones de seguridad e integridad de evidencia. Conserve cobertura, fuentes de tiempo, handling de alertas y evidencia de revisión.</w:t>
      </w:r>
    </w:p>
    <w:p>
      <w:pPr>
        <w:pStyle w:val="Heading2"/>
      </w:pPr>
      <w:r>
        <w:t>Chapter 19 — Protección de media</w:t>
      </w:r>
    </w:p>
    <w:p>
      <w:pPr>
        <w:spacing w:after="120"/>
      </w:pPr>
      <w:r>
        <w:t>Controle creación, marcado, almacenamiento, transporte, reutilización, sanitización y disposición de media con CJI. Mantenga chain of custody, evidencia de sanitización, destrucción, excepciones y verificaciones periódicas.</w:t>
      </w:r>
    </w:p>
    <w:p>
      <w:pPr>
        <w:pStyle w:val="Heading2"/>
      </w:pPr>
      <w:r>
        <w:t>Chapter 20 — Acceso móvil, remoto y wireless</w:t>
      </w:r>
    </w:p>
    <w:p>
      <w:pPr>
        <w:spacing w:after="120"/>
      </w:pPr>
      <w:r>
        <w:t>Gobierne dispositivos móviles, acceso remoto, teletrabajo, conectividad wireless y sistemas portátiles según aplicabilidad y riesgo documentados. Mantenga configuraciones aprobadas, autorización de usuarios, device controls, métodos de conexión, monitoring y excepciones.</w:t>
      </w:r>
    </w:p>
    <w:p>
      <w:pPr>
        <w:pStyle w:val="Heading2"/>
      </w:pPr>
      <w:r>
        <w:t>Chapter 21 — Arquitectura de red y seguridad</w:t>
      </w:r>
    </w:p>
    <w:p>
      <w:pPr>
        <w:spacing w:after="120"/>
      </w:pPr>
      <w:r>
        <w:t>Documente segmentación, trust boundaries, security zones, conexiones externas, management networks, rutas administrativas y tecnologías protectoras. Mantenga diagramas, configuration baselines, aprobaciones y revisiones.</w:t>
      </w:r>
    </w:p>
    <w:p>
      <w:pPr>
        <w:pStyle w:val="Heading2"/>
      </w:pPr>
      <w:r>
        <w:t>Chapter 22 — Vulnerabilidades, patching y configuración</w:t>
      </w:r>
    </w:p>
    <w:p>
      <w:pPr>
        <w:spacing w:after="120"/>
      </w:pPr>
      <w:r>
        <w:t>Defina identificación, priorización y remediación de vulnerabilidades, patching, secure configuration, change control y excepciones para sistemas CJI y dependencias. Mantenga scans/tests, tracking de remediación, baselines aprobados y decisiones de riesgo.</w:t>
      </w:r>
    </w:p>
    <w:p>
      <w:pPr>
        <w:pStyle w:val="Heading2"/>
      </w:pPr>
      <w:r>
        <w:t>Chapter 23 — Respuesta y reporte de incidentes</w:t>
      </w:r>
    </w:p>
    <w:p>
      <w:pPr>
        <w:spacing w:after="120"/>
      </w:pPr>
      <w:r>
        <w:t>Integre eventos CJI en intake, triage, containment, preservación de evidencia, escalamiento, reporting, recuperación y lessons learned. Mantenga incident records, decisiones de notificación, timelines, comunicaciones y acciones correctivas.</w:t>
      </w:r>
    </w:p>
    <w:p>
      <w:pPr>
        <w:pStyle w:val="Heading2"/>
      </w:pPr>
      <w:r>
        <w:t>Chapter 24 — Gobernanza de cloud y service providers</w:t>
      </w:r>
    </w:p>
    <w:p>
      <w:pPr>
        <w:spacing w:after="120"/>
      </w:pPr>
      <w:r>
        <w:t>Evalúe cloud, managed, hosted, SaaS, soporte e infraestructura para aplicabilidad CJI, responsabilidades, acceso, ubicación de datos, seguridad, monitoring, subcontracting, incidentes, retención y salida. Mantenga due diligence, contratos, arquitectura, aprobaciones y oversight.</w:t>
      </w:r>
    </w:p>
    <w:p>
      <w:pPr>
        <w:pStyle w:val="Heading2"/>
      </w:pPr>
      <w:r>
        <w:t>Chapter 25 — Outsourcing, security addenda y acuerdos</w:t>
      </w:r>
    </w:p>
    <w:p>
      <w:pPr>
        <w:spacing w:after="120"/>
      </w:pPr>
      <w:r>
        <w:t>Mantenga acuerdos requeridos, security addenda, controles contractuales, declaraciones de responsabilidad y evidencia de cumplimiento para terceros. Distinga política FBI, implementación CSA, deberes contractuales y controles internos.</w:t>
      </w:r>
    </w:p>
    <w:p>
      <w:pPr>
        <w:pStyle w:val="Heading2"/>
      </w:pPr>
      <w:r>
        <w:t>Chapter 26 — Backup, resiliencia y continuidad</w:t>
      </w:r>
    </w:p>
    <w:p>
      <w:pPr>
        <w:spacing w:after="120"/>
      </w:pPr>
      <w:r>
        <w:t>Proteja backups y capacidades de recuperación de sistemas CJI de acuerdo con requisitos de seguridad, disponibilidad, integridad y acceso. Mantenga inventarios, restoration tests, recovery objectives, decisiones de procesamiento alternativo y acciones correctivas.</w:t>
      </w:r>
    </w:p>
    <w:p>
      <w:pPr>
        <w:pStyle w:val="Heading2"/>
      </w:pPr>
      <w:r>
        <w:t>Chapter 27 — Retención y disposición de datos</w:t>
      </w:r>
    </w:p>
    <w:p>
      <w:pPr>
        <w:spacing w:after="120"/>
      </w:pPr>
      <w:r>
        <w:t>Defina retención, archivo, eliminación, sanitización, legal hold y disposal usando requisitos CJIS, records, legales, contractuales y de agencia aplicables. No presente CJIS como un calendario universal de retención.</w:t>
      </w:r>
    </w:p>
    <w:p>
      <w:pPr>
        <w:pStyle w:val="Heading2"/>
      </w:pPr>
      <w:r>
        <w:t>Chapter 28 — Auditorías y assessments</w:t>
      </w:r>
    </w:p>
    <w:p>
      <w:pPr>
        <w:spacing w:after="120"/>
      </w:pPr>
      <w:r>
        <w:t>Planifique y ejecute reviews internos, technical testing, validación de evidencia, assessments externos/CSA y tracking de remediación. Mantenga alcance, muestras, findings, severidad, ownership, fechas, retests y decisiones de cierre.</w:t>
      </w:r>
    </w:p>
    <w:p>
      <w:pPr>
        <w:pStyle w:val="Heading2"/>
      </w:pPr>
      <w:r>
        <w:t>Chapter 29 — Acciones correctivas y excepciones</w:t>
      </w:r>
    </w:p>
    <w:p>
      <w:pPr>
        <w:spacing w:after="120"/>
      </w:pPr>
      <w:r>
        <w:t>Gobierne findings, corrective actions, desviaciones temporales, compensating measures, risk acceptance, expiración y reapproval. Mantenga root cause, owner, target date, evidencia, approvals y validación de cierre.</w:t>
      </w:r>
    </w:p>
    <w:p>
      <w:pPr>
        <w:pStyle w:val="Heading2"/>
      </w:pPr>
      <w:r>
        <w:t>Chapter 30 — Métricas y management review</w:t>
      </w:r>
    </w:p>
    <w:p>
      <w:pPr>
        <w:spacing w:after="120"/>
      </w:pPr>
      <w:r>
        <w:t>Monitoree excepciones de access review, patches vencidos, findings de privilegios, training completion, incidentes, findings abiertos, problemas de proveedores y change-watch. Management review debe documentar decisiones, recursos, escalamiento y prioridades.</w:t>
      </w:r>
    </w:p>
    <w:p>
      <w:pPr>
        <w:pStyle w:val="Heading2"/>
      </w:pPr>
      <w:r>
        <w:t>Chapter 31 — Localización, proveniencia y evidencia de release</w:t>
      </w:r>
    </w:p>
    <w:p>
      <w:pPr>
        <w:spacing w:after="120"/>
      </w:pPr>
      <w:r>
        <w:t>Congele candidatos EN/es-419/pt-BR antes de la revisión final exacta. Vincule identidades DOCX/PDF a SHA-256 y preserve estructura, paridad, accesibilidad, rendered-page review, versión de fuentes, workflow security y staging.</w:t>
      </w:r>
    </w:p>
    <w:p>
      <w:pPr>
        <w:pStyle w:val="Heading2"/>
      </w:pPr>
      <w:r>
        <w:t>Chapter 32 — Roadmap y reverificación al release</w:t>
      </w:r>
    </w:p>
    <w:p>
      <w:pPr>
        <w:spacing w:after="120"/>
      </w:pPr>
      <w:r>
        <w:t>Implemente por fases: aplicabilidad/inventario; gobernanza; personas/acceso; arquitectura/criptografía; logging/monitoring; endpoint/media/remoto; proveedores; incidentes/resiliencia; assurance; mejora continua. Antes de publicar, reverifique la versión vigente de FBI CJIS Security Policy y requisitos CSA aplicables; la publicación permanece secuencial después del Manual 39.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