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40 — Implementação Controlada da Política de Segurança CJIS</w:t>
      </w:r>
    </w:p>
    <w:p>
      <w:pPr>
        <w:spacing w:after="120"/>
      </w:pPr>
      <w:r>
        <w:t>**Linha de base controlada:** FBI CJIS Security Policy Version 6.1, de 25 de junho de 2026, sujeita a reverificação no momento do release.</w:t>
      </w:r>
    </w:p>
    <w:p>
      <w:pPr>
        <w:spacing w:after="120"/>
      </w:pPr>
      <w:r>
        <w:t>**Limite:** requisitos da política do FBI, requisitos de implementação da CSA estadual, adendos/acordos de segurança, contratos, materiais complementares e práticas da organização permanecem como camadas de fonte distintas.</w:t>
      </w:r>
    </w:p>
    <w:p>
      <w:pPr>
        <w:spacing w:after="120"/>
      </w:pPr>
      <w:r>
        <w:t>**Regra de release:** reverificar a política CJIS vigente do FBI e os requisitos CSA aplicáveis no congelamento do candidato.</w:t>
      </w:r>
    </w:p>
    <w:p>
      <w:pPr>
        <w:pStyle w:val="Heading2"/>
      </w:pPr>
      <w:r>
        <w:t>Chapter 01 — Propósito, escopo e hierarquia de fontes</w:t>
      </w:r>
    </w:p>
    <w:p>
      <w:pPr>
        <w:spacing w:after="120"/>
      </w:pPr>
      <w:r>
        <w:t>Estabeleça a hierarquia controlada de fontes CJIS, método de aplicabilidade, responsáveis, controle de mudanças e índice de evidências. Não trate exemplos, materiais do resource center ou práticas locais como texto vinculante independente da política do FBI.</w:t>
      </w:r>
    </w:p>
    <w:p>
      <w:pPr>
        <w:pStyle w:val="Heading2"/>
      </w:pPr>
      <w:r>
        <w:t>Chapter 02 — Aplicabilidade e limites de CJI</w:t>
      </w:r>
    </w:p>
    <w:p>
      <w:pPr>
        <w:spacing w:after="120"/>
      </w:pPr>
      <w:r>
        <w:t>Determine se sistemas, usuários, locais, interfaces e provedores acessam, processam, transmitem, armazenam ou suportam Criminal Justice Information. Registre inclusões, exclusões e decisões ambíguas com justificativa vinculada às fontes.</w:t>
      </w:r>
    </w:p>
    <w:p>
      <w:pPr>
        <w:pStyle w:val="Heading2"/>
      </w:pPr>
      <w:r>
        <w:t>Chapter 03 — Modelo de agência, CSA e responsabilidades</w:t>
      </w:r>
    </w:p>
    <w:p>
      <w:pPr>
        <w:spacing w:after="120"/>
      </w:pPr>
      <w:r>
        <w:t>Defina responsabilidades de agência, CSA, contratação, hospedagem, suporte e provedores para o modelo operacional específico. Mantenha matrizes de responsabilidade, acordos, caminhos de escalonamento e evidência de autoridade.</w:t>
      </w:r>
    </w:p>
    <w:p>
      <w:pPr>
        <w:pStyle w:val="Heading2"/>
      </w:pPr>
      <w:r>
        <w:t>Chapter 04 — Governança e accountability</w:t>
      </w:r>
    </w:p>
    <w:p>
      <w:pPr>
        <w:spacing w:after="120"/>
      </w:pPr>
      <w:r>
        <w:t>Atribua funções executivas, security, privacy, jurídico, operações, arquitetura, procurement, RH e service owners. Mantenha aprovações, exceções, decisões de risco, evidência de management review e ownership de ações corretivas.</w:t>
      </w:r>
    </w:p>
    <w:p>
      <w:pPr>
        <w:pStyle w:val="Heading2"/>
      </w:pPr>
      <w:r>
        <w:t>Chapter 05 — Inventário de sistemas e dados</w:t>
      </w:r>
    </w:p>
    <w:p>
      <w:pPr>
        <w:spacing w:after="120"/>
      </w:pPr>
      <w:r>
        <w:t>Inventarie aplicações, infraestrutura, endpoints, interfaces, serviços cloud, administradores, data stores, backups e terceiros relacionados a CJI. Mantenha owners, data flows, limites de sistema, dependências e histórico de mudanças.</w:t>
      </w:r>
    </w:p>
    <w:p>
      <w:pPr>
        <w:pStyle w:val="Heading2"/>
      </w:pPr>
      <w:r>
        <w:t>Chapter 06 — Mapeamento da política de segurança</w:t>
      </w:r>
    </w:p>
    <w:p>
      <w:pPr>
        <w:spacing w:after="120"/>
      </w:pPr>
      <w:r>
        <w:t>Mapeie requisitos CJIS aplicáveis para controles, procedimentos, configurações técnicas, objetos de evidência e métodos de teste. Preserve rastreabilidade até a versão exata da política controlada.</w:t>
      </w:r>
    </w:p>
    <w:p>
      <w:pPr>
        <w:pStyle w:val="Heading2"/>
      </w:pPr>
      <w:r>
        <w:t>Chapter 07 — Screening e suitability de pessoal</w:t>
      </w:r>
    </w:p>
    <w:p>
      <w:pPr>
        <w:spacing w:after="120"/>
      </w:pPr>
      <w:r>
        <w:t>Defina screening, autorização, onboarding, alterações de status, suspensão e offboarding para pessoal com acesso ou funções de suporte relevantes. Mantenha evidência de conclusão, decisões, exceções e revisão periódica.</w:t>
      </w:r>
    </w:p>
    <w:p>
      <w:pPr>
        <w:pStyle w:val="Heading2"/>
      </w:pPr>
      <w:r>
        <w:t>Chapter 08 — Conscientização e treinamento por função</w:t>
      </w:r>
    </w:p>
    <w:p>
      <w:pPr>
        <w:spacing w:after="120"/>
      </w:pPr>
      <w:r>
        <w:t>Forneça treinamento CJIS baseado em funções e alinhado às responsabilidades de acesso, administração, operação e incidentes. Mantenha currículo, conclusão, competency checks, remediação e gatilhos de atualização.</w:t>
      </w:r>
    </w:p>
    <w:p>
      <w:pPr>
        <w:pStyle w:val="Heading2"/>
      </w:pPr>
      <w:r>
        <w:t>Chapter 09 — Proteção física</w:t>
      </w:r>
    </w:p>
    <w:p>
      <w:pPr>
        <w:spacing w:after="120"/>
      </w:pPr>
      <w:r>
        <w:t>Defina controles de acesso físico, visitantes, instalações, workspace, dispositivos, media e ambiente para ambientes CJI aplicáveis. Mantenha registros de acesso, revisões de instalações, exceções e ações corretivas.</w:t>
      </w:r>
    </w:p>
    <w:p>
      <w:pPr>
        <w:pStyle w:val="Heading2"/>
      </w:pPr>
      <w:r>
        <w:t>Chapter 10 — Ciclo de vida de identidades e contas</w:t>
      </w:r>
    </w:p>
    <w:p>
      <w:pPr>
        <w:spacing w:after="120"/>
      </w:pPr>
      <w:r>
        <w:t>Controle solicitação, aprovação, provisioning, modificação, revisão periódica, suspensão e encerramento de contas. Mantenha evidência de identidade, ownership de conta, marcação de privilégios, resultados de review e tempos de revogação.</w:t>
      </w:r>
    </w:p>
    <w:p>
      <w:pPr>
        <w:pStyle w:val="Heading2"/>
      </w:pPr>
      <w:r>
        <w:t>Chapter 11 — Autenticação avançada e MFA</w:t>
      </w:r>
    </w:p>
    <w:p>
      <w:pPr>
        <w:spacing w:after="120"/>
      </w:pPr>
      <w:r>
        <w:t>Aplique controles de autenticação apropriados ao cenário de usuário, dispositivo, rede, acesso remoto e privilégios conforme a linha de base CJIS vigente e requisitos CSA aplicáveis. Registre desenho técnico, exceções, testes e controles compensatórios quando permitidos.</w:t>
      </w:r>
    </w:p>
    <w:p>
      <w:pPr>
        <w:pStyle w:val="Heading2"/>
      </w:pPr>
      <w:r>
        <w:t>Chapter 12 — Acesso privilegiado</w:t>
      </w:r>
    </w:p>
    <w:p>
      <w:pPr>
        <w:spacing w:after="120"/>
      </w:pPr>
      <w:r>
        <w:t>Restrinja acessos privilegiados a pessoal autorizado e caminhos administrativos aprovados. Mantenha inventários de funções privilegiadas, justificativas, session controls, monitoring, evidência de review e procedimentos break-glass.</w:t>
      </w:r>
    </w:p>
    <w:p>
      <w:pPr>
        <w:pStyle w:val="Heading2"/>
      </w:pPr>
      <w:r>
        <w:t>Chapter 13 — Menor privilégio e controle de acesso</w:t>
      </w:r>
    </w:p>
    <w:p>
      <w:pPr>
        <w:spacing w:after="120"/>
      </w:pPr>
      <w:r>
        <w:t>Implemente autorização adequada à função, segregação de funções, need-to-know, recertificação periódica e governança de mudanças de acesso. Mantenha matrizes, aprovações, exceções e evidência de teste.</w:t>
      </w:r>
    </w:p>
    <w:p>
      <w:pPr>
        <w:pStyle w:val="Heading2"/>
      </w:pPr>
      <w:r>
        <w:t>Chapter 14 — Criptografia em trânsito</w:t>
      </w:r>
    </w:p>
    <w:p>
      <w:pPr>
        <w:spacing w:after="120"/>
      </w:pPr>
      <w:r>
        <w:t>Proteja CJI em trânsito por conexões internas, externas, remotas, wireless, cloud e de terceiros usando mecanismos criptográficos aprovados. Mantenha baselines de protocolo, evidência de certificados/keys, configuration checks e exceções.</w:t>
      </w:r>
    </w:p>
    <w:p>
      <w:pPr>
        <w:pStyle w:val="Heading2"/>
      </w:pPr>
      <w:r>
        <w:t>Chapter 15 — Criptografia em repouso</w:t>
      </w:r>
    </w:p>
    <w:p>
      <w:pPr>
        <w:spacing w:after="120"/>
      </w:pPr>
      <w:r>
        <w:t>Proteja CJI armazenada quando exigido pelo contexto aplicável CJIS/CSA. Mantenha inventários de storage, decisões de criptografia, settings técnicos, dependências de chaves, exceções e evidência de validação.</w:t>
      </w:r>
    </w:p>
    <w:p>
      <w:pPr>
        <w:pStyle w:val="Heading2"/>
      </w:pPr>
      <w:r>
        <w:t>Chapter 16 — Governança criptográfica e de chaves</w:t>
      </w:r>
    </w:p>
    <w:p>
      <w:pPr>
        <w:spacing w:after="120"/>
      </w:pPr>
      <w:r>
        <w:t>Defina ownership, geração, armazenamento, rotação, revogação, recuperação, backup e aposentadoria de chaves/certificados que protegem CJI. Mantenha inventários, custodians, registros de mudança e resultados de testes.</w:t>
      </w:r>
    </w:p>
    <w:p>
      <w:pPr>
        <w:pStyle w:val="Heading2"/>
      </w:pPr>
      <w:r>
        <w:t>Chapter 17 — Logging e registros de auditoria</w:t>
      </w:r>
    </w:p>
    <w:p>
      <w:pPr>
        <w:spacing w:after="120"/>
      </w:pPr>
      <w:r>
        <w:t>Capture eventos relevantes para segurança em sistemas CJI, atividade administrativa, autenticação, acesso, mudanças de configuração e investigação de incidentes conforme aplicável. Mantenha escopo, racional de retenção, access controls, evidência de review e exceções.</w:t>
      </w:r>
    </w:p>
    <w:p>
      <w:pPr>
        <w:pStyle w:val="Heading2"/>
      </w:pPr>
      <w:r>
        <w:t>Chapter 18 — Monitoring e sincronização de tempo</w:t>
      </w:r>
    </w:p>
    <w:p>
      <w:pPr>
        <w:spacing w:after="120"/>
      </w:pPr>
      <w:r>
        <w:t>Mantenha monitoring, alerting, time synchronization, event correlation e escalonamento suficientes para operações de segurança e integridade de evidência. Preserve cobertura, fontes de tempo, tratamento de alertas e evidência de revisão.</w:t>
      </w:r>
    </w:p>
    <w:p>
      <w:pPr>
        <w:pStyle w:val="Heading2"/>
      </w:pPr>
      <w:r>
        <w:t>Chapter 19 — Proteção de media</w:t>
      </w:r>
    </w:p>
    <w:p>
      <w:pPr>
        <w:spacing w:after="120"/>
      </w:pPr>
      <w:r>
        <w:t>Controle criação, marcação, armazenamento, transporte, reutilização, sanitização e descarte de media com CJI. Mantenha chain of custody, evidência de sanitização, destruição, exceções e verificações periódicas.</w:t>
      </w:r>
    </w:p>
    <w:p>
      <w:pPr>
        <w:pStyle w:val="Heading2"/>
      </w:pPr>
      <w:r>
        <w:t>Chapter 20 — Acesso móvel, remoto e wireless</w:t>
      </w:r>
    </w:p>
    <w:p>
      <w:pPr>
        <w:spacing w:after="120"/>
      </w:pPr>
      <w:r>
        <w:t>Governe dispositivos móveis, acesso remoto, teletrabalho, conectividade wireless e sistemas portáteis conforme aplicabilidade e risco documentados. Mantenha configurações aprovadas, autorização de usuários, device controls, métodos de conexão, monitoring e exceções.</w:t>
      </w:r>
    </w:p>
    <w:p>
      <w:pPr>
        <w:pStyle w:val="Heading2"/>
      </w:pPr>
      <w:r>
        <w:t>Chapter 21 — Arquitetura de rede e segurança</w:t>
      </w:r>
    </w:p>
    <w:p>
      <w:pPr>
        <w:spacing w:after="120"/>
      </w:pPr>
      <w:r>
        <w:t>Documente segmentação, trust boundaries, security zones, conexões externas, management networks, caminhos administrativos e tecnologias protetoras. Mantenha diagramas, configuration baselines, aprovações e revisões.</w:t>
      </w:r>
    </w:p>
    <w:p>
      <w:pPr>
        <w:pStyle w:val="Heading2"/>
      </w:pPr>
      <w:r>
        <w:t>Chapter 22 — Vulnerabilidades, patching e configuração</w:t>
      </w:r>
    </w:p>
    <w:p>
      <w:pPr>
        <w:spacing w:after="120"/>
      </w:pPr>
      <w:r>
        <w:t>Defina identificação, priorização e remediação de vulnerabilidades, patching, secure configuration, change control e exceções para sistemas CJI e dependências. Mantenha scans/tests, tracking de remediação, baselines aprovados e decisões de risco.</w:t>
      </w:r>
    </w:p>
    <w:p>
      <w:pPr>
        <w:pStyle w:val="Heading2"/>
      </w:pPr>
      <w:r>
        <w:t>Chapter 23 — Resposta e reporte de incidentes</w:t>
      </w:r>
    </w:p>
    <w:p>
      <w:pPr>
        <w:spacing w:after="120"/>
      </w:pPr>
      <w:r>
        <w:t>Integre eventos CJI em intake, triage, containment, preservação de evidência, escalonamento, reporting, recuperação e lessons learned. Mantenha incident records, decisões de notificação, timelines, comunicações e ações corretivas.</w:t>
      </w:r>
    </w:p>
    <w:p>
      <w:pPr>
        <w:pStyle w:val="Heading2"/>
      </w:pPr>
      <w:r>
        <w:t>Chapter 24 — Governança de cloud e service providers</w:t>
      </w:r>
    </w:p>
    <w:p>
      <w:pPr>
        <w:spacing w:after="120"/>
      </w:pPr>
      <w:r>
        <w:t>Avalie cloud, managed, hosted, SaaS, suporte e infraestrutura para aplicabilidade CJI, responsabilidades, acesso, localização de dados, segurança, monitoring, subcontracting, incidentes, retenção e saída. Mantenha due diligence, contratos, arquitetura, aprovações e oversight.</w:t>
      </w:r>
    </w:p>
    <w:p>
      <w:pPr>
        <w:pStyle w:val="Heading2"/>
      </w:pPr>
      <w:r>
        <w:t>Chapter 25 — Outsourcing, security addenda e acordos</w:t>
      </w:r>
    </w:p>
    <w:p>
      <w:pPr>
        <w:spacing w:after="120"/>
      </w:pPr>
      <w:r>
        <w:t>Mantenha acordos exigidos, security addenda, controles contratuais, declarações de responsabilidade e evidência de conformidade para terceiros. Distinga política FBI, implementação CSA, deveres contratuais e controles internos.</w:t>
      </w:r>
    </w:p>
    <w:p>
      <w:pPr>
        <w:pStyle w:val="Heading2"/>
      </w:pPr>
      <w:r>
        <w:t>Chapter 26 — Backup, resiliência e continuidade</w:t>
      </w:r>
    </w:p>
    <w:p>
      <w:pPr>
        <w:spacing w:after="120"/>
      </w:pPr>
      <w:r>
        <w:t>Proteja backups e capacidades de recuperação de sistemas CJI em conformidade com requisitos de segurança, disponibilidade, integridade e acesso. Mantenha inventários, restoration tests, recovery objectives, decisões de processamento alternativo e ações corretivas.</w:t>
      </w:r>
    </w:p>
    <w:p>
      <w:pPr>
        <w:pStyle w:val="Heading2"/>
      </w:pPr>
      <w:r>
        <w:t>Chapter 27 — Retenção e descarte de dados</w:t>
      </w:r>
    </w:p>
    <w:p>
      <w:pPr>
        <w:spacing w:after="120"/>
      </w:pPr>
      <w:r>
        <w:t>Defina retenção, arquivamento, exclusão, sanitização, legal hold e disposal usando requisitos CJIS, records, legais, contratuais e de agência aplicáveis. Não apresente CJIS como calendário universal de retenção.</w:t>
      </w:r>
    </w:p>
    <w:p>
      <w:pPr>
        <w:pStyle w:val="Heading2"/>
      </w:pPr>
      <w:r>
        <w:t>Chapter 28 — Auditorias e assessments</w:t>
      </w:r>
    </w:p>
    <w:p>
      <w:pPr>
        <w:spacing w:after="120"/>
      </w:pPr>
      <w:r>
        <w:t>Planeje e execute reviews internos, technical testing, validação de evidência, assessments externos/CSA e tracking de remediação. Mantenha escopo, amostras, findings, severidade, ownership, datas, retests e decisões de encerramento.</w:t>
      </w:r>
    </w:p>
    <w:p>
      <w:pPr>
        <w:pStyle w:val="Heading2"/>
      </w:pPr>
      <w:r>
        <w:t>Chapter 29 — Ações corretivas e exceções</w:t>
      </w:r>
    </w:p>
    <w:p>
      <w:pPr>
        <w:spacing w:after="120"/>
      </w:pPr>
      <w:r>
        <w:t>Governe findings, corrective actions, desvios temporários, compensating measures, risk acceptance, expiração e reapproval. Mantenha root cause, owner, target date, evidência, approvals e validação de encerramento.</w:t>
      </w:r>
    </w:p>
    <w:p>
      <w:pPr>
        <w:pStyle w:val="Heading2"/>
      </w:pPr>
      <w:r>
        <w:t>Chapter 30 — Métricas e management review</w:t>
      </w:r>
    </w:p>
    <w:p>
      <w:pPr>
        <w:spacing w:after="120"/>
      </w:pPr>
      <w:r>
        <w:t>Acompanhe exceções de access review, patches vencidos, findings de privilégios, training completion, incidentes, findings abertos, problemas de provedores e change-watch. Management review deve documentar decisões, recursos, escalonamento e prioridades.</w:t>
      </w:r>
    </w:p>
    <w:p>
      <w:pPr>
        <w:pStyle w:val="Heading2"/>
      </w:pPr>
      <w:r>
        <w:t>Chapter 31 — Localização, proveniência e evidência de release</w:t>
      </w:r>
    </w:p>
    <w:p>
      <w:pPr>
        <w:spacing w:after="120"/>
      </w:pPr>
      <w:r>
        <w:t>Congele candidatos EN/es-419/pt-BR antes da revisão final exata. Vincule identidades DOCX/PDF a SHA-256 e preserve estrutura, paridade, acessibilidade, rendered-page review, versão de fontes, workflow security e staging.</w:t>
      </w:r>
    </w:p>
    <w:p>
      <w:pPr>
        <w:pStyle w:val="Heading2"/>
      </w:pPr>
      <w:r>
        <w:t>Chapter 32 — Roadmap e reverificação no release</w:t>
      </w:r>
    </w:p>
    <w:p>
      <w:pPr>
        <w:spacing w:after="120"/>
      </w:pPr>
      <w:r>
        <w:t>Implemente por fases: aplicabilidade/inventário; governança; pessoas/acesso; arquitetura/criptografia; logging/monitoring; endpoint/media/remoto; provedores; incidentes/resiliência; assurance; melhoria contínua. Antes de publicar, reverifique a versão vigente da FBI CJIS Security Policy e requisitos CSA aplicáveis; a publicação permanece sequencial após o Manual 39.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