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27 — Data Governance &amp; Privacy Engineering Controlled Implementation</w:t>
      </w:r>
    </w:p>
    <w:p>
      <w:r>
        <w:rPr>
          <w:b/>
        </w:rPr>
        <w:t>Controlled English master — release candidate source</w:t>
      </w:r>
    </w:p>
    <w:p>
      <w:pPr>
        <w:spacing w:after="120"/>
      </w:pPr>
      <w:r>
        <w:t>**Series order:** 27</w:t>
      </w:r>
    </w:p>
    <w:p>
      <w:pPr>
        <w:spacing w:after="120"/>
      </w:pPr>
      <w:r>
        <w:t>**Published NIST framework baseline:** NIST Privacy Framework 1.0</w:t>
      </w:r>
    </w:p>
    <w:p>
      <w:pPr>
        <w:spacing w:after="120"/>
      </w:pPr>
      <w:r>
        <w:t>**Change-watch:** NIST Privacy Framework 1.1 Initial Public Draft / forthcoming final</w:t>
      </w:r>
    </w:p>
    <w:p>
      <w:pPr>
        <w:spacing w:after="120"/>
      </w:pPr>
      <w:r>
        <w:t>**Privacy-engineering reference:** NISTIR 8062</w:t>
      </w:r>
    </w:p>
    <w:p>
      <w:pPr>
        <w:spacing w:after="120"/>
      </w:pPr>
      <w:r>
        <w:t>**Boundary:** This manual is implementation guidance, not legal advice, regulator approval, certification, or a substitute for jurisdiction-specific law.</w:t>
      </w:r>
    </w:p>
    <w:p>
      <w:pPr>
        <w:pStyle w:val="Heading2"/>
      </w:pPr>
      <w:r>
        <w:t>01. Purpose, scope, and boundaries</w:t>
      </w:r>
    </w:p>
    <w:p>
      <w:pPr>
        <w:spacing w:after="120"/>
      </w:pPr>
      <w:r>
        <w:t>Define enterprise data-governance and privacy-engineering practices without conflating guidance with jurisdiction-specific legal obligations.</w:t>
      </w:r>
    </w:p>
    <w:p>
      <w:pPr>
        <w:pStyle w:val="Heading2"/>
      </w:pPr>
      <w:r>
        <w:t>02. Source hierarchy and change control</w:t>
      </w:r>
    </w:p>
    <w:p>
      <w:pPr>
        <w:spacing w:after="120"/>
      </w:pPr>
      <w:r>
        <w:t>Separate laws/regulations, regulator guidance, NIST Privacy Framework, privacy-engineering guidance, contracts, policy, and internal standards.</w:t>
      </w:r>
    </w:p>
    <w:p>
      <w:pPr>
        <w:pStyle w:val="Heading2"/>
      </w:pPr>
      <w:r>
        <w:t>03. Data governance operating model</w:t>
      </w:r>
    </w:p>
    <w:p>
      <w:pPr>
        <w:spacing w:after="120"/>
      </w:pPr>
      <w:r>
        <w:t>Define councils, stewards, custodians, owners, privacy, security, legal, records, architecture, and business-accountability roles.</w:t>
      </w:r>
    </w:p>
    <w:p>
      <w:pPr>
        <w:pStyle w:val="Heading2"/>
      </w:pPr>
      <w:r>
        <w:t>04. Data inventory and lineage</w:t>
      </w:r>
    </w:p>
    <w:p>
      <w:pPr>
        <w:spacing w:after="120"/>
      </w:pPr>
      <w:r>
        <w:t>Maintain authoritative inventories of data domains, systems, flows, stores, processors, transfers, and lineage relationships.</w:t>
      </w:r>
    </w:p>
    <w:p>
      <w:pPr>
        <w:pStyle w:val="Heading2"/>
      </w:pPr>
      <w:r>
        <w:t>05. Classification and handling</w:t>
      </w:r>
    </w:p>
    <w:p>
      <w:pPr>
        <w:spacing w:after="120"/>
      </w:pPr>
      <w:r>
        <w:t>Establish classification criteria, handling rules, access conditions, sharing limits, protection requirements, and evidence.</w:t>
      </w:r>
    </w:p>
    <w:p>
      <w:pPr>
        <w:pStyle w:val="Heading2"/>
      </w:pPr>
      <w:r>
        <w:t>06. Purpose specification and use limitation</w:t>
      </w:r>
    </w:p>
    <w:p>
      <w:pPr>
        <w:spacing w:after="120"/>
      </w:pPr>
      <w:r>
        <w:t>Record approved business purposes, compatible uses, restrictions, owners, review triggers, and exceptions.</w:t>
      </w:r>
    </w:p>
    <w:p>
      <w:pPr>
        <w:pStyle w:val="Heading2"/>
      </w:pPr>
      <w:r>
        <w:t>07. Data minimization</w:t>
      </w:r>
    </w:p>
    <w:p>
      <w:pPr>
        <w:spacing w:after="120"/>
      </w:pPr>
      <w:r>
        <w:t>Collect, create, retain, and expose only data proportionate to defined purposes and obligations.</w:t>
      </w:r>
    </w:p>
    <w:p>
      <w:pPr>
        <w:pStyle w:val="Heading2"/>
      </w:pPr>
      <w:r>
        <w:t>08. Data quality and accuracy</w:t>
      </w:r>
    </w:p>
    <w:p>
      <w:pPr>
        <w:spacing w:after="120"/>
      </w:pPr>
      <w:r>
        <w:t>Define quality dimensions, validation, correction, ownership, monitoring, and issue-management controls.</w:t>
      </w:r>
    </w:p>
    <w:p>
      <w:pPr>
        <w:pStyle w:val="Heading2"/>
      </w:pPr>
      <w:r>
        <w:t>09. Retention and deletion</w:t>
      </w:r>
    </w:p>
    <w:p>
      <w:pPr>
        <w:spacing w:after="120"/>
      </w:pPr>
      <w:r>
        <w:t>Implement retention schedules, legal holds, deletion, archival, disposal, exceptions, and evidence of execution.</w:t>
      </w:r>
    </w:p>
    <w:p>
      <w:pPr>
        <w:pStyle w:val="Heading2"/>
      </w:pPr>
      <w:r>
        <w:t>10. Access governance</w:t>
      </w:r>
    </w:p>
    <w:p>
      <w:pPr>
        <w:spacing w:after="120"/>
      </w:pPr>
      <w:r>
        <w:t>Apply least privilege, role/attribute-based controls, privileged access, periodic review, segregation, and revocation.</w:t>
      </w:r>
    </w:p>
    <w:p>
      <w:pPr>
        <w:pStyle w:val="Heading2"/>
      </w:pPr>
      <w:r>
        <w:t>11. Data sharing and disclosure</w:t>
      </w:r>
    </w:p>
    <w:p>
      <w:pPr>
        <w:spacing w:after="120"/>
      </w:pPr>
      <w:r>
        <w:t>Control internal and external sharing through authorization, agreements, purpose restrictions, minimization, logging, and review.</w:t>
      </w:r>
    </w:p>
    <w:p>
      <w:pPr>
        <w:pStyle w:val="Heading2"/>
      </w:pPr>
      <w:r>
        <w:t>12. Cross-border and jurisdictional data flows</w:t>
      </w:r>
    </w:p>
    <w:p>
      <w:pPr>
        <w:spacing w:after="120"/>
      </w:pPr>
      <w:r>
        <w:t>Maintain legal/contractual transfer assessments and avoid assuming a single global transfer mechanism applies everywhere.</w:t>
      </w:r>
    </w:p>
    <w:p>
      <w:pPr>
        <w:pStyle w:val="Heading2"/>
      </w:pPr>
      <w:r>
        <w:t>13. Privacy risk assessment</w:t>
      </w:r>
    </w:p>
    <w:p>
      <w:pPr>
        <w:spacing w:after="120"/>
      </w:pPr>
      <w:r>
        <w:t>Identify privacy harms, affected individuals, likelihood, severity, mitigations, residual risk, and reassessment triggers.</w:t>
      </w:r>
    </w:p>
    <w:p>
      <w:pPr>
        <w:pStyle w:val="Heading2"/>
      </w:pPr>
      <w:r>
        <w:t>14. Privacy engineering objectives</w:t>
      </w:r>
    </w:p>
    <w:p>
      <w:pPr>
        <w:spacing w:after="120"/>
      </w:pPr>
      <w:r>
        <w:t>Translate privacy goals into system properties such as predictability, manageability, disassociability, control, and transparency.</w:t>
      </w:r>
    </w:p>
    <w:p>
      <w:pPr>
        <w:pStyle w:val="Heading2"/>
      </w:pPr>
      <w:r>
        <w:t>15. Privacy by design and default</w:t>
      </w:r>
    </w:p>
    <w:p>
      <w:pPr>
        <w:spacing w:after="120"/>
      </w:pPr>
      <w:r>
        <w:t>Embed privacy requirements into architecture, SDLC, procurement, change management, and default configurations.</w:t>
      </w:r>
    </w:p>
    <w:p>
      <w:pPr>
        <w:pStyle w:val="Heading2"/>
      </w:pPr>
      <w:r>
        <w:t>16. Consent and preference management</w:t>
      </w:r>
    </w:p>
    <w:p>
      <w:pPr>
        <w:spacing w:after="120"/>
      </w:pPr>
      <w:r>
        <w:t>Where applicable, govern notices, choices, consent state, withdrawal, preference propagation, evidence, and exceptions.</w:t>
      </w:r>
    </w:p>
    <w:p>
      <w:pPr>
        <w:pStyle w:val="Heading2"/>
      </w:pPr>
      <w:r>
        <w:t>17. Individual rights operations</w:t>
      </w:r>
    </w:p>
    <w:p>
      <w:pPr>
        <w:spacing w:after="120"/>
      </w:pPr>
      <w:r>
        <w:t>Support access, correction, deletion, portability, objection, restriction, and other applicable rights with jurisdiction-aware workflows.</w:t>
      </w:r>
    </w:p>
    <w:p>
      <w:pPr>
        <w:pStyle w:val="Heading2"/>
      </w:pPr>
      <w:r>
        <w:t>18. Identity and sensitive-data protection</w:t>
      </w:r>
    </w:p>
    <w:p>
      <w:pPr>
        <w:spacing w:after="120"/>
      </w:pPr>
      <w:r>
        <w:t>Apply stronger governance for identifiers, credentials, health, financial, biometric, precise-location, children’s, and similarly sensitive data as applicable.</w:t>
      </w:r>
    </w:p>
    <w:p>
      <w:pPr>
        <w:pStyle w:val="Heading2"/>
      </w:pPr>
      <w:r>
        <w:t>19. De-identification and pseudonymization</w:t>
      </w:r>
    </w:p>
    <w:p>
      <w:pPr>
        <w:spacing w:after="120"/>
      </w:pPr>
      <w:r>
        <w:t>Define approved techniques, re-identification risk assessment, controls, testing, contracts, and use restrictions.</w:t>
      </w:r>
    </w:p>
    <w:p>
      <w:pPr>
        <w:pStyle w:val="Heading2"/>
      </w:pPr>
      <w:r>
        <w:t>20. Privacy-enhancing technologies</w:t>
      </w:r>
    </w:p>
    <w:p>
      <w:pPr>
        <w:spacing w:after="120"/>
      </w:pPr>
      <w:r>
        <w:t>Evaluate encryption, tokenization, secure computation, differential privacy, federated techniques, synthetic data, and other PETs proportionate to risk.</w:t>
      </w:r>
    </w:p>
    <w:p>
      <w:pPr>
        <w:pStyle w:val="Heading2"/>
      </w:pPr>
      <w:r>
        <w:t>21. Logging, monitoring, and observability</w:t>
      </w:r>
    </w:p>
    <w:p>
      <w:pPr>
        <w:spacing w:after="120"/>
      </w:pPr>
      <w:r>
        <w:t>Log access, sharing, deletion, consent state, rights requests, policy exceptions, and material data-flow changes.</w:t>
      </w:r>
    </w:p>
    <w:p>
      <w:pPr>
        <w:pStyle w:val="Heading2"/>
      </w:pPr>
      <w:r>
        <w:t>22. Third-party data governance</w:t>
      </w:r>
    </w:p>
    <w:p>
      <w:pPr>
        <w:spacing w:after="120"/>
      </w:pPr>
      <w:r>
        <w:t>Assess processors/vendors, instructions, sub-processing, evidence, security/privacy controls, retention, deletion, and incident obligations.</w:t>
      </w:r>
    </w:p>
    <w:p>
      <w:pPr>
        <w:pStyle w:val="Heading2"/>
      </w:pPr>
      <w:r>
        <w:t>23. Cloud and data-platform governance</w:t>
      </w:r>
    </w:p>
    <w:p>
      <w:pPr>
        <w:spacing w:after="120"/>
      </w:pPr>
      <w:r>
        <w:t>Govern data lakes, warehouses, SaaS, analytics platforms, object stores, APIs, notebooks, and cross-account sharing.</w:t>
      </w:r>
    </w:p>
    <w:p>
      <w:pPr>
        <w:pStyle w:val="Heading2"/>
      </w:pPr>
      <w:r>
        <w:t>24. Analytics and secondary use</w:t>
      </w:r>
    </w:p>
    <w:p>
      <w:pPr>
        <w:spacing w:after="120"/>
      </w:pPr>
      <w:r>
        <w:t>Review new analytics, enrichment, inference, profiling, and reuse for purpose compatibility, privacy risk, fairness, and transparency.</w:t>
      </w:r>
    </w:p>
    <w:p>
      <w:pPr>
        <w:pStyle w:val="Heading2"/>
      </w:pPr>
      <w:r>
        <w:t>25. Records and evidence architecture</w:t>
      </w:r>
    </w:p>
    <w:p>
      <w:pPr>
        <w:spacing w:after="120"/>
      </w:pPr>
      <w:r>
        <w:t>Maintain decisions, assessments, approvals, mappings, exceptions, notices, contracts, logs, issue records, and remediation evidence.</w:t>
      </w:r>
    </w:p>
    <w:p>
      <w:pPr>
        <w:pStyle w:val="Heading2"/>
      </w:pPr>
      <w:r>
        <w:t>26. Incident and breach coordination</w:t>
      </w:r>
    </w:p>
    <w:p>
      <w:pPr>
        <w:spacing w:after="120"/>
      </w:pPr>
      <w:r>
        <w:t>Integrate data governance with security/privacy incident detection, containment, assessment, notification, recovery, and lessons learned.</w:t>
      </w:r>
    </w:p>
    <w:p>
      <w:pPr>
        <w:pStyle w:val="Heading2"/>
      </w:pPr>
      <w:r>
        <w:t>27. Metrics and indicators</w:t>
      </w:r>
    </w:p>
    <w:p>
      <w:pPr>
        <w:spacing w:after="120"/>
      </w:pPr>
      <w:r>
        <w:t>Track inventory coverage, data quality, rights performance, retention execution, access review, privacy risk, vendor issues, and remediation aging.</w:t>
      </w:r>
    </w:p>
    <w:p>
      <w:pPr>
        <w:pStyle w:val="Heading2"/>
      </w:pPr>
      <w:r>
        <w:t>28. Training and role competence</w:t>
      </w:r>
    </w:p>
    <w:p>
      <w:pPr>
        <w:spacing w:after="120"/>
      </w:pPr>
      <w:r>
        <w:t>Provide role-based training for owners, stewards, engineers, analysts, privacy, security, procurement, and leadership.</w:t>
      </w:r>
    </w:p>
    <w:p>
      <w:pPr>
        <w:pStyle w:val="Heading2"/>
      </w:pPr>
      <w:r>
        <w:t>29. Assurance and testing</w:t>
      </w:r>
    </w:p>
    <w:p>
      <w:pPr>
        <w:spacing w:after="120"/>
      </w:pPr>
      <w:r>
        <w:t>Test governance design and operation through sampling, control validation, technical testing, rights-request review, and evidence inspection.</w:t>
      </w:r>
    </w:p>
    <w:p>
      <w:pPr>
        <w:pStyle w:val="Heading2"/>
      </w:pPr>
      <w:r>
        <w:t>30. Management review</w:t>
      </w:r>
    </w:p>
    <w:p>
      <w:pPr>
        <w:spacing w:after="120"/>
      </w:pPr>
      <w:r>
        <w:t>Review performance, regulatory change, incidents, privacy risk, metrics, exceptions, resources, and improvement priorities.</w:t>
      </w:r>
    </w:p>
    <w:p>
      <w:pPr>
        <w:pStyle w:val="Heading2"/>
      </w:pPr>
      <w:r>
        <w:t>31. Continual improvement</w:t>
      </w:r>
    </w:p>
    <w:p>
      <w:pPr>
        <w:spacing w:after="120"/>
      </w:pPr>
      <w:r>
        <w:t>Use findings, incidents, complaints, audit results, technology change, and regulatory change to drive controlled improvements.</w:t>
      </w:r>
    </w:p>
    <w:p>
      <w:pPr>
        <w:pStyle w:val="Heading2"/>
      </w:pPr>
      <w:r>
        <w:t>32. Release and implementation roadmap</w:t>
      </w:r>
    </w:p>
    <w:p>
      <w:pPr>
        <w:spacing w:after="120"/>
      </w:pPr>
      <w:r>
        <w:t>Package Essential / Structured / Enhanced implementation paths with source verification, localization, accessibility, provenance, checksums, workflow-security, human-review evidence where required, and sequential release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