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58.png" ContentType="image/png"/>
  <Override PartName="/word/media/rId67.png" ContentType="image/png"/>
  <Override PartName="/word/media/rId7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31" w:name="nist-csf-2.0-foundations"/>
    <w:p>
      <w:pPr>
        <w:pStyle w:val="Heading1"/>
      </w:pPr>
      <w:r>
        <w:t xml:space="preserve">1. NIST CSF 2.0 Foundations</w:t>
      </w:r>
    </w:p>
    <w:p>
      <w:pPr>
        <w:pStyle w:val="FirstParagraph"/>
      </w:pPr>
      <w:r>
        <w:rPr>
          <w:iCs/>
          <w:i/>
        </w:rPr>
        <w:t xml:space="preserve">Qué marco es, qué cambió, y lo que no reclama.</w:t>
      </w:r>
    </w:p>
    <w:p>
      <w:pPr>
        <w:pStyle w:val="CaptionedFigure"/>
      </w:pPr>
      <w:r>
        <w:drawing>
          <wp:inline>
            <wp:extent cx="5334000" cy="2963333"/>
            <wp:effectExtent b="0" l="0" r="0" t="0"/>
            <wp:docPr descr="Govern, Identificar, Proteger, Detectar, Responder y Recuperar el trabajo como un sistema conectado." title="" id="26" name="Picture"/>
            <a:graphic>
              <a:graphicData uri="http://schemas.openxmlformats.org/drawingml/2006/picture">
                <pic:pic>
                  <pic:nvPicPr>
                    <pic:cNvPr descr="media/image1_es-419.png" id="27" name="Picture"/>
                    <pic:cNvPicPr>
                      <a:picLocks noChangeArrowheads="1" noChangeAspect="1"/>
                    </pic:cNvPicPr>
                  </pic:nvPicPr>
                  <pic:blipFill>
                    <a:blip r:embed="rId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Govern, Identificar, Proteger, Detectar, Responder y Recuperar el trabajo como un sistema conectado.</w:t>
      </w:r>
    </w:p>
    <w:p>
      <w:pPr>
        <w:pStyle w:val="BodyText"/>
      </w:pPr>
      <w:r>
        <w:t xml:space="preserve">Figura 1. Las seis funciones NIST CSF 2.0</w:t>
      </w:r>
    </w:p>
    <w:bookmarkStart w:id="28"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8"/>
    <w:bookmarkStart w:id="29"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9"/>
    <w:bookmarkStart w:id="30"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30"/>
    <w:bookmarkEnd w:id="31"/>
    <w:bookmarkStart w:id="57"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CaptionedFigure"/>
      </w:pPr>
      <w:r>
        <w:drawing>
          <wp:inline>
            <wp:extent cx="5334000" cy="2963333"/>
            <wp:effectExtent b="0" l="0" r="0" t="0"/>
            <wp:docPr descr="Las fusiones contienen Categorías, que contienen Subcategorías específicas centradas en el resultado." title="" id="33" name="Picture"/>
            <a:graphic>
              <a:graphicData uri="http://schemas.openxmlformats.org/drawingml/2006/picture">
                <pic:pic>
                  <pic:nvPicPr>
                    <pic:cNvPr descr="media/image2_es-419.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Las fusiones contienen Categorías, que contienen Subcategorías específicas centradas en el resultado.</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35"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7"/>
    <w:bookmarkStart w:id="38"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40"/>
    <w:bookmarkStart w:id="41"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2"/>
    <w:bookmarkStart w:id="43"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43"/>
    <w:bookmarkStart w:id="44"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4"/>
    <w:bookmarkStart w:id="45"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8"/>
    <w:bookmarkStart w:id="49"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50"/>
    <w:bookmarkStart w:id="51"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1"/>
    <w:bookmarkStart w:id="52"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2"/>
    <w:bookmarkStart w:id="53"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3"/>
    <w:bookmarkStart w:id="54"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54"/>
    <w:bookmarkStart w:id="55"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5"/>
    <w:bookmarkStart w:id="56"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6"/>
    <w:bookmarkEnd w:id="57"/>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CaptionedFigure"/>
      </w:pPr>
      <w:r>
        <w:drawing>
          <wp:inline>
            <wp:extent cx="5334000" cy="2963333"/>
            <wp:effectExtent b="0" l="0" r="0" t="0"/>
            <wp:docPr descr="A Target Profile es útil cuando sus brechas se convierten en acción de propiedad, financiada y basada en el riesgo." title="" id="59" name="Picture"/>
            <a:graphic>
              <a:graphicData uri="http://schemas.openxmlformats.org/drawingml/2006/picture">
                <pic:pic>
                  <pic:nvPicPr>
                    <pic:cNvPr descr="media/image3_es-419.png" id="60" name="Picture"/>
                    <pic:cNvPicPr>
                      <a:picLocks noChangeArrowheads="1" noChangeAspect="1"/>
                    </pic:cNvPicPr>
                  </pic:nvPicPr>
                  <pic:blipFill>
                    <a:blip r:embed="rId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 Target Profile es útil cuando sus brechas se convierten en acción de propiedad, financiada y basada en el riesgo.</w:t>
      </w:r>
    </w:p>
    <w:p>
      <w:pPr>
        <w:pStyle w:val="BodyText"/>
      </w:pPr>
      <w:r>
        <w:t xml:space="preserve">Gráfico 3 Perfil actual del plan de acción</w:t>
      </w:r>
    </w:p>
    <w:bookmarkStart w:id="61"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61"/>
    <w:bookmarkStart w:id="62"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62"/>
    <w:bookmarkStart w:id="63"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63"/>
    <w:bookmarkEnd w:id="64"/>
    <w:bookmarkStart w:id="65"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65"/>
    <w:bookmarkStart w:id="71"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66"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66"/>
    <w:bookmarkStart w:id="70"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CaptionedFigure"/>
      </w:pPr>
      <w:r>
        <w:drawing>
          <wp:inline>
            <wp:extent cx="5334000" cy="2963333"/>
            <wp:effectExtent b="0" l="0" r="0" t="0"/>
            <wp:docPr descr="Plan, select, contract, monitor, y salida con responsabilidades de seguridad definidas" title="" id="68" name="Picture"/>
            <a:graphic>
              <a:graphicData uri="http://schemas.openxmlformats.org/drawingml/2006/picture">
                <pic:pic>
                  <pic:nvPicPr>
                    <pic:cNvPr descr="media/image4_es-419.png" id="69" name="Picture"/>
                    <pic:cNvPicPr>
                      <a:picLocks noChangeArrowheads="1" noChangeAspect="1"/>
                    </pic:cNvPicPr>
                  </pic:nvPicPr>
                  <pic:blipFill>
                    <a:blip r:embed="rId6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Plan, select, contract, monitor, y salida con responsabilidades de seguridad definidas</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70"/>
    <w:bookmarkEnd w:id="71"/>
    <w:bookmarkStart w:id="73"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72"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72"/>
    <w:bookmarkEnd w:id="73"/>
    <w:bookmarkStart w:id="116"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74"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74"/>
    <w:bookmarkStart w:id="78"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CaptionedFigure"/>
      </w:pPr>
      <w:r>
        <w:drawing>
          <wp:inline>
            <wp:extent cx="5334000" cy="2963333"/>
            <wp:effectExtent b="0" l="0" r="0" t="0"/>
            <wp:docPr descr="Autorización, validación, acción correctiva, y retesting convierten la producción técnica en evidencia útil." title="" id="76" name="Picture"/>
            <a:graphic>
              <a:graphicData uri="http://schemas.openxmlformats.org/drawingml/2006/picture">
                <pic:pic>
                  <pic:nvPicPr>
                    <pic:cNvPr descr="media/image5_es-419.png" id="77"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Autorización, validación, acción correctiva, y retesting convierten la producción técnica en evidencia útil.</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78"/>
    <w:bookmarkStart w:id="79"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79"/>
    <w:bookmarkStart w:id="81"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80"/>
    <w:bookmarkEnd w:id="81"/>
    <w:bookmarkStart w:id="82"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83"/>
    <w:bookmarkEnd w:id="84"/>
    <w:bookmarkStart w:id="85"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86"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86"/>
    <w:bookmarkEnd w:id="87"/>
    <w:bookmarkStart w:id="88"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89"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89"/>
    <w:bookmarkEnd w:id="90"/>
    <w:bookmarkStart w:id="91"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1"/>
    <w:bookmarkStart w:id="93"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92"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92"/>
    <w:bookmarkEnd w:id="93"/>
    <w:bookmarkStart w:id="94"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4"/>
    <w:bookmarkStart w:id="96"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95"/>
    <w:bookmarkEnd w:id="96"/>
    <w:bookmarkStart w:id="97"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7"/>
    <w:bookmarkStart w:id="99"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98"/>
    <w:bookmarkEnd w:id="99"/>
    <w:bookmarkStart w:id="100"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00"/>
    <w:bookmarkStart w:id="102"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101"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101"/>
    <w:bookmarkEnd w:id="102"/>
    <w:bookmarkStart w:id="103"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03"/>
    <w:bookmarkStart w:id="105"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104"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104"/>
    <w:bookmarkEnd w:id="105"/>
    <w:bookmarkStart w:id="107"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106"/>
    <w:bookmarkEnd w:id="107"/>
    <w:bookmarkStart w:id="108"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08"/>
    <w:bookmarkStart w:id="110"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109"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109"/>
    <w:bookmarkEnd w:id="110"/>
    <w:bookmarkStart w:id="111"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11"/>
    <w:bookmarkStart w:id="113"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112"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112"/>
    <w:bookmarkEnd w:id="113"/>
    <w:bookmarkStart w:id="114"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14"/>
    <w:bookmarkStart w:id="115"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15"/>
    <w:bookmarkEnd w:id="116"/>
    <w:bookmarkStart w:id="120"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17"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17"/>
    <w:bookmarkStart w:id="118"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18"/>
    <w:bookmarkStart w:id="119"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19"/>
    <w:bookmarkEnd w:id="120"/>
    <w:bookmarkStart w:id="144"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CaptionedFigure"/>
      </w:pPr>
      <w:r>
        <w:drawing>
          <wp:inline>
            <wp:extent cx="5334000" cy="2963333"/>
            <wp:effectExtent b="0" l="0" r="0" t="0"/>
            <wp:docPr descr="Aprender, mapa, test, reportar y aplicar con evidencia de cartera honesta." title="" id="122" name="Picture"/>
            <a:graphic>
              <a:graphicData uri="http://schemas.openxmlformats.org/drawingml/2006/picture">
                <pic:pic>
                  <pic:nvPicPr>
                    <pic:cNvPr descr="media/image6_es-419.png" id="123" name="Picture"/>
                    <pic:cNvPicPr>
                      <a:picLocks noChangeArrowheads="1" noChangeAspect="1"/>
                    </pic:cNvPicPr>
                  </pic:nvPicPr>
                  <pic:blipFill>
                    <a:blip r:embed="rId12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Aprender, mapa, test, reportar y aplicar con evidencia de cartera honesta.</w:t>
      </w:r>
    </w:p>
    <w:p>
      <w:pPr>
        <w:pStyle w:val="BodyText"/>
      </w:pPr>
      <w:r>
        <w:t xml:space="preserve">Figura 8. Vía de analista junior</w:t>
      </w:r>
    </w:p>
    <w:bookmarkStart w:id="124"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24"/>
    <w:bookmarkStart w:id="125"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25"/>
    <w:bookmarkStart w:id="126"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26"/>
    <w:bookmarkStart w:id="127"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27"/>
    <w:bookmarkStart w:id="128"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28"/>
    <w:bookmarkStart w:id="129" w:name="project-4-profiles"/>
    <w:p>
      <w:pPr>
        <w:pStyle w:val="Heading2"/>
      </w:pPr>
      <w:r>
        <w:t xml:space="preserve">Project 4 — Profiles</w:t>
      </w:r>
    </w:p>
    <w:p>
      <w:pPr>
        <w:pStyle w:val="FirstParagraph"/>
      </w:pPr>
      <w:r>
        <w:t xml:space="preserve">Cree perfiles de objetivos actuales y basados en riesgos.</w:t>
      </w:r>
    </w:p>
    <w:bookmarkEnd w:id="129"/>
    <w:bookmarkStart w:id="130"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30"/>
    <w:bookmarkStart w:id="131"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31"/>
    <w:bookmarkStart w:id="132"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32"/>
    <w:bookmarkStart w:id="133"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33"/>
    <w:bookmarkStart w:id="134"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34"/>
    <w:bookmarkStart w:id="135" w:name="cuáles-son-las-seis-funciones"/>
    <w:p>
      <w:pPr>
        <w:pStyle w:val="Heading2"/>
      </w:pPr>
      <w:r>
        <w:t xml:space="preserve">¿Cuáles son las seis Funciones?</w:t>
      </w:r>
    </w:p>
    <w:p>
      <w:pPr>
        <w:pStyle w:val="FirstParagraph"/>
      </w:pPr>
      <w:r>
        <w:t xml:space="preserve">Govern, Identificar, Proteger, Detectar, Responder y Recover.</w:t>
      </w:r>
    </w:p>
    <w:bookmarkEnd w:id="135"/>
    <w:bookmarkStart w:id="136"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36"/>
    <w:bookmarkStart w:id="137"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37"/>
    <w:bookmarkStart w:id="138"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38"/>
    <w:bookmarkStart w:id="139"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39"/>
    <w:bookmarkStart w:id="140"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40"/>
    <w:bookmarkStart w:id="141"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41"/>
    <w:bookmarkStart w:id="142"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42"/>
    <w:bookmarkStart w:id="143"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43"/>
    <w:bookmarkEnd w:id="144"/>
    <w:bookmarkStart w:id="150"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45"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45"/>
    <w:bookmarkStart w:id="146"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46"/>
    <w:bookmarkStart w:id="147"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47"/>
    <w:bookmarkStart w:id="148"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48"/>
    <w:bookmarkStart w:id="149"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49"/>
    <w:bookmarkEnd w:id="150"/>
    <w:bookmarkStart w:id="152"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51"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51"/>
    <w:bookmarkEnd w:id="152"/>
    <w:bookmarkStart w:id="156"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53">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54">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55">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21" Target="media/rId121.png" /><Relationship Type="http://schemas.openxmlformats.org/officeDocument/2006/relationships/hyperlink" Id="rId154" Target="https://doi.org/10.6028/NIST.SP.1301" TargetMode="External" /><Relationship Type="http://schemas.openxmlformats.org/officeDocument/2006/relationships/hyperlink" Id="rId153" Target="https://www.nist.gov/cyberframework/profiles" TargetMode="External" /><Relationship Type="http://schemas.openxmlformats.org/officeDocument/2006/relationships/hyperlink" Id="rId155"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6028/NIST.SP.1301" TargetMode="External" /><Relationship Type="http://schemas.openxmlformats.org/officeDocument/2006/relationships/hyperlink" Id="rId153" Target="https://www.nist.gov/cyberframework/profiles" TargetMode="External" /><Relationship Type="http://schemas.openxmlformats.org/officeDocument/2006/relationships/hyperlink" Id="rId155"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2026-07-28T02:51:34Z</dcterms:created>
  <dcterms:modified xsi:type="dcterms:W3CDTF">2026-07-28T02:51:34Z</dcterms:modified>
</cp:coreProperties>
</file>

<file path=docProps/custom.xml><?xml version="1.0" encoding="utf-8"?>
<Properties xmlns="http://schemas.openxmlformats.org/officeDocument/2006/custom-properties" xmlns:vt="http://schemas.openxmlformats.org/officeDocument/2006/docPropsVTypes"/>
</file>