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Manual 41 — UK GDPR / Data Protection Act Controlled Implementation</w:t>
      </w:r>
    </w:p>
    <w:p>
      <w:pPr>
        <w:spacing w:after="120"/>
      </w:pPr>
      <w:r>
        <w:t>**Controlled baseline:** UK GDPR and Data Protection Act 2018 as amended by the Data (Use and Access) Act 2025, subject to release-time legislative reverification.</w:t>
      </w:r>
    </w:p>
    <w:p>
      <w:pPr>
        <w:spacing w:after="120"/>
      </w:pPr>
      <w:r>
        <w:t>**Boundary:** statutory text, PECR where applicable, ICO statutory codes/guidance, sector duties, contracts, and organization-specific practices remain distinct source layers.</w:t>
      </w:r>
    </w:p>
    <w:p>
      <w:pPr>
        <w:spacing w:after="120"/>
      </w:pPr>
      <w:r>
        <w:t>**Release rule:** reverify current legislation and ICO implementation material at candidate freeze.</w:t>
      </w:r>
    </w:p>
    <w:p>
      <w:pPr>
        <w:pStyle w:val="Heading2"/>
      </w:pPr>
      <w:r>
        <w:t>Chapter 01 — Purpose, scope, and source hierarchy</w:t>
      </w:r>
    </w:p>
    <w:p>
      <w:pPr>
        <w:spacing w:after="120"/>
      </w:pPr>
      <w:r>
        <w:t>Define the controlled legal/source hierarchy, applicability method, ownership, change watch, and evidence index. Do not present regulator guidance as statutory wording.</w:t>
      </w:r>
    </w:p>
    <w:p>
      <w:pPr>
        <w:pStyle w:val="Heading2"/>
      </w:pPr>
      <w:r>
        <w:t>Chapter 02 — Applicability and territorial scope</w:t>
      </w:r>
    </w:p>
    <w:p>
      <w:pPr>
        <w:spacing w:after="120"/>
      </w:pPr>
      <w:r>
        <w:t>Determine whether processing falls within UK data-protection law, including establishment, targeting, monitoring, exemptions, and cross-border operating facts. Record inclusion and exclusion rationale.</w:t>
      </w:r>
    </w:p>
    <w:p>
      <w:pPr>
        <w:pStyle w:val="Heading2"/>
      </w:pPr>
      <w:r>
        <w:t>Chapter 03 — Controller, processor, and joint-controller roles</w:t>
      </w:r>
    </w:p>
    <w:p>
      <w:pPr>
        <w:spacing w:after="120"/>
      </w:pPr>
      <w:r>
        <w:t>Assign roles by actual purposes, means, instructions, and relationships. Maintain role assessments, contracts, joint arrangements, and reassessment triggers.</w:t>
      </w:r>
    </w:p>
    <w:p>
      <w:pPr>
        <w:pStyle w:val="Heading2"/>
      </w:pPr>
      <w:r>
        <w:t>Chapter 04 — Accountability and governance</w:t>
      </w:r>
    </w:p>
    <w:p>
      <w:pPr>
        <w:spacing w:after="120"/>
      </w:pPr>
      <w:r>
        <w:t>Assign executive, DPO/privacy, legal, security, records, procurement, product, HR, and operational responsibilities. Maintain approvals, policies, decisions, risks, issues, and management-review evidence.</w:t>
      </w:r>
    </w:p>
    <w:p>
      <w:pPr>
        <w:pStyle w:val="Heading2"/>
      </w:pPr>
      <w:r>
        <w:t>Chapter 05 — Records of processing and data inventory</w:t>
      </w:r>
    </w:p>
    <w:p>
      <w:pPr>
        <w:spacing w:after="120"/>
      </w:pPr>
      <w:r>
        <w:t>Maintain processing records, systems, purposes, categories, data subjects, recipients, transfers, retention, lawful bases, security measures, and owners with traceable change control.</w:t>
      </w:r>
    </w:p>
    <w:p>
      <w:pPr>
        <w:pStyle w:val="Heading2"/>
      </w:pPr>
      <w:r>
        <w:t>Chapter 06 — Lawful bases</w:t>
      </w:r>
    </w:p>
    <w:p>
      <w:pPr>
        <w:spacing w:after="120"/>
      </w:pPr>
      <w:r>
        <w:t>Require a documented lawful-basis decision before processing. Separate contract, legal obligation, vital interests, public task, legitimate interests, consent, and other applicable statutory conditions.</w:t>
      </w:r>
    </w:p>
    <w:p>
      <w:pPr>
        <w:pStyle w:val="Heading2"/>
      </w:pPr>
      <w:r>
        <w:t>Chapter 07 — Legitimate interests and recognized legitimate interests</w:t>
      </w:r>
    </w:p>
    <w:p>
      <w:pPr>
        <w:spacing w:after="120"/>
      </w:pPr>
      <w:r>
        <w:t>Where relevant, document the applicable route, purpose, necessity, balancing or statutory conditions, safeguards, transparency, objection handling, and review triggers. Do not merge distinct legal routes.</w:t>
      </w:r>
    </w:p>
    <w:p>
      <w:pPr>
        <w:pStyle w:val="Heading2"/>
      </w:pPr>
      <w:r>
        <w:t>Chapter 08 — Consent governance</w:t>
      </w:r>
    </w:p>
    <w:p>
      <w:pPr>
        <w:spacing w:after="120"/>
      </w:pPr>
      <w:r>
        <w:t>Where consent is relied upon, ensure it is valid for the processing context and maintain capture, granularity, evidence, withdrawal, refresh, and downstream suppression controls.</w:t>
      </w:r>
    </w:p>
    <w:p>
      <w:pPr>
        <w:pStyle w:val="Heading2"/>
      </w:pPr>
      <w:r>
        <w:t>Chapter 09 — Transparency and privacy information</w:t>
      </w:r>
    </w:p>
    <w:p>
      <w:pPr>
        <w:spacing w:after="120"/>
      </w:pPr>
      <w:r>
        <w:t>Provide accurate, accessible privacy information reflecting actual processing, purposes, bases, recipients, transfers, retention, rights, complaint routes, and significant automated processing where applicable.</w:t>
      </w:r>
    </w:p>
    <w:p>
      <w:pPr>
        <w:pStyle w:val="Heading2"/>
      </w:pPr>
      <w:r>
        <w:t>Chapter 10 — Purpose limitation and data minimization</w:t>
      </w:r>
    </w:p>
    <w:p>
      <w:pPr>
        <w:spacing w:after="120"/>
      </w:pPr>
      <w:r>
        <w:t>Collect and use personal data for documented purposes and restrict data to what is appropriate for those purposes. Govern secondary use, compatibility analysis, and exceptions.</w:t>
      </w:r>
    </w:p>
    <w:p>
      <w:pPr>
        <w:pStyle w:val="Heading2"/>
      </w:pPr>
      <w:r>
        <w:t>Chapter 11 — Accuracy and data quality</w:t>
      </w:r>
    </w:p>
    <w:p>
      <w:pPr>
        <w:spacing w:after="120"/>
      </w:pPr>
      <w:r>
        <w:t>Define data-quality controls, correction paths, source reliability, propagation of corrections, and monitoring proportionate to processing risk and decision impact.</w:t>
      </w:r>
    </w:p>
    <w:p>
      <w:pPr>
        <w:pStyle w:val="Heading2"/>
      </w:pPr>
      <w:r>
        <w:t>Chapter 12 — Retention, deletion, and archival</w:t>
      </w:r>
    </w:p>
    <w:p>
      <w:pPr>
        <w:spacing w:after="120"/>
      </w:pPr>
      <w:r>
        <w:t>Maintain retention rules based on applicable legal, regulatory, contractual, records, litigation, and operational requirements. Implement defensible deletion and controlled exceptions.</w:t>
      </w:r>
    </w:p>
    <w:p>
      <w:pPr>
        <w:pStyle w:val="Heading2"/>
      </w:pPr>
      <w:r>
        <w:t>Chapter 13 — Security of processing</w:t>
      </w:r>
    </w:p>
    <w:p>
      <w:pPr>
        <w:spacing w:after="120"/>
      </w:pPr>
      <w:r>
        <w:t>Implement risk-appropriate administrative, technical, and organizational measures covering identity, access, encryption, resilience, logging, vulnerability management, recovery, and assurance.</w:t>
      </w:r>
    </w:p>
    <w:p>
      <w:pPr>
        <w:pStyle w:val="Heading2"/>
      </w:pPr>
      <w:r>
        <w:t>Chapter 14 — Processor and contract governance</w:t>
      </w:r>
    </w:p>
    <w:p>
      <w:pPr>
        <w:spacing w:after="120"/>
      </w:pPr>
      <w:r>
        <w:t>Select processors through due diligence and maintain required contractual instructions, confidentiality, security, subprocessor, assistance, deletion/return, audit, and incident obligations.</w:t>
      </w:r>
    </w:p>
    <w:p>
      <w:pPr>
        <w:pStyle w:val="Heading2"/>
      </w:pPr>
      <w:r>
        <w:t>Chapter 15 — International transfers</w:t>
      </w:r>
    </w:p>
    <w:p>
      <w:pPr>
        <w:spacing w:after="120"/>
      </w:pPr>
      <w:r>
        <w:t>Identify restricted transfers and document the lawful transfer mechanism, assessment, safeguards, supplementary measures, exceptions, onward-transfer controls, and monitoring as applicable.</w:t>
      </w:r>
    </w:p>
    <w:p>
      <w:pPr>
        <w:pStyle w:val="Heading2"/>
      </w:pPr>
      <w:r>
        <w:t>Chapter 16 — Subject access requests</w:t>
      </w:r>
    </w:p>
    <w:p>
      <w:pPr>
        <w:spacing w:after="120"/>
      </w:pPr>
      <w:r>
        <w:t>Operate controlled intake, identity/authority verification, search, exemption review, third-party balancing, response, secure delivery, timing, escalation, and evidence retention.</w:t>
      </w:r>
    </w:p>
    <w:p>
      <w:pPr>
        <w:pStyle w:val="Heading2"/>
      </w:pPr>
      <w:r>
        <w:t>Chapter 17 — Rectification, erasure, and restriction</w:t>
      </w:r>
    </w:p>
    <w:p>
      <w:pPr>
        <w:spacing w:after="120"/>
      </w:pPr>
      <w:r>
        <w:t>Define workflows for applicable correction, deletion, and restriction rights, including recipient notification, exceptions, legal holds, technical execution, and closure evidence.</w:t>
      </w:r>
    </w:p>
    <w:p>
      <w:pPr>
        <w:pStyle w:val="Heading2"/>
      </w:pPr>
      <w:r>
        <w:t>Chapter 18 — Objection rights</w:t>
      </w:r>
    </w:p>
    <w:p>
      <w:pPr>
        <w:spacing w:after="120"/>
      </w:pPr>
      <w:r>
        <w:t>Assess objections according to processing basis and context, including direct marketing and other applicable routes. Maintain decisions, suppression, escalation, and downstream implementation evidence.</w:t>
      </w:r>
    </w:p>
    <w:p>
      <w:pPr>
        <w:pStyle w:val="Heading2"/>
      </w:pPr>
      <w:r>
        <w:t>Chapter 19 — Data portability</w:t>
      </w:r>
    </w:p>
    <w:p>
      <w:pPr>
        <w:spacing w:after="120"/>
      </w:pPr>
      <w:r>
        <w:t>Determine when portability applies and provide applicable data in an appropriate structured format using secure transfer and identity controls. Document exclusions and delivery evidence.</w:t>
      </w:r>
    </w:p>
    <w:p>
      <w:pPr>
        <w:pStyle w:val="Heading2"/>
      </w:pPr>
      <w:r>
        <w:t>Chapter 20 — Automated decision-making and profiling</w:t>
      </w:r>
    </w:p>
    <w:p>
      <w:pPr>
        <w:spacing w:after="120"/>
      </w:pPr>
      <w:r>
        <w:t>Identify solely automated or materially significant decision processes, determine applicable legal conditions and safeguards, and maintain transparency, human-intervention, challenge, testing, and monitoring evidence.</w:t>
      </w:r>
    </w:p>
    <w:p>
      <w:pPr>
        <w:pStyle w:val="Heading2"/>
      </w:pPr>
      <w:r>
        <w:t>Chapter 21 — Children and persons requiring special handling</w:t>
      </w:r>
    </w:p>
    <w:p>
      <w:pPr>
        <w:spacing w:after="120"/>
      </w:pPr>
      <w:r>
        <w:t>Apply age-, capacity-, vulnerability-, service-, and context-appropriate transparency, design, consent/authority, risk, and safeguarding controls without assuming one universal threshold for all processing.</w:t>
      </w:r>
    </w:p>
    <w:p>
      <w:pPr>
        <w:pStyle w:val="Heading2"/>
      </w:pPr>
      <w:r>
        <w:t>Chapter 22 — Special-category and criminal-offence data</w:t>
      </w:r>
    </w:p>
    <w:p>
      <w:pPr>
        <w:spacing w:after="120"/>
      </w:pPr>
      <w:r>
        <w:t>Document applicable Article 9 conditions, DPA Schedule conditions, policy-document requirements where relevant, access restrictions, minimization, retention, and heightened assurance.</w:t>
      </w:r>
    </w:p>
    <w:p>
      <w:pPr>
        <w:pStyle w:val="Heading2"/>
      </w:pPr>
      <w:r>
        <w:t>Chapter 23 — DPIAs and high-risk processing</w:t>
      </w:r>
    </w:p>
    <w:p>
      <w:pPr>
        <w:spacing w:after="120"/>
      </w:pPr>
      <w:r>
        <w:t>Screen for high risk before launch or material change. Maintain DPIA scope, necessity/proportionality, risks, measures, residual risk, consultation/escalation, approval, and review triggers.</w:t>
      </w:r>
    </w:p>
    <w:p>
      <w:pPr>
        <w:pStyle w:val="Heading2"/>
      </w:pPr>
      <w:r>
        <w:t>Chapter 24 — Personal-data breach response</w:t>
      </w:r>
    </w:p>
    <w:p>
      <w:pPr>
        <w:spacing w:after="120"/>
      </w:pPr>
      <w:r>
        <w:t>Integrate detection, containment, evidence preservation, risk assessment, notification decisions, communications, processor coordination, remediation, and breach-record obligations into incident response.</w:t>
      </w:r>
    </w:p>
    <w:p>
      <w:pPr>
        <w:pStyle w:val="Heading2"/>
      </w:pPr>
      <w:r>
        <w:t>Chapter 25 — Complaints and regulator engagement</w:t>
      </w:r>
    </w:p>
    <w:p>
      <w:pPr>
        <w:spacing w:after="120"/>
      </w:pPr>
      <w:r>
        <w:t>Maintain complaint intake, investigation, response, escalation, corrective action, regulator correspondence, legal review, and evidence preservation with clear accountability.</w:t>
      </w:r>
    </w:p>
    <w:p>
      <w:pPr>
        <w:pStyle w:val="Heading2"/>
      </w:pPr>
      <w:r>
        <w:t>Chapter 26 — PECR and electronic communications boundary</w:t>
      </w:r>
    </w:p>
    <w:p>
      <w:pPr>
        <w:spacing w:after="120"/>
      </w:pPr>
      <w:r>
        <w:t>Assess cookies, tracking, direct marketing, communications, and related PECR obligations separately from UK GDPR. Maintain consent/exemption logic, configuration evidence, suppression, and change watch.</w:t>
      </w:r>
    </w:p>
    <w:p>
      <w:pPr>
        <w:pStyle w:val="Heading2"/>
      </w:pPr>
      <w:r>
        <w:t>Chapter 27 — Research, statistics, and public-interest overlays</w:t>
      </w:r>
    </w:p>
    <w:p>
      <w:pPr>
        <w:spacing w:after="120"/>
      </w:pPr>
      <w:r>
        <w:t>Where applicable, document statutory bases, safeguards, purpose compatibility, minimization, access controls, transparency, exemptions, governance, and disclosure limitations for research/statistical processing.</w:t>
      </w:r>
    </w:p>
    <w:p>
      <w:pPr>
        <w:pStyle w:val="Heading2"/>
      </w:pPr>
      <w:r>
        <w:t>Chapter 28 — Training and role competence</w:t>
      </w:r>
    </w:p>
    <w:p>
      <w:pPr>
        <w:spacing w:after="120"/>
      </w:pPr>
      <w:r>
        <w:t>Deliver role-based privacy training for data handlers, rights teams, engineering, marketing, HR, procurement, security, executives, and incident personnel. Maintain completion and competency evidence.</w:t>
      </w:r>
    </w:p>
    <w:p>
      <w:pPr>
        <w:pStyle w:val="Heading2"/>
      </w:pPr>
      <w:r>
        <w:t>Chapter 29 — Assurance and audit</w:t>
      </w:r>
    </w:p>
    <w:p>
      <w:pPr>
        <w:spacing w:after="120"/>
      </w:pPr>
      <w:r>
        <w:t>Test notices, lawful bases, rights handling, contracts, transfers, DPIAs, security, breaches, retention, and automated processing using risk-based samples. Track findings through verified closure.</w:t>
      </w:r>
    </w:p>
    <w:p>
      <w:pPr>
        <w:pStyle w:val="Heading2"/>
      </w:pPr>
      <w:r>
        <w:t>Chapter 30 — Metrics and management review</w:t>
      </w:r>
    </w:p>
    <w:p>
      <w:pPr>
        <w:spacing w:after="120"/>
      </w:pPr>
      <w:r>
        <w:t>Track rights timeliness, complaints, breaches, DPIA backlog, transfer reviews, processor findings, retention exceptions, training, remediation aging, and legal change. Record management decisions and resources.</w:t>
      </w:r>
    </w:p>
    <w:p>
      <w:pPr>
        <w:pStyle w:val="Heading2"/>
      </w:pPr>
      <w:r>
        <w:t>Chapter 31 — Localization, provenance, and release evidence</w:t>
      </w:r>
    </w:p>
    <w:p>
      <w:pPr>
        <w:spacing w:after="120"/>
      </w:pPr>
      <w:r>
        <w:t>Freeze controlled EN/es-419/pt-BR candidates before final review; bind DOCX/PDF identities to SHA-256 and preserve source-version, structure, parity, accessibility, render, workflow-security, and staging evidence.</w:t>
      </w:r>
    </w:p>
    <w:p>
      <w:pPr>
        <w:pStyle w:val="Heading2"/>
      </w:pPr>
      <w:r>
        <w:t>Chapter 32 — Implementation roadmap and release-time reverification</w:t>
      </w:r>
    </w:p>
    <w:p>
      <w:pPr>
        <w:spacing w:after="120"/>
      </w:pPr>
      <w:r>
        <w:t>Implement through applicability/inventory; governance/bases; transparency/rights; processors/transfers; security/breaches; high-risk/automated processing; assurance and improvement. Immediately before publication, reverify current UK GDPR, DPA 2018, DUAA 2025 implementation state, PECR where claimed, and applicable ICO material. Publication remains sequential after Manual 40.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