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41 — Implementación Controlada de UK GDPR / Data Protection Act</w:t>
      </w:r>
    </w:p>
    <w:p>
      <w:pPr>
        <w:spacing w:after="120"/>
      </w:pPr>
      <w:r>
        <w:t>**Línea base controlada:** UK GDPR y Data Protection Act 2018 según enmendada por Data (Use and Access) Act 2025, sujeta a reverificación legislativa al release.</w:t>
      </w:r>
    </w:p>
    <w:p>
      <w:pPr>
        <w:spacing w:after="120"/>
      </w:pPr>
      <w:r>
        <w:t>**Límite:** texto legal, PECR cuando aplique, códigos/guidance del ICO, deberes sectoriales, contratos y prácticas internas permanecen como capas distintas.</w:t>
      </w:r>
    </w:p>
    <w:p>
      <w:pPr>
        <w:spacing w:after="120"/>
      </w:pPr>
      <w:r>
        <w:t>**Regla de release:** reverificar legislación vigente y material de implementación del ICO al congelar el candidato.</w:t>
      </w:r>
    </w:p>
    <w:p>
      <w:pPr>
        <w:pStyle w:val="Heading2"/>
      </w:pPr>
      <w:r>
        <w:t>Chapter 01 — Propósito, alcance y jerarquía de fuentes</w:t>
      </w:r>
    </w:p>
    <w:p>
      <w:pPr>
        <w:spacing w:after="120"/>
      </w:pPr>
      <w:r>
        <w:t>Defina jerarquía legal controlada, método de aplicabilidad, owners, change watch e índice de evidencia. No presente guidance del regulador como texto legal.</w:t>
      </w:r>
    </w:p>
    <w:p>
      <w:pPr>
        <w:pStyle w:val="Heading2"/>
      </w:pPr>
      <w:r>
        <w:t>Chapter 02 — Aplicabilidad y alcance territorial</w:t>
      </w:r>
    </w:p>
    <w:p>
      <w:pPr>
        <w:spacing w:after="120"/>
      </w:pPr>
      <w:r>
        <w:t>Determine aplicabilidad considerando establecimiento, targeting, monitoring, exenciones y hechos transfronterizos. Registre fundamentos de inclusión/exclusión.</w:t>
      </w:r>
    </w:p>
    <w:p>
      <w:pPr>
        <w:pStyle w:val="Heading2"/>
      </w:pPr>
      <w:r>
        <w:t>Chapter 03 — Roles controller, processor y joint controller</w:t>
      </w:r>
    </w:p>
    <w:p>
      <w:pPr>
        <w:spacing w:after="120"/>
      </w:pPr>
      <w:r>
        <w:t>Asigne roles según propósitos, medios, instrucciones y relaciones reales. Mantenga assessments, contratos, arreglos conjuntos y triggers de revisión.</w:t>
      </w:r>
    </w:p>
    <w:p>
      <w:pPr>
        <w:pStyle w:val="Heading2"/>
      </w:pPr>
      <w:r>
        <w:t>Chapter 04 — Accountability y gobernanza</w:t>
      </w:r>
    </w:p>
    <w:p>
      <w:pPr>
        <w:spacing w:after="120"/>
      </w:pPr>
      <w:r>
        <w:t>Asigne responsabilidades ejecutivas, DPO/privacy, legal, security, records, procurement, product, HR y operaciones. Mantenga políticas, decisiones, riesgos, issues y management review.</w:t>
      </w:r>
    </w:p>
    <w:p>
      <w:pPr>
        <w:pStyle w:val="Heading2"/>
      </w:pPr>
      <w:r>
        <w:t>Chapter 05 — Records of processing e inventario</w:t>
      </w:r>
    </w:p>
    <w:p>
      <w:pPr>
        <w:spacing w:after="120"/>
      </w:pPr>
      <w:r>
        <w:t>Mantenga registros de procesamiento, sistemas, propósitos, categorías, data subjects, recipients, transfers, retention, lawful bases, medidas y owners.</w:t>
      </w:r>
    </w:p>
    <w:p>
      <w:pPr>
        <w:pStyle w:val="Heading2"/>
      </w:pPr>
      <w:r>
        <w:t>Chapter 06 — Lawful bases</w:t>
      </w:r>
    </w:p>
    <w:p>
      <w:pPr>
        <w:spacing w:after="120"/>
      </w:pPr>
      <w:r>
        <w:t>Exija decisión documentada antes de procesar. Distinga contract, legal obligation, vital interests, public task, legitimate interests, consent y otras condiciones aplicables.</w:t>
      </w:r>
    </w:p>
    <w:p>
      <w:pPr>
        <w:pStyle w:val="Heading2"/>
      </w:pPr>
      <w:r>
        <w:t>Chapter 07 — Legitimate interests y recognized legitimate interests</w:t>
      </w:r>
    </w:p>
    <w:p>
      <w:pPr>
        <w:spacing w:after="120"/>
      </w:pPr>
      <w:r>
        <w:t>Documente la ruta aplicable, propósito, necesidad, balancing o condiciones legales, safeguards, transparency, objections y triggers. No combine rutas legales distintas.</w:t>
      </w:r>
    </w:p>
    <w:p>
      <w:pPr>
        <w:pStyle w:val="Heading2"/>
      </w:pPr>
      <w:r>
        <w:t>Chapter 08 — Gobernanza del consentimiento</w:t>
      </w:r>
    </w:p>
    <w:p>
      <w:pPr>
        <w:spacing w:after="120"/>
      </w:pPr>
      <w:r>
        <w:t>Cuando se use consent, asegure validez contextual y mantenga captura, granularidad, evidencia, withdrawal, refresh y suppression downstream.</w:t>
      </w:r>
    </w:p>
    <w:p>
      <w:pPr>
        <w:pStyle w:val="Heading2"/>
      </w:pPr>
      <w:r>
        <w:t>Chapter 09 — Transparencia y privacy information</w:t>
      </w:r>
    </w:p>
    <w:p>
      <w:pPr>
        <w:spacing w:after="120"/>
      </w:pPr>
      <w:r>
        <w:t>Proporcione información clara y accesible sobre processing, purposes, bases, recipients, transfers, retention, rights, complaints y automated processing relevante.</w:t>
      </w:r>
    </w:p>
    <w:p>
      <w:pPr>
        <w:pStyle w:val="Heading2"/>
      </w:pPr>
      <w:r>
        <w:t>Chapter 10 — Purpose limitation y data minimization</w:t>
      </w:r>
    </w:p>
    <w:p>
      <w:pPr>
        <w:spacing w:after="120"/>
      </w:pPr>
      <w:r>
        <w:t>Limite recolección/uso a propósitos documentados y datos apropiados. Gobierne secondary use, compatibility analysis y excepciones.</w:t>
      </w:r>
    </w:p>
    <w:p>
      <w:pPr>
        <w:pStyle w:val="Heading2"/>
      </w:pPr>
      <w:r>
        <w:t>Chapter 11 — Accuracy y data quality</w:t>
      </w:r>
    </w:p>
    <w:p>
      <w:pPr>
        <w:spacing w:after="120"/>
      </w:pPr>
      <w:r>
        <w:t>Defina controles de calidad, correction, source reliability, propagación de cambios y monitoring proporcional al riesgo.</w:t>
      </w:r>
    </w:p>
    <w:p>
      <w:pPr>
        <w:pStyle w:val="Heading2"/>
      </w:pPr>
      <w:r>
        <w:t>Chapter 12 — Retention, deletion y archival</w:t>
      </w:r>
    </w:p>
    <w:p>
      <w:pPr>
        <w:spacing w:after="120"/>
      </w:pPr>
      <w:r>
        <w:t>Mantenga reglas basadas en requisitos legales, regulatorios, contractuales, records, litigation y operativos. Ejecute deletion defensible y excepciones controladas.</w:t>
      </w:r>
    </w:p>
    <w:p>
      <w:pPr>
        <w:pStyle w:val="Heading2"/>
      </w:pPr>
      <w:r>
        <w:t>Chapter 13 — Security of processing</w:t>
      </w:r>
    </w:p>
    <w:p>
      <w:pPr>
        <w:spacing w:after="120"/>
      </w:pPr>
      <w:r>
        <w:t>Implemente medidas administrativas, técnicas y organizativas proporcionales al riesgo: identity/access, encryption, resilience, logging, vulnerability management, recovery y assurance.</w:t>
      </w:r>
    </w:p>
    <w:p>
      <w:pPr>
        <w:pStyle w:val="Heading2"/>
      </w:pPr>
      <w:r>
        <w:t>Chapter 14 — Processor y contract governance</w:t>
      </w:r>
    </w:p>
    <w:p>
      <w:pPr>
        <w:spacing w:after="120"/>
      </w:pPr>
      <w:r>
        <w:t>Seleccione processors mediante due diligence y mantenga instrucciones, confidentiality, security, subprocessors, assistance, deletion/return, audit e incident obligations.</w:t>
      </w:r>
    </w:p>
    <w:p>
      <w:pPr>
        <w:pStyle w:val="Heading2"/>
      </w:pPr>
      <w:r>
        <w:t>Chapter 15 — International transfers</w:t>
      </w:r>
    </w:p>
    <w:p>
      <w:pPr>
        <w:spacing w:after="120"/>
      </w:pPr>
      <w:r>
        <w:t>Identifique restricted transfers y documente mecanismo, assessment, safeguards, supplementary measures, exceptions, onward controls y monitoring aplicables.</w:t>
      </w:r>
    </w:p>
    <w:p>
      <w:pPr>
        <w:pStyle w:val="Heading2"/>
      </w:pPr>
      <w:r>
        <w:t>Chapter 16 — Subject access requests</w:t>
      </w:r>
    </w:p>
    <w:p>
      <w:pPr>
        <w:spacing w:after="120"/>
      </w:pPr>
      <w:r>
        <w:t>Controle intake, identity/authority, search, exemptions, third-party balancing, response, secure delivery, timing, escalation y evidence retention.</w:t>
      </w:r>
    </w:p>
    <w:p>
      <w:pPr>
        <w:pStyle w:val="Heading2"/>
      </w:pPr>
      <w:r>
        <w:t>Chapter 17 — Rectification, erasure y restriction</w:t>
      </w:r>
    </w:p>
    <w:p>
      <w:pPr>
        <w:spacing w:after="120"/>
      </w:pPr>
      <w:r>
        <w:t>Defina workflows para correction, deletion y restriction, incluyendo recipient notification, exceptions, legal holds, ejecución técnica y closure evidence.</w:t>
      </w:r>
    </w:p>
    <w:p>
      <w:pPr>
        <w:pStyle w:val="Heading2"/>
      </w:pPr>
      <w:r>
        <w:t>Chapter 18 — Objection rights</w:t>
      </w:r>
    </w:p>
    <w:p>
      <w:pPr>
        <w:spacing w:after="120"/>
      </w:pPr>
      <w:r>
        <w:t>Evalúe objections según processing basis/context, incluyendo direct marketing. Mantenga decisiones, suppression, escalation e implementación downstream.</w:t>
      </w:r>
    </w:p>
    <w:p>
      <w:pPr>
        <w:pStyle w:val="Heading2"/>
      </w:pPr>
      <w:r>
        <w:t>Chapter 19 — Data portability</w:t>
      </w:r>
    </w:p>
    <w:p>
      <w:pPr>
        <w:spacing w:after="120"/>
      </w:pPr>
      <w:r>
        <w:t>Determine cuándo aplica y entregue datos en formato estructurado apropiado con controles seguros. Documente exclusions y delivery evidence.</w:t>
      </w:r>
    </w:p>
    <w:p>
      <w:pPr>
        <w:pStyle w:val="Heading2"/>
      </w:pPr>
      <w:r>
        <w:t>Chapter 20 — Automated decision-making y profiling</w:t>
      </w:r>
    </w:p>
    <w:p>
      <w:pPr>
        <w:spacing w:after="120"/>
      </w:pPr>
      <w:r>
        <w:t>Identifique procesos solely automated/materialmente significativos, condiciones legales/safeguards, transparency, human intervention, challenge, testing y monitoring.</w:t>
      </w:r>
    </w:p>
    <w:p>
      <w:pPr>
        <w:pStyle w:val="Heading2"/>
      </w:pPr>
      <w:r>
        <w:t>Chapter 21 — Children y personas que requieren manejo especial</w:t>
      </w:r>
    </w:p>
    <w:p>
      <w:pPr>
        <w:spacing w:after="120"/>
      </w:pPr>
      <w:r>
        <w:t>Aplique controles apropiados de edad, capacidad, vulnerabilidad, service/context, transparency, authority, risk y safeguarding sin asumir un umbral universal.</w:t>
      </w:r>
    </w:p>
    <w:p>
      <w:pPr>
        <w:pStyle w:val="Heading2"/>
      </w:pPr>
      <w:r>
        <w:t>Chapter 22 — Special-category y criminal-offence data</w:t>
      </w:r>
    </w:p>
    <w:p>
      <w:pPr>
        <w:spacing w:after="120"/>
      </w:pPr>
      <w:r>
        <w:t>Documente condiciones aplicables, requisitos DPA/Schedule, policy documents donde corresponda, access restrictions, minimization, retention y heightened assurance.</w:t>
      </w:r>
    </w:p>
    <w:p>
      <w:pPr>
        <w:pStyle w:val="Heading2"/>
      </w:pPr>
      <w:r>
        <w:t>Chapter 23 — DPIAs y high-risk processing</w:t>
      </w:r>
    </w:p>
    <w:p>
      <w:pPr>
        <w:spacing w:after="120"/>
      </w:pPr>
      <w:r>
        <w:t>Screening antes de launch/cambio material. Mantenga scope, necessity/proportionality, risks, measures, residual risk, consultation, approval y review triggers.</w:t>
      </w:r>
    </w:p>
    <w:p>
      <w:pPr>
        <w:pStyle w:val="Heading2"/>
      </w:pPr>
      <w:r>
        <w:t>Chapter 24 — Personal-data breach response</w:t>
      </w:r>
    </w:p>
    <w:p>
      <w:pPr>
        <w:spacing w:after="120"/>
      </w:pPr>
      <w:r>
        <w:t>Integre detection, containment, evidence preservation, risk assessment, notification decisions, communications, processor coordination, remediation y breach records.</w:t>
      </w:r>
    </w:p>
    <w:p>
      <w:pPr>
        <w:pStyle w:val="Heading2"/>
      </w:pPr>
      <w:r>
        <w:t>Chapter 25 — Complaints y regulator engagement</w:t>
      </w:r>
    </w:p>
    <w:p>
      <w:pPr>
        <w:spacing w:after="120"/>
      </w:pPr>
      <w:r>
        <w:t>Mantenga intake, investigation, response, escalation, corrective action, regulator correspondence, legal review y preservación de evidencia.</w:t>
      </w:r>
    </w:p>
    <w:p>
      <w:pPr>
        <w:pStyle w:val="Heading2"/>
      </w:pPr>
      <w:r>
        <w:t>Chapter 26 — PECR y electronic communications boundary</w:t>
      </w:r>
    </w:p>
    <w:p>
      <w:pPr>
        <w:spacing w:after="120"/>
      </w:pPr>
      <w:r>
        <w:t>Evalúe cookies, tracking, direct marketing y communications separadamente de UK GDPR. Mantenga consent/exemption logic, settings, suppression y change watch.</w:t>
      </w:r>
    </w:p>
    <w:p>
      <w:pPr>
        <w:pStyle w:val="Heading2"/>
      </w:pPr>
      <w:r>
        <w:t>Chapter 27 — Research, statistics y public-interest overlays</w:t>
      </w:r>
    </w:p>
    <w:p>
      <w:pPr>
        <w:spacing w:after="120"/>
      </w:pPr>
      <w:r>
        <w:t>Documente bases, safeguards, compatibility, minimization, access, transparency, exemptions, governance y disclosure limits aplicables.</w:t>
      </w:r>
    </w:p>
    <w:p>
      <w:pPr>
        <w:pStyle w:val="Heading2"/>
      </w:pPr>
      <w:r>
        <w:t>Chapter 28 — Training y role competence</w:t>
      </w:r>
    </w:p>
    <w:p>
      <w:pPr>
        <w:spacing w:after="120"/>
      </w:pPr>
      <w:r>
        <w:t>Entregue training basado en rol para handlers, rights teams, engineering, marketing, HR, procurement, security, executives e incident personnel. Mantenga completion/competency evidence.</w:t>
      </w:r>
    </w:p>
    <w:p>
      <w:pPr>
        <w:pStyle w:val="Heading2"/>
      </w:pPr>
      <w:r>
        <w:t>Chapter 29 — Assurance y audit</w:t>
      </w:r>
    </w:p>
    <w:p>
      <w:pPr>
        <w:spacing w:after="120"/>
      </w:pPr>
      <w:r>
        <w:t>Pruebe notices, lawful bases, rights, contracts, transfers, DPIAs, security, breaches, retention y automated processing con muestras basadas en riesgo. Cierre findings con evidencia.</w:t>
      </w:r>
    </w:p>
    <w:p>
      <w:pPr>
        <w:pStyle w:val="Heading2"/>
      </w:pPr>
      <w:r>
        <w:t>Chapter 30 — Métricas y management review</w:t>
      </w:r>
    </w:p>
    <w:p>
      <w:pPr>
        <w:spacing w:after="120"/>
      </w:pPr>
      <w:r>
        <w:t>Monitoree rights timeliness, complaints, breaches, DPIA backlog, transfers, processor findings, retention exceptions, training, remediation y legal change. Registre decisiones.</w:t>
      </w:r>
    </w:p>
    <w:p>
      <w:pPr>
        <w:pStyle w:val="Heading2"/>
      </w:pPr>
      <w:r>
        <w:t>Chapter 31 — Localización, provenance y evidencia de release</w:t>
      </w:r>
    </w:p>
    <w:p>
      <w:pPr>
        <w:spacing w:after="120"/>
      </w:pPr>
      <w:r>
        <w:t>Congele candidatos EN/es-419/pt-BR; vincule DOCX/PDF a SHA-256 y preserve source-version, structure, parity, accessibility, render, workflow-security y staging evidence.</w:t>
      </w:r>
    </w:p>
    <w:p>
      <w:pPr>
        <w:pStyle w:val="Heading2"/>
      </w:pPr>
      <w:r>
        <w:t>Chapter 32 — Roadmap y reverificación al release</w:t>
      </w:r>
    </w:p>
    <w:p>
      <w:pPr>
        <w:spacing w:after="120"/>
      </w:pPr>
      <w:r>
        <w:t>Implemente applicability/inventory; governance/bases; transparency/rights; processors/transfers; security/breaches; high-risk/automated processing; assurance/improvement. Antes de publicar reverifique UK GDPR, DPA 2018, estado DUAA 2025, PECR cuando se reclame e ICO aplicable. Publicación secuencial después del Manual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