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41 — Implementação Controlada de UK GDPR / Data Protection Act</w:t>
      </w:r>
    </w:p>
    <w:p>
      <w:pPr>
        <w:spacing w:after="120"/>
      </w:pPr>
      <w:r>
        <w:t>**Linha de base controlada:** UK GDPR e Data Protection Act 2018 conforme alterada pela Data (Use and Access) Act 2025, sujeita a reverificação legislativa no release.</w:t>
      </w:r>
    </w:p>
    <w:p>
      <w:pPr>
        <w:spacing w:after="120"/>
      </w:pPr>
      <w:r>
        <w:t>**Limite:** texto legal, PECR quando aplicável, códigos/guidance do ICO, deveres setoriais, contratos e práticas internas permanecem camadas distintas.</w:t>
      </w:r>
    </w:p>
    <w:p>
      <w:pPr>
        <w:spacing w:after="120"/>
      </w:pPr>
      <w:r>
        <w:t>**Regra de release:** reverificar legislação vigente e material de implementação do ICO no congelamento do candidato.</w:t>
      </w:r>
    </w:p>
    <w:p>
      <w:pPr>
        <w:pStyle w:val="Heading2"/>
      </w:pPr>
      <w:r>
        <w:t>Chapter 01 — Propósito, escopo e hierarquia de fontes</w:t>
      </w:r>
    </w:p>
    <w:p>
      <w:pPr>
        <w:spacing w:after="120"/>
      </w:pPr>
      <w:r>
        <w:t>Defina hierarquia legal controlada, método de aplicabilidade, owners, change watch e índice de evidência. Não apresente guidance do regulador como texto legal.</w:t>
      </w:r>
    </w:p>
    <w:p>
      <w:pPr>
        <w:pStyle w:val="Heading2"/>
      </w:pPr>
      <w:r>
        <w:t>Chapter 02 — Aplicabilidade e alcance territorial</w:t>
      </w:r>
    </w:p>
    <w:p>
      <w:pPr>
        <w:spacing w:after="120"/>
      </w:pPr>
      <w:r>
        <w:t>Determine aplicabilidade considerando estabelecimento, targeting, monitoring, isenções e fatos transfronteiriços. Registre fundamentos de inclusão/exclusão.</w:t>
      </w:r>
    </w:p>
    <w:p>
      <w:pPr>
        <w:pStyle w:val="Heading2"/>
      </w:pPr>
      <w:r>
        <w:t>Chapter 03 — Papéis controller, processor e joint controller</w:t>
      </w:r>
    </w:p>
    <w:p>
      <w:pPr>
        <w:spacing w:after="120"/>
      </w:pPr>
      <w:r>
        <w:t>Atribua papéis conforme propósitos, meios, instruções e relações reais. Mantenha assessments, contratos, arranjos conjuntos e gatilhos de revisão.</w:t>
      </w:r>
    </w:p>
    <w:p>
      <w:pPr>
        <w:pStyle w:val="Heading2"/>
      </w:pPr>
      <w:r>
        <w:t>Chapter 04 — Accountability e governança</w:t>
      </w:r>
    </w:p>
    <w:p>
      <w:pPr>
        <w:spacing w:after="120"/>
      </w:pPr>
      <w:r>
        <w:t>Atribua responsabilidades executivas, DPO/privacy, jurídico, security, records, procurement, product, RH e operações. Mantenha políticas, decisões, riscos, issues e management review.</w:t>
      </w:r>
    </w:p>
    <w:p>
      <w:pPr>
        <w:pStyle w:val="Heading2"/>
      </w:pPr>
      <w:r>
        <w:t>Chapter 05 — Records of processing e inventário</w:t>
      </w:r>
    </w:p>
    <w:p>
      <w:pPr>
        <w:spacing w:after="120"/>
      </w:pPr>
      <w:r>
        <w:t>Mantenha registros de processing, sistemas, purposes, categorias, data subjects, recipients, transfers, retention, lawful bases, medidas e owners.</w:t>
      </w:r>
    </w:p>
    <w:p>
      <w:pPr>
        <w:pStyle w:val="Heading2"/>
      </w:pPr>
      <w:r>
        <w:t>Chapter 06 — Lawful bases</w:t>
      </w:r>
    </w:p>
    <w:p>
      <w:pPr>
        <w:spacing w:after="120"/>
      </w:pPr>
      <w:r>
        <w:t>Exija decisão documentada antes de processar. Distinga contract, legal obligation, vital interests, public task, legitimate interests, consent e outras condições aplicáveis.</w:t>
      </w:r>
    </w:p>
    <w:p>
      <w:pPr>
        <w:pStyle w:val="Heading2"/>
      </w:pPr>
      <w:r>
        <w:t>Chapter 07 — Legitimate interests e recognized legitimate interests</w:t>
      </w:r>
    </w:p>
    <w:p>
      <w:pPr>
        <w:spacing w:after="120"/>
      </w:pPr>
      <w:r>
        <w:t>Documente rota aplicável, propósito, necessidade, balancing ou condições legais, safeguards, transparency, objections e triggers. Não combine rotas legais distintas.</w:t>
      </w:r>
    </w:p>
    <w:p>
      <w:pPr>
        <w:pStyle w:val="Heading2"/>
      </w:pPr>
      <w:r>
        <w:t>Chapter 08 — Governança do consentimento</w:t>
      </w:r>
    </w:p>
    <w:p>
      <w:pPr>
        <w:spacing w:after="120"/>
      </w:pPr>
      <w:r>
        <w:t>Quando consent for utilizado, assegure validade contextual e mantenha captura, granularidade, evidência, withdrawal, refresh e suppression downstream.</w:t>
      </w:r>
    </w:p>
    <w:p>
      <w:pPr>
        <w:pStyle w:val="Heading2"/>
      </w:pPr>
      <w:r>
        <w:t>Chapter 09 — Transparência e privacy information</w:t>
      </w:r>
    </w:p>
    <w:p>
      <w:pPr>
        <w:spacing w:after="120"/>
      </w:pPr>
      <w:r>
        <w:t>Forneça informação clara e acessível sobre processing, purposes, bases, recipients, transfers, retention, rights, complaints e automated processing relevante.</w:t>
      </w:r>
    </w:p>
    <w:p>
      <w:pPr>
        <w:pStyle w:val="Heading2"/>
      </w:pPr>
      <w:r>
        <w:t>Chapter 10 — Purpose limitation e data minimization</w:t>
      </w:r>
    </w:p>
    <w:p>
      <w:pPr>
        <w:spacing w:after="120"/>
      </w:pPr>
      <w:r>
        <w:t>Limite coleta/uso a propósitos documentados e dados apropriados. Governe secondary use, compatibility analysis e exceções.</w:t>
      </w:r>
    </w:p>
    <w:p>
      <w:pPr>
        <w:pStyle w:val="Heading2"/>
      </w:pPr>
      <w:r>
        <w:t>Chapter 11 — Accuracy e data quality</w:t>
      </w:r>
    </w:p>
    <w:p>
      <w:pPr>
        <w:spacing w:after="120"/>
      </w:pPr>
      <w:r>
        <w:t>Defina controles de qualidade, correction, source reliability, propagação de mudanças e monitoring proporcional ao risco.</w:t>
      </w:r>
    </w:p>
    <w:p>
      <w:pPr>
        <w:pStyle w:val="Heading2"/>
      </w:pPr>
      <w:r>
        <w:t>Chapter 12 — Retention, deletion e archival</w:t>
      </w:r>
    </w:p>
    <w:p>
      <w:pPr>
        <w:spacing w:after="120"/>
      </w:pPr>
      <w:r>
        <w:t>Mantenha regras baseadas em requisitos legais, regulatórios, contratuais, records, litigation e operacionais. Execute deletion defensável e exceções controladas.</w:t>
      </w:r>
    </w:p>
    <w:p>
      <w:pPr>
        <w:pStyle w:val="Heading2"/>
      </w:pPr>
      <w:r>
        <w:t>Chapter 13 — Security of processing</w:t>
      </w:r>
    </w:p>
    <w:p>
      <w:pPr>
        <w:spacing w:after="120"/>
      </w:pPr>
      <w:r>
        <w:t>Implemente medidas administrativas, técnicas e organizacionais proporcionais ao risco: identity/access, encryption, resilience, logging, vulnerability management, recovery e assurance.</w:t>
      </w:r>
    </w:p>
    <w:p>
      <w:pPr>
        <w:pStyle w:val="Heading2"/>
      </w:pPr>
      <w:r>
        <w:t>Chapter 14 — Processor e contract governance</w:t>
      </w:r>
    </w:p>
    <w:p>
      <w:pPr>
        <w:spacing w:after="120"/>
      </w:pPr>
      <w:r>
        <w:t>Selecione processors por due diligence e mantenha instructions, confidentiality, security, subprocessors, assistance, deletion/return, audit e incident obligations.</w:t>
      </w:r>
    </w:p>
    <w:p>
      <w:pPr>
        <w:pStyle w:val="Heading2"/>
      </w:pPr>
      <w:r>
        <w:t>Chapter 15 — International transfers</w:t>
      </w:r>
    </w:p>
    <w:p>
      <w:pPr>
        <w:spacing w:after="120"/>
      </w:pPr>
      <w:r>
        <w:t>Identifique restricted transfers e documente mechanism, assessment, safeguards, supplementary measures, exceptions, onward controls e monitoring aplicáveis.</w:t>
      </w:r>
    </w:p>
    <w:p>
      <w:pPr>
        <w:pStyle w:val="Heading2"/>
      </w:pPr>
      <w:r>
        <w:t>Chapter 16 — Subject access requests</w:t>
      </w:r>
    </w:p>
    <w:p>
      <w:pPr>
        <w:spacing w:after="120"/>
      </w:pPr>
      <w:r>
        <w:t>Controle intake, identity/authority, search, exemptions, third-party balancing, response, secure delivery, timing, escalation e evidence retention.</w:t>
      </w:r>
    </w:p>
    <w:p>
      <w:pPr>
        <w:pStyle w:val="Heading2"/>
      </w:pPr>
      <w:r>
        <w:t>Chapter 17 — Rectification, erasure e restriction</w:t>
      </w:r>
    </w:p>
    <w:p>
      <w:pPr>
        <w:spacing w:after="120"/>
      </w:pPr>
      <w:r>
        <w:t>Defina workflows para correction, deletion e restriction, incluindo recipient notification, exceptions, legal holds, execução técnica e closure evidence.</w:t>
      </w:r>
    </w:p>
    <w:p>
      <w:pPr>
        <w:pStyle w:val="Heading2"/>
      </w:pPr>
      <w:r>
        <w:t>Chapter 18 — Objection rights</w:t>
      </w:r>
    </w:p>
    <w:p>
      <w:pPr>
        <w:spacing w:after="120"/>
      </w:pPr>
      <w:r>
        <w:t>Avalie objections conforme processing basis/context, incluindo direct marketing. Mantenha decisions, suppression, escalation e implementação downstream.</w:t>
      </w:r>
    </w:p>
    <w:p>
      <w:pPr>
        <w:pStyle w:val="Heading2"/>
      </w:pPr>
      <w:r>
        <w:t>Chapter 19 — Data portability</w:t>
      </w:r>
    </w:p>
    <w:p>
      <w:pPr>
        <w:spacing w:after="120"/>
      </w:pPr>
      <w:r>
        <w:t>Determine quando aplica e entregue dados em formato estruturado apropriado com controles seguros. Documente exclusions e delivery evidence.</w:t>
      </w:r>
    </w:p>
    <w:p>
      <w:pPr>
        <w:pStyle w:val="Heading2"/>
      </w:pPr>
      <w:r>
        <w:t>Chapter 20 — Automated decision-making e profiling</w:t>
      </w:r>
    </w:p>
    <w:p>
      <w:pPr>
        <w:spacing w:after="120"/>
      </w:pPr>
      <w:r>
        <w:t>Identifique processos solely automated/materialmente significativos, condições legais/safeguards, transparency, human intervention, challenge, testing e monitoring.</w:t>
      </w:r>
    </w:p>
    <w:p>
      <w:pPr>
        <w:pStyle w:val="Heading2"/>
      </w:pPr>
      <w:r>
        <w:t>Chapter 21 — Children e pessoas que exigem manejo especial</w:t>
      </w:r>
    </w:p>
    <w:p>
      <w:pPr>
        <w:spacing w:after="120"/>
      </w:pPr>
      <w:r>
        <w:t>Aplique controles adequados de idade, capacidade, vulnerabilidade, service/context, transparency, authority, risk e safeguarding sem assumir limiar universal.</w:t>
      </w:r>
    </w:p>
    <w:p>
      <w:pPr>
        <w:pStyle w:val="Heading2"/>
      </w:pPr>
      <w:r>
        <w:t>Chapter 22 — Special-category e criminal-offence data</w:t>
      </w:r>
    </w:p>
    <w:p>
      <w:pPr>
        <w:spacing w:after="120"/>
      </w:pPr>
      <w:r>
        <w:t>Documente condições aplicáveis, requisitos DPA/Schedule, policy documents quando pertinente, access restrictions, minimization, retention e heightened assurance.</w:t>
      </w:r>
    </w:p>
    <w:p>
      <w:pPr>
        <w:pStyle w:val="Heading2"/>
      </w:pPr>
      <w:r>
        <w:t>Chapter 23 — DPIAs e high-risk processing</w:t>
      </w:r>
    </w:p>
    <w:p>
      <w:pPr>
        <w:spacing w:after="120"/>
      </w:pPr>
      <w:r>
        <w:t>Faça screening antes de launch/mudança material. Mantenha scope, necessity/proportionality, risks, measures, residual risk, consultation, approval e review triggers.</w:t>
      </w:r>
    </w:p>
    <w:p>
      <w:pPr>
        <w:pStyle w:val="Heading2"/>
      </w:pPr>
      <w:r>
        <w:t>Chapter 24 — Personal-data breach response</w:t>
      </w:r>
    </w:p>
    <w:p>
      <w:pPr>
        <w:spacing w:after="120"/>
      </w:pPr>
      <w:r>
        <w:t>Integre detection, containment, evidence preservation, risk assessment, notification decisions, communications, processor coordination, remediation e breach records.</w:t>
      </w:r>
    </w:p>
    <w:p>
      <w:pPr>
        <w:pStyle w:val="Heading2"/>
      </w:pPr>
      <w:r>
        <w:t>Chapter 25 — Complaints e regulator engagement</w:t>
      </w:r>
    </w:p>
    <w:p>
      <w:pPr>
        <w:spacing w:after="120"/>
      </w:pPr>
      <w:r>
        <w:t>Mantenha intake, investigation, response, escalation, corrective action, regulator correspondence, legal review e preservação de evidência.</w:t>
      </w:r>
    </w:p>
    <w:p>
      <w:pPr>
        <w:pStyle w:val="Heading2"/>
      </w:pPr>
      <w:r>
        <w:t>Chapter 26 — PECR e electronic communications boundary</w:t>
      </w:r>
    </w:p>
    <w:p>
      <w:pPr>
        <w:spacing w:after="120"/>
      </w:pPr>
      <w:r>
        <w:t>Avalie cookies, tracking, direct marketing e communications separadamente de UK GDPR. Mantenha consent/exemption logic, settings, suppression e change watch.</w:t>
      </w:r>
    </w:p>
    <w:p>
      <w:pPr>
        <w:pStyle w:val="Heading2"/>
      </w:pPr>
      <w:r>
        <w:t>Chapter 27 — Research, statistics e public-interest overlays</w:t>
      </w:r>
    </w:p>
    <w:p>
      <w:pPr>
        <w:spacing w:after="120"/>
      </w:pPr>
      <w:r>
        <w:t>Documente bases, safeguards, compatibility, minimization, access, transparency, exemptions, governance e disclosure limits aplicáveis.</w:t>
      </w:r>
    </w:p>
    <w:p>
      <w:pPr>
        <w:pStyle w:val="Heading2"/>
      </w:pPr>
      <w:r>
        <w:t>Chapter 28 — Training e role competence</w:t>
      </w:r>
    </w:p>
    <w:p>
      <w:pPr>
        <w:spacing w:after="120"/>
      </w:pPr>
      <w:r>
        <w:t>Forneça training baseado em função para handlers, rights teams, engineering, marketing, RH, procurement, security, executives e incident personnel. Mantenha completion/competency evidence.</w:t>
      </w:r>
    </w:p>
    <w:p>
      <w:pPr>
        <w:pStyle w:val="Heading2"/>
      </w:pPr>
      <w:r>
        <w:t>Chapter 29 — Assurance e audit</w:t>
      </w:r>
    </w:p>
    <w:p>
      <w:pPr>
        <w:spacing w:after="120"/>
      </w:pPr>
      <w:r>
        <w:t>Teste notices, lawful bases, rights, contracts, transfers, DPIAs, security, breaches, retention e automated processing com amostras baseadas em risco. Feche findings com evidência.</w:t>
      </w:r>
    </w:p>
    <w:p>
      <w:pPr>
        <w:pStyle w:val="Heading2"/>
      </w:pPr>
      <w:r>
        <w:t>Chapter 30 — Métricas e management review</w:t>
      </w:r>
    </w:p>
    <w:p>
      <w:pPr>
        <w:spacing w:after="120"/>
      </w:pPr>
      <w:r>
        <w:t>Acompanhe rights timeliness, complaints, breaches, DPIA backlog, transfers, processor findings, retention exceptions, training, remediation e legal change. Registre decisões.</w:t>
      </w:r>
    </w:p>
    <w:p>
      <w:pPr>
        <w:pStyle w:val="Heading2"/>
      </w:pPr>
      <w:r>
        <w:t>Chapter 31 — Localização, provenance e evidência de release</w:t>
      </w:r>
    </w:p>
    <w:p>
      <w:pPr>
        <w:spacing w:after="120"/>
      </w:pPr>
      <w:r>
        <w:t>Congele candidatos EN/es-419/pt-BR; vincule DOCX/PDF a SHA-256 e preserve source-version, structure, parity, accessibility, render, workflow-security e staging evidence.</w:t>
      </w:r>
    </w:p>
    <w:p>
      <w:pPr>
        <w:pStyle w:val="Heading2"/>
      </w:pPr>
      <w:r>
        <w:t>Chapter 32 — Roadmap e reverificação no release</w:t>
      </w:r>
    </w:p>
    <w:p>
      <w:pPr>
        <w:spacing w:after="120"/>
      </w:pPr>
      <w:r>
        <w:t>Implemente applicability/inventory; governance/bases; transparency/rights; processors/transfers; security/breaches; high-risk/automated processing; assurance/improvement. Antes de publicar reverifique UK GDPR, DPA 2018, estado DUAA 2025, PECR quando alegado e ICO aplicável. Publicação sequencial após o Manual 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