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22 — Implementación controlada de seguridad en la nube</w:t>
      </w:r>
    </w:p>
    <w:p>
      <w:r>
        <w:rPr>
          <w:b/>
        </w:rPr>
        <w:t>Localización controlada es-419 — desarrollo</w:t>
      </w:r>
    </w:p>
    <w:p>
      <w:pPr>
        <w:spacing w:after="120"/>
      </w:pPr>
      <w:r>
        <w:t>**Orden de la serie:** 22</w:t>
      </w:r>
    </w:p>
    <w:p>
      <w:pPr>
        <w:spacing w:after="120"/>
      </w:pPr>
      <w:r>
        <w:t>**Fuente inglesa vinculante:** blob `a056997ce359c3a37acc5b931e5f808cc09921be`</w:t>
      </w:r>
    </w:p>
    <w:p>
      <w:pPr>
        <w:spacing w:after="120"/>
      </w:pPr>
      <w:r>
        <w:t>**Estado de referencia principal:** Cloud Security Alliance Cloud Controls Matrix (CCM) v4.1</w:t>
      </w:r>
    </w:p>
    <w:p>
      <w:pPr>
        <w:spacing w:after="120"/>
      </w:pPr>
      <w:r>
        <w:t>**Límite:** Guía de implementación original. La orientación nativa de proveedores es evidencia de implementación y no sustituye leyes aplicables, estándares independientes ni la intención de controles de CSA. Los crosswalks son mapeos, no equivalencias. Esta traducción del proyecto es no oficial y no implica registro, atestación o certificación CSA STAR.</w:t>
      </w:r>
    </w:p>
    <w:p>
      <w:pPr>
        <w:pStyle w:val="Heading2"/>
      </w:pPr>
      <w:r>
        <w:t>1. Gobierno de nube y modelo operativo</w:t>
      </w:r>
    </w:p>
    <w:p>
      <w:pPr>
        <w:spacing w:after="120"/>
      </w:pPr>
      <w:r>
        <w:t>Definir responsabilidad ejecutiva, propietarios de seguridad, responsabilidades de plataforma y aplicaciones, aceptación de riesgo, autoridad de arquitectura, incorporación de servicios y jerarquía de políticas. Evidencia: carta de gobierno, RACI, estándares, excepciones y decisiones de gestión.</w:t>
      </w:r>
    </w:p>
    <w:p>
      <w:pPr>
        <w:pStyle w:val="Heading2"/>
      </w:pPr>
      <w:r>
        <w:t>2. Alcance, tenencia, cuentas, suscripciones, proyectos y landing zones</w:t>
      </w:r>
    </w:p>
    <w:p>
      <w:pPr>
        <w:spacing w:after="120"/>
      </w:pPr>
      <w:r>
        <w:t>Mantener alcance autoritativo de organizaciones, tenants, cuentas, suscripciones, proyectos, regiones, ambientes y propietarios. Usar aprovisionamiento y etiquetado gobernados. Evidencia: inventarios, jerarquías, definiciones de landing zone y conciliación con APIs del proveedor.</w:t>
      </w:r>
    </w:p>
    <w:p>
      <w:pPr>
        <w:pStyle w:val="Heading2"/>
      </w:pPr>
      <w:r>
        <w:t>3. Responsabilidad compartida y asignación contractual</w:t>
      </w:r>
    </w:p>
    <w:p>
      <w:pPr>
        <w:spacing w:after="120"/>
      </w:pPr>
      <w:r>
        <w:t>Documentar responsabilidades según modelo de servicio, despliegue, capacidades, contratos y servicios administrados. Evidencia: matrices de responsabilidad, cláusulas, declaraciones de control, obligaciones del cliente, brechas y disparadores de reevaluación.</w:t>
      </w:r>
    </w:p>
    <w:p>
      <w:pPr>
        <w:pStyle w:val="Heading2"/>
      </w:pPr>
      <w:r>
        <w:t>4. Evaluación de riesgo y registros de decisión de arquitectura</w:t>
      </w:r>
    </w:p>
    <w:p>
      <w:pPr>
        <w:spacing w:after="120"/>
      </w:pPr>
      <w:r>
        <w:t>Evaluar riesgo considerando sensibilidad, criticidad, rutas de identidad, exposición, dependencia del proveedor, concentración regional, cadena de suministro y resiliencia. Evidencia: evaluaciones, modelos de amenazas, ADR, supuestos, riesgo residual y aprobaciones.</w:t>
      </w:r>
    </w:p>
    <w:p>
      <w:pPr>
        <w:pStyle w:val="Heading2"/>
      </w:pPr>
      <w:r>
        <w:t>5. Federación de identidad, autenticación y acceso privilegiado</w:t>
      </w:r>
    </w:p>
    <w:p>
      <w:pPr>
        <w:spacing w:after="120"/>
      </w:pPr>
      <w:r>
        <w:t>Centralizar identidad cuando sea viable, exigir autenticación fuerte, limitar privilegios y proteger identidades de emergencia. Evidencia: configuración de federación, MFA, roles privilegiados, elevaciones, revisiones y pruebas de break-glass.</w:t>
      </w:r>
    </w:p>
    <w:p>
      <w:pPr>
        <w:pStyle w:val="Heading2"/>
      </w:pPr>
      <w:r>
        <w:t>6. Identidad de cargas y principales de servicio</w:t>
      </w:r>
    </w:p>
    <w:p>
      <w:pPr>
        <w:spacing w:after="120"/>
      </w:pPr>
      <w:r>
        <w:t>Gobernar cuentas de servicio, identidades administradas, federación de cargas, principales, certificados y credenciales automatizadas. Preferir credenciales de corta duración. Evidencia: inventario, propiedad, permisos, antigüedad, políticas de confianza y rotación.</w:t>
      </w:r>
    </w:p>
    <w:p>
      <w:pPr>
        <w:pStyle w:val="Heading2"/>
      </w:pPr>
      <w:r>
        <w:t>7. Arquitectura de red, segmentación, ingreso y egreso</w:t>
      </w:r>
    </w:p>
    <w:p>
      <w:pPr>
        <w:spacing w:after="120"/>
      </w:pPr>
      <w:r>
        <w:t>Definir patrones aprobados, segmentación, enrutamiento, ingreso desde Internet, egreso, conectividad privada, DNS y acceso administrativo. Evidencia: diagramas, matrices de flujo, reglas, tablas de rutas, controles de egreso, pruebas y excepciones.</w:t>
      </w:r>
    </w:p>
    <w:p>
      <w:pPr>
        <w:pStyle w:val="Heading2"/>
      </w:pPr>
      <w:r>
        <w:t>8. Patrones Zero Trust y confianza servicio a servicio</w:t>
      </w:r>
    </w:p>
    <w:p>
      <w:pPr>
        <w:spacing w:after="120"/>
      </w:pPr>
      <w:r>
        <w:t>Autenticar y autorizar conexiones con identidad verificada, contexto y mínimo privilegio, no solo ubicación de red. Evidencia: arquitectura de confianza, identidades de servicio, políticas, certificados, pruebas y denegaciones observadas.</w:t>
      </w:r>
    </w:p>
    <w:p>
      <w:pPr>
        <w:pStyle w:val="Heading2"/>
      </w:pPr>
      <w:r>
        <w:t>9. Clasificación, residencia, soberanía y ciclo de vida de datos</w:t>
      </w:r>
    </w:p>
    <w:p>
      <w:pPr>
        <w:spacing w:after="120"/>
      </w:pPr>
      <w:r>
        <w:t>Clasificar datos y mapear dónde se crean, almacenan, procesan, replican, respaldan, transfieren y eliminan. Evidencia: inventarios, clasificación, regiones, rutas de transferencia, retención y decisiones aprobadas de ubicación.</w:t>
      </w:r>
    </w:p>
    <w:p>
      <w:pPr>
        <w:pStyle w:val="Heading2"/>
      </w:pPr>
      <w:r>
        <w:t>10. Cifrado, gestión de claves, HSM y secretos</w:t>
      </w:r>
    </w:p>
    <w:p>
      <w:pPr>
        <w:spacing w:after="120"/>
      </w:pPr>
      <w:r>
        <w:t>Definir cifrado en reposo y tránsito, propiedad y rotación de claves, KMS/HSM, separación de funciones y gestión de secretos. Evidencia: inventarios, políticas, configuraciones, almacenes, rotaciones, registros y excepciones.</w:t>
      </w:r>
    </w:p>
    <w:p>
      <w:pPr>
        <w:pStyle w:val="Heading2"/>
      </w:pPr>
      <w:r>
        <w:t>11. Registros, telemetría, auditoría e integridad temporal</w:t>
      </w:r>
    </w:p>
    <w:p>
      <w:pPr>
        <w:spacing w:after="120"/>
      </w:pPr>
      <w:r>
        <w:t>Habilitar eventos administrativos, de identidad, red, datos, cargas y plataforma; proteger registros y mantener retención y tiempo coherente. Evidencia: estándar, fuentes, salud de ingestión, retención, destinos protegidos y controles de acceso.</w:t>
      </w:r>
    </w:p>
    <w:p>
      <w:pPr>
        <w:pStyle w:val="Heading2"/>
      </w:pPr>
      <w:r>
        <w:t>12. Ingeniería de detección, monitoreo de amenazas y servicios nativos</w:t>
      </w:r>
    </w:p>
    <w:p>
      <w:pPr>
        <w:spacing w:after="120"/>
      </w:pPr>
      <w:r>
        <w:t>Desarrollar detecciones para abuso de credenciales, escalamiento, APIs sospechosas, recursos expuestos, exfiltración y cambios de políticas. Evidencia: reglas, cobertura, pruebas, investigaciones, ajuste y métricas.</w:t>
      </w:r>
    </w:p>
    <w:p>
      <w:pPr>
        <w:pStyle w:val="Heading2"/>
      </w:pPr>
      <w:r>
        <w:t>13. Líneas base de configuración y policy as code</w:t>
      </w:r>
    </w:p>
    <w:p>
      <w:pPr>
        <w:spacing w:after="120"/>
      </w:pPr>
      <w:r>
        <w:t>Definir configuraciones seguras y evaluarlas o aplicarlas mediante motores de políticas cuando corresponda. Evidencia: líneas base, repositorios, asignaciones, resultados, bloqueos, excepciones y remediación de deriva.</w:t>
      </w:r>
    </w:p>
    <w:p>
      <w:pPr>
        <w:pStyle w:val="Heading2"/>
      </w:pPr>
      <w:r>
        <w:t>14. Gobierno de infraestructura como código y control de deriva</w:t>
      </w:r>
    </w:p>
    <w:p>
      <w:pPr>
        <w:spacing w:after="120"/>
      </w:pPr>
      <w:r>
        <w:t>Gestionar infraestructura mediante repositorios controlados, revisión, pruebas, aprobaciones y pipelines protegidos. Evidencia: repositorios IaC, revisiones, planes, resultados, reportes de deriva y conciliaciones.</w:t>
      </w:r>
    </w:p>
    <w:p>
      <w:pPr>
        <w:pStyle w:val="Heading2"/>
      </w:pPr>
      <w:r>
        <w:t>15. Vulnerabilidades, parches, imágenes y dependencias</w:t>
      </w:r>
    </w:p>
    <w:p>
      <w:pPr>
        <w:spacing w:after="120"/>
      </w:pPr>
      <w:r>
        <w:t>Inventariar y priorizar vulnerabilidades según exposición, explotabilidad, criticidad y responsabilidad del proveedor. Evidencia: cobertura, hallazgos, estado de parches, alertas, tickets, excepciones, retests y avisos.</w:t>
      </w:r>
    </w:p>
    <w:p>
      <w:pPr>
        <w:pStyle w:val="Heading2"/>
      </w:pPr>
      <w:r>
        <w:t>16. Seguridad de contenedores, Kubernetes y orquestación</w:t>
      </w:r>
    </w:p>
    <w:p>
      <w:pPr>
        <w:spacing w:after="120"/>
      </w:pPr>
      <w:r>
        <w:t>Proteger clusters, planos de control, nodos, registros, admisión, RBAC, namespaces, políticas de red, secretos e imágenes. Evidencia: inventarios, líneas base, políticas, procedencia de imágenes, revisiones y alertas.</w:t>
      </w:r>
    </w:p>
    <w:p>
      <w:pPr>
        <w:pStyle w:val="Heading2"/>
      </w:pPr>
      <w:r>
        <w:t>17. Seguridad serverless, PaaS, servicios administrados y APIs</w:t>
      </w:r>
    </w:p>
    <w:p>
      <w:pPr>
        <w:spacing w:after="120"/>
      </w:pPr>
      <w:r>
        <w:t>Aplicar controles específicos a funciones, bases administradas, colas, analítica, IA, APIs y otros PaaS. Evidencia: inventarios, políticas API, configuraciones, registros, datos y decisiones de riesgo.</w:t>
      </w:r>
    </w:p>
    <w:p>
      <w:pPr>
        <w:pStyle w:val="Heading2"/>
      </w:pPr>
      <w:r>
        <w:t>18. Seguridad SaaS y aseguramiento de configuración del tenant</w:t>
      </w:r>
    </w:p>
    <w:p>
      <w:pPr>
        <w:spacing w:after="120"/>
      </w:pPr>
      <w:r>
        <w:t>Gobernar administradores, federación, MFA, compartición, colaboración externa, retención, integraciones y registros. Evidencia: inventario SaaS, revisiones de roles, evaluaciones, aplicaciones conectadas y remediación.</w:t>
      </w:r>
    </w:p>
    <w:p>
      <w:pPr>
        <w:pStyle w:val="Heading2"/>
      </w:pPr>
      <w:r>
        <w:t>19. DevSecOps, CI/CD, firma e integridad de compilación</w:t>
      </w:r>
    </w:p>
    <w:p>
      <w:pPr>
        <w:spacing w:after="120"/>
      </w:pPr>
      <w:r>
        <w:t>Proteger repositorios, runners, sistemas de build, identidades de despliegue, artefactos y registros. Evidencia: pipelines, revisiones de acceso, escaneos, artefactos firmados, atestaciones de procedencia y releases.</w:t>
      </w:r>
    </w:p>
    <w:p>
      <w:pPr>
        <w:pStyle w:val="Heading2"/>
      </w:pPr>
      <w:r>
        <w:t>20. Respaldo, recuperación, inmutabilidad y resiliencia ante ransomware</w:t>
      </w:r>
    </w:p>
    <w:p>
      <w:pPr>
        <w:spacing w:after="120"/>
      </w:pPr>
      <w:r>
        <w:t>Definir cobertura de respaldo protegida, aislamiento, inmutabilidad cuando aplique, retención y restauración. Evidencia: políticas, inventarios, pruebas de restauración, configuraciones, accesos y tiempos observados.</w:t>
      </w:r>
    </w:p>
    <w:p>
      <w:pPr>
        <w:pStyle w:val="Heading2"/>
      </w:pPr>
      <w:r>
        <w:t>21. Disponibilidad, resiliencia regional y dominios de falla</w:t>
      </w:r>
    </w:p>
    <w:p>
      <w:pPr>
        <w:spacing w:after="120"/>
      </w:pPr>
      <w:r>
        <w:t>Diseñar según requisitos de resiliencia entre zonas, regiones, servicios, identidad, redes, DNS, datos y proveedores. Evidencia: arquitectura, dependencias, pruebas de failover, capacidad, límites y acciones correctivas.</w:t>
      </w:r>
    </w:p>
    <w:p>
      <w:pPr>
        <w:pStyle w:val="Heading2"/>
      </w:pPr>
      <w:r>
        <w:t>22. Respuesta a incidentes, forense y preservación de evidencia cloud</w:t>
      </w:r>
    </w:p>
    <w:p>
      <w:pPr>
        <w:spacing w:after="120"/>
      </w:pPr>
      <w:r>
        <w:t>Preparar playbooks para compromiso de identidad, exposición de datos, cargas maliciosas, ransomware y abuso del plano de control. Evidencia: playbooks, cronologías, snapshots, logs, casos con proveedor, ejercicios y lecciones.</w:t>
      </w:r>
    </w:p>
    <w:p>
      <w:pPr>
        <w:pStyle w:val="Heading2"/>
      </w:pPr>
      <w:r>
        <w:t>23. Inventario, descubrimiento, propiedad y etiquetado de activos</w:t>
      </w:r>
    </w:p>
    <w:p>
      <w:pPr>
        <w:spacing w:after="120"/>
      </w:pPr>
      <w:r>
        <w:t>Identificar continuamente recursos, activos efímeros, endpoints públicos, datos, claves, cargas e integraciones. Evidencia: feeds de inventario, cumplimiento de tags, recursos huérfanos, atestaciones y limpieza.</w:t>
      </w:r>
    </w:p>
    <w:p>
      <w:pPr>
        <w:pStyle w:val="Heading2"/>
      </w:pPr>
      <w:r>
        <w:t>24. Riesgo de terceros, marketplaces y servicios administrados</w:t>
      </w:r>
    </w:p>
    <w:p>
      <w:pPr>
        <w:spacing w:after="120"/>
      </w:pPr>
      <w:r>
        <w:t>Gobernar imágenes de marketplace, SaaS, MSP, APIs y componentes externos. Evidencia: registro, evaluaciones, permisos, contratos, monitoreo y terminación.</w:t>
      </w:r>
    </w:p>
    <w:p>
      <w:pPr>
        <w:pStyle w:val="Heading2"/>
      </w:pPr>
      <w:r>
        <w:t>25. Aseguramiento de proveedores cloud y evidencia contractual</w:t>
      </w:r>
    </w:p>
    <w:p>
      <w:pPr>
        <w:spacing w:after="120"/>
      </w:pPr>
      <w:r>
        <w:t>Recopilar aseguramiento proporcional al riesgo y validar alcance y período de informes, certificaciones y compromisos. Evidencia: reportes, mapeos de alcance, contratos, hallazgos, cartas puente y decisiones.</w:t>
      </w:r>
    </w:p>
    <w:p>
      <w:pPr>
        <w:pStyle w:val="Heading2"/>
      </w:pPr>
      <w:r>
        <w:t>26. Privacidad, registros, retención y eliminación</w:t>
      </w:r>
    </w:p>
    <w:p>
      <w:pPr>
        <w:spacing w:after="120"/>
      </w:pPr>
      <w:r>
        <w:t>Configurar servicios para apoyar obligaciones aplicables de privacidad y registros sin confundir capacidad técnica con determinación legal. Evidencia: retención, eliminación, legal holds, evaluaciones y pruebas de ciclo de vida.</w:t>
      </w:r>
    </w:p>
    <w:p>
      <w:pPr>
        <w:pStyle w:val="Heading2"/>
      </w:pPr>
      <w:r>
        <w:t>27. Costos, capacidad, abuso y gobierno de recursos</w:t>
      </w:r>
    </w:p>
    <w:p>
      <w:pPr>
        <w:spacing w:after="120"/>
      </w:pPr>
      <w:r>
        <w:t>Tratar costos inesperados, agotamiento, abuso de cuotas, criptominería y aprovisionamiento descontrolado como señales cuando corresponda. Evidencia: umbrales, alertas, capacidad, investigaciones y acciones.</w:t>
      </w:r>
    </w:p>
    <w:p>
      <w:pPr>
        <w:pStyle w:val="Heading2"/>
      </w:pPr>
      <w:r>
        <w:t>28. Consistencia de controles multi-cloud e híbridos</w:t>
      </w:r>
    </w:p>
    <w:p>
      <w:pPr>
        <w:spacing w:after="120"/>
      </w:pPr>
      <w:r>
        <w:t>Definir controles empresariales y específicos por proveedor sin ocultar diferencias materiales. Evidencia: matriz cross-cloud, patrones, desviaciones, cobertura, brechas y planes de migración.</w:t>
      </w:r>
    </w:p>
    <w:p>
      <w:pPr>
        <w:pStyle w:val="Heading2"/>
      </w:pPr>
      <w:r>
        <w:t>29. Métricas, salud de controles, monitoreo continuo y excepciones</w:t>
      </w:r>
    </w:p>
    <w:p>
      <w:pPr>
        <w:spacing w:after="120"/>
      </w:pPr>
      <w:r>
        <w:t>Medir exposición privilegiada, recursos públicos, violaciones, brechas de logging, riesgo sin parchear, identidades obsoletas, fallas de backup y antigüedad de excepciones. Evidencia: dashboards, definiciones, umbrales, tendencias y remediación.</w:t>
      </w:r>
    </w:p>
    <w:p>
      <w:pPr>
        <w:pStyle w:val="Heading2"/>
      </w:pPr>
      <w:r>
        <w:t>30. Evaluación, aseguramiento, pruebas y muestreo de evidencia</w:t>
      </w:r>
    </w:p>
    <w:p>
      <w:pPr>
        <w:spacing w:after="120"/>
      </w:pPr>
      <w:r>
        <w:t>Definir alcance, muestreo, validación técnica, revisión de configuración, pruebas e interfaces de evaluadores. La automatización no crea certificación ni sustituye juicio profesional externo. Evidencia: planes, muestras, papeles de trabajo, hallazgos y retests.</w:t>
      </w:r>
    </w:p>
    <w:p>
      <w:pPr>
        <w:pStyle w:val="Heading2"/>
      </w:pPr>
      <w:r>
        <w:t>31. Migración, modernización, salida, portabilidad y desmantelamiento</w:t>
      </w:r>
    </w:p>
    <w:p>
      <w:pPr>
        <w:spacing w:after="120"/>
      </w:pPr>
      <w:r>
        <w:t>Planificar migraciones y salidas seguras considerando datos, identidades, claves, configuraciones, dependencias, evidencia y eliminación. Evidencia: planes, pruebas de portabilidad, conciliación, confirmación de borrado y accesos revocados.</w:t>
      </w:r>
    </w:p>
    <w:p>
      <w:pPr>
        <w:pStyle w:val="Heading2"/>
      </w:pPr>
      <w:r>
        <w:t>32. Paquete de evidencia, roadmap, cambio de fuentes y mejora continua</w:t>
      </w:r>
    </w:p>
    <w:p>
      <w:pPr>
        <w:spacing w:after="120"/>
      </w:pPr>
      <w:r>
        <w:t>Registrar propietario, alcance, procedimiento, frecuencia, evidencia, prueba, hallazgos, remediación y reevaluación. Revalidar versión CCM/CAIQ, transiciones, mapeos, orientación relevante y dependencias STAR al liberar. Exigir paridad trilingüe, seis binarios reproducibles, QA de render/accesibilidad, SHA-256, seguridad de workflows, staging exacto, predecesor publicado y conciliación de registros.</w:t>
      </w:r>
    </w:p>
    <w:p>
      <w:pPr>
        <w:pStyle w:val="Heading2"/>
      </w:pPr>
      <w:r>
        <w:t>Límite de liberación controlada</w:t>
      </w:r>
    </w:p>
    <w:p>
      <w:pPr>
        <w:spacing w:after="120"/>
      </w:pPr>
      <w:r>
        <w:t>Esta localización no establece cumplimiento, equivalencia legal, certificación de proveedor ni estado CSA STAR. CCM v4.1 es el estado de referencia CSA registrado por el gate de fuentes y debe revalidarse al liberar. Bajo la regla canónica, un candidato limpio con gates objetivos verdes y predecesor publicado procede bajo autorización permanente salvo una cuestión sustantiva específica que requiera juicio especializado no determinístico.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