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Kit</w:t>
      </w:r>
      <w:r>
        <w:t xml:space="preserve"> </w:t>
      </w:r>
      <w:r>
        <w:t xml:space="preserve">de</w:t>
      </w:r>
      <w:r>
        <w:t xml:space="preserve"> </w:t>
      </w:r>
      <w:r>
        <w:t xml:space="preserve">Registro</w:t>
      </w:r>
      <w:r>
        <w:t xml:space="preserve"> </w:t>
      </w:r>
      <w:r>
        <w:t xml:space="preserve">de</w:t>
      </w:r>
      <w:r>
        <w:t xml:space="preserve"> </w:t>
      </w:r>
      <w:r>
        <w:t xml:space="preserve">Obligaciones</w:t>
      </w:r>
      <w:r>
        <w:t xml:space="preserve"> </w:t>
      </w:r>
      <w:r>
        <w:t xml:space="preserve">de</w:t>
      </w:r>
      <w:r>
        <w:t xml:space="preserve"> </w:t>
      </w:r>
      <w:r>
        <w:t xml:space="preserve">Cumplimiento</w:t>
      </w:r>
      <w:r>
        <w:t xml:space="preserve"> </w:t>
      </w:r>
      <w:r>
        <w:t xml:space="preserve">y</w:t>
      </w:r>
      <w:r>
        <w:t xml:space="preserve"> </w:t>
      </w:r>
      <w:r>
        <w:t xml:space="preserve">Gestion</w:t>
      </w:r>
      <w:r>
        <w:t xml:space="preserve"> </w:t>
      </w:r>
      <w:r>
        <w:t xml:space="preserve">del</w:t>
      </w:r>
      <w:r>
        <w:t xml:space="preserve"> </w:t>
      </w:r>
      <w:r>
        <w:t xml:space="preserve">Cambio</w:t>
      </w:r>
      <w:r>
        <w:t xml:space="preserve"> </w:t>
      </w:r>
      <w:r>
        <w:t xml:space="preserve">Regulatorio</w:t>
      </w:r>
    </w:p>
    <w:p>
      <w:pPr>
        <w:pStyle w:val="Author"/>
      </w:pPr>
      <w:r>
        <w:t xml:space="preserve">Alberto Al Leiva</w:t>
      </w:r>
    </w:p>
    <w:p>
      <w:pPr>
        <w:pStyle w:val="Date"/>
      </w:pPr>
      <w:r>
        <w:t xml:space="preserve">1</w:t>
      </w:r>
      <w:r>
        <w:t xml:space="preserve"> </w:t>
      </w: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961998b9e4f1144d2fd64e16db0c34f0ed8d662"/>
    <w:p>
      <w:pPr>
        <w:pStyle w:val="Heading1"/>
      </w:pPr>
      <w:r>
        <w:t xml:space="preserve">Compliance Obligations Register and Regulatory Change Management Toolkit</w:t>
      </w:r>
    </w:p>
    <w:p>
      <w:pPr>
        <w:pStyle w:val="BlockText"/>
      </w:pPr>
      <w:r>
        <w:rPr>
          <w:bCs/>
          <w:b/>
        </w:rPr>
        <w:t xml:space="preserve">Nota de uso educativo y de gobernanza:</w:t>
      </w:r>
      <w:r>
        <w:t xml:space="preserve"> </w:t>
      </w:r>
      <w:r>
        <w:t xml:space="preserve">Este conjunto de herramientas no proporciona asesoramiento jurídico, determina la aplicabilidad, certifica el cumplimiento, prueba la eficacia del control o reemplaza los textos legales oficiales y la revisión profesional calificada.</w:t>
      </w:r>
    </w:p>
    <w:p>
      <w:pPr>
        <w:pStyle w:val="BlockText"/>
      </w:pPr>
      <w:r>
        <w:rPr>
          <w:bCs/>
          <w:b/>
        </w:rPr>
        <w:t xml:space="preserve">Nota de control de la fuente:</w:t>
      </w:r>
      <w:r>
        <w:t xml:space="preserve"> </w:t>
      </w:r>
      <w:r>
        <w:t xml:space="preserve">Verifique toda obligación y cambio contra una fuente autorizada actual. Jurisdicción, alcance, fechas, versión, propietario de la interpretación, estado de aplicación, evidencia y historial de revisión.</w:t>
      </w:r>
    </w:p>
    <w:bookmarkEnd w:id="20"/>
    <w:bookmarkStart w:id="31" w:name="X990a11ae792c03c0e60e6286ef93b362220ae5c"/>
    <w:p>
      <w:pPr>
        <w:pStyle w:val="Heading1"/>
      </w:pPr>
      <w:r>
        <w:t xml:space="preserve">Governance, Source Authority, and Obligation Inventory</w:t>
      </w:r>
    </w:p>
    <w:bookmarkStart w:id="21" w:name="propósito"/>
    <w:p>
      <w:pPr>
        <w:pStyle w:val="Heading2"/>
      </w:pPr>
      <w:r>
        <w:t xml:space="preserve">1. Propósito</w:t>
      </w:r>
    </w:p>
    <w:p>
      <w:pPr>
        <w:pStyle w:val="FirstParagraph"/>
      </w:pPr>
      <w:r>
        <w:t xml:space="preserve">Un registro de obligaciones de cumplimiento es un inventario controlado de los requisitos que una organización ha determinado puede regir sus actividades. Apoya la rendición de cuentas, la planificación de la aplicación, la vigilancia, la retención de pruebas y la gestión del cambio. No sustituye a la fuente autorizada ni a una decisión de aplicabilidad calificada.</w:t>
      </w:r>
    </w:p>
    <w:bookmarkEnd w:id="21"/>
    <w:bookmarkStart w:id="22" w:name="definir-las-categorías-de-obligaciones"/>
    <w:p>
      <w:pPr>
        <w:pStyle w:val="Heading2"/>
      </w:pPr>
      <w:r>
        <w:t xml:space="preserve">2. Definir las categorías de obligaciones</w:t>
      </w:r>
    </w:p>
    <w:p>
      <w:pPr>
        <w:pStyle w:val="FirstParagraph"/>
      </w:pPr>
      <w:r>
        <w:t xml:space="preserve">Utilizar categorías controladas por lo que no se tratan como requisitos intercambiables:</w:t>
      </w:r>
    </w:p>
    <w:p>
      <w:pPr>
        <w:numPr>
          <w:ilvl w:val="0"/>
          <w:numId w:val="1001"/>
        </w:numPr>
        <w:pStyle w:val="Compact"/>
      </w:pPr>
      <w:r>
        <w:t xml:space="preserve">ley o estatuto;</w:t>
      </w:r>
    </w:p>
    <w:p>
      <w:pPr>
        <w:numPr>
          <w:ilvl w:val="0"/>
          <w:numId w:val="1001"/>
        </w:numPr>
        <w:pStyle w:val="Compact"/>
      </w:pPr>
      <w:r>
        <w:t xml:space="preserve">regulación o norma vinculante;</w:t>
      </w:r>
    </w:p>
    <w:p>
      <w:pPr>
        <w:numPr>
          <w:ilvl w:val="0"/>
          <w:numId w:val="1001"/>
        </w:numPr>
        <w:pStyle w:val="Compact"/>
      </w:pPr>
      <w:r>
        <w:t xml:space="preserve">orden reglamentario, permiso, licencia o autorización;</w:t>
      </w:r>
    </w:p>
    <w:p>
      <w:pPr>
        <w:numPr>
          <w:ilvl w:val="0"/>
          <w:numId w:val="1001"/>
        </w:numPr>
        <w:pStyle w:val="Compact"/>
      </w:pPr>
      <w:r>
        <w:t xml:space="preserve">contrato o compromiso del cliente;</w:t>
      </w:r>
    </w:p>
    <w:p>
      <w:pPr>
        <w:numPr>
          <w:ilvl w:val="0"/>
          <w:numId w:val="1001"/>
        </w:numPr>
        <w:pStyle w:val="Compact"/>
      </w:pPr>
      <w:r>
        <w:t xml:space="preserve">tribunal o decisión administrativa;</w:t>
      </w:r>
    </w:p>
    <w:p>
      <w:pPr>
        <w:numPr>
          <w:ilvl w:val="0"/>
          <w:numId w:val="1001"/>
        </w:numPr>
        <w:pStyle w:val="Compact"/>
      </w:pPr>
      <w:r>
        <w:t xml:space="preserve">la industria obligatoria o el requisito del programa de pago;</w:t>
      </w:r>
    </w:p>
    <w:p>
      <w:pPr>
        <w:numPr>
          <w:ilvl w:val="0"/>
          <w:numId w:val="1001"/>
        </w:numPr>
        <w:pStyle w:val="Compact"/>
      </w:pPr>
      <w:r>
        <w:t xml:space="preserve">adoptado criterio estándar o de certificación;</w:t>
      </w:r>
    </w:p>
    <w:p>
      <w:pPr>
        <w:numPr>
          <w:ilvl w:val="0"/>
          <w:numId w:val="1001"/>
        </w:numPr>
        <w:pStyle w:val="Compact"/>
      </w:pPr>
      <w:r>
        <w:t xml:space="preserve">la política interna o el compromiso de gobernanza;</w:t>
      </w:r>
    </w:p>
    <w:p>
      <w:pPr>
        <w:numPr>
          <w:ilvl w:val="0"/>
          <w:numId w:val="1001"/>
        </w:numPr>
        <w:pStyle w:val="Compact"/>
      </w:pPr>
      <w:r>
        <w:t xml:space="preserve">Código, marco o orientación voluntarios.</w:t>
      </w:r>
    </w:p>
    <w:p>
      <w:pPr>
        <w:pStyle w:val="FirstParagraph"/>
      </w:pPr>
      <w:r>
        <w:t xml:space="preserve">Recordar si cada artículo es obligatorio, adoptado voluntariamente, vinculante contractualmente o informativo.</w:t>
      </w:r>
    </w:p>
    <w:bookmarkEnd w:id="22"/>
    <w:bookmarkStart w:id="23" w:name="establecer-la-autoridad-de-origen"/>
    <w:p>
      <w:pPr>
        <w:pStyle w:val="Heading2"/>
      </w:pPr>
      <w:r>
        <w:t xml:space="preserve">3. Establecer la autoridad de origen</w:t>
      </w:r>
    </w:p>
    <w:p>
      <w:pPr>
        <w:pStyle w:val="FirstParagraph"/>
      </w:pPr>
      <w:r>
        <w:t xml:space="preserve">Cada registro de fuentes debe identificar:</w:t>
      </w:r>
    </w:p>
    <w:p>
      <w:pPr>
        <w:numPr>
          <w:ilvl w:val="0"/>
          <w:numId w:val="1002"/>
        </w:numPr>
        <w:pStyle w:val="Compact"/>
      </w:pPr>
      <w:r>
        <w:t xml:space="preserve">título oficial e identificador;</w:t>
      </w:r>
    </w:p>
    <w:p>
      <w:pPr>
        <w:numPr>
          <w:ilvl w:val="0"/>
          <w:numId w:val="1002"/>
        </w:numPr>
        <w:pStyle w:val="Compact"/>
      </w:pPr>
      <w:r>
        <w:t xml:space="preserve">autoridad emisora;</w:t>
      </w:r>
    </w:p>
    <w:p>
      <w:pPr>
        <w:numPr>
          <w:ilvl w:val="0"/>
          <w:numId w:val="1002"/>
        </w:numPr>
        <w:pStyle w:val="Compact"/>
      </w:pPr>
      <w:r>
        <w:t xml:space="preserve">competencia y sector;</w:t>
      </w:r>
    </w:p>
    <w:p>
      <w:pPr>
        <w:numPr>
          <w:ilvl w:val="0"/>
          <w:numId w:val="1002"/>
        </w:numPr>
        <w:pStyle w:val="Compact"/>
      </w:pPr>
      <w:r>
        <w:t xml:space="preserve">autoritative publication location;</w:t>
      </w:r>
    </w:p>
    <w:p>
      <w:pPr>
        <w:numPr>
          <w:ilvl w:val="0"/>
          <w:numId w:val="1002"/>
        </w:numPr>
        <w:pStyle w:val="Compact"/>
      </w:pPr>
      <w:r>
        <w:t xml:space="preserve">versión de origen o fecha de consolidación;</w:t>
      </w:r>
    </w:p>
    <w:p>
      <w:pPr>
        <w:numPr>
          <w:ilvl w:val="0"/>
          <w:numId w:val="1002"/>
        </w:numPr>
        <w:pStyle w:val="Compact"/>
      </w:pPr>
      <w:r>
        <w:t xml:space="preserve">public, adoption, effective, transition, and enforcement dates;</w:t>
      </w:r>
    </w:p>
    <w:p>
      <w:pPr>
        <w:numPr>
          <w:ilvl w:val="0"/>
          <w:numId w:val="1002"/>
        </w:numPr>
        <w:pStyle w:val="Compact"/>
      </w:pPr>
      <w:r>
        <w:t xml:space="preserve">la situación actual, incluido el proyecto, propuesto, aprobado, eficaz, enmendado, mantenido, retrasado, superpuesto, retirado o vencido;</w:t>
      </w:r>
    </w:p>
    <w:p>
      <w:pPr>
        <w:numPr>
          <w:ilvl w:val="0"/>
          <w:numId w:val="1002"/>
        </w:numPr>
        <w:pStyle w:val="Compact"/>
      </w:pPr>
      <w:r>
        <w:t xml:space="preserve">idioma y estado de traducción;</w:t>
      </w:r>
    </w:p>
    <w:p>
      <w:pPr>
        <w:numPr>
          <w:ilvl w:val="0"/>
          <w:numId w:val="1002"/>
        </w:numPr>
        <w:pStyle w:val="Compact"/>
      </w:pPr>
      <w:r>
        <w:t xml:space="preserve">acceso, derechos de autor y condiciones de licencia.</w:t>
      </w:r>
    </w:p>
    <w:p>
      <w:pPr>
        <w:pStyle w:val="FirstParagraph"/>
      </w:pPr>
      <w:r>
        <w:t xml:space="preserve">Los resúmenes secundarios pueden apoyar el descubrimiento, pero no deben convertirse en el registro obligatorio autorizado.</w:t>
      </w:r>
    </w:p>
    <w:bookmarkEnd w:id="23"/>
    <w:bookmarkStart w:id="24" w:name="fechas-separadas"/>
    <w:p>
      <w:pPr>
        <w:pStyle w:val="Heading2"/>
      </w:pPr>
      <w:r>
        <w:t xml:space="preserve">4. Fechas separadas</w:t>
      </w:r>
    </w:p>
    <w:p>
      <w:pPr>
        <w:pStyle w:val="FirstParagraph"/>
      </w:pPr>
      <w:r>
        <w:t xml:space="preserve">No derrumbes todas las fechas en un campo. La publicación, la adopción, la eficacia, el fin de la transición, la aplicación, la aplicación y las fechas de examen pueden diferir materialmente. El registro debe preservar esas distinciones porque un requisito adoptado aún no puede ser eficaz, y un requisito efectivo puede tener obligaciones graduales o demoras en la ejecución.</w:t>
      </w:r>
    </w:p>
    <w:bookmarkEnd w:id="24"/>
    <w:bookmarkStart w:id="25" w:name="funciones-de-gestión"/>
    <w:p>
      <w:pPr>
        <w:pStyle w:val="Heading2"/>
      </w:pPr>
      <w:r>
        <w:t xml:space="preserve">5. Funciones de gestión</w:t>
      </w:r>
    </w:p>
    <w:p>
      <w:pPr>
        <w:pStyle w:val="FirstParagraph"/>
      </w:pPr>
      <w:r>
        <w:t xml:space="preserve">Las funciones recomendadas incluyen:</w:t>
      </w:r>
    </w:p>
    <w:p>
      <w:pPr>
        <w:numPr>
          <w:ilvl w:val="0"/>
          <w:numId w:val="1003"/>
        </w:numPr>
        <w:pStyle w:val="Compact"/>
      </w:pPr>
      <w:r>
        <w:t xml:space="preserve">** Propietario de la gobernanza del cumplimiento** - aprueba la metodología y la presentación de informes;</w:t>
      </w:r>
    </w:p>
    <w:p>
      <w:pPr>
        <w:numPr>
          <w:ilvl w:val="0"/>
          <w:numId w:val="1003"/>
        </w:numPr>
        <w:pStyle w:val="Compact"/>
      </w:pPr>
      <w:r>
        <w:rPr>
          <w:bCs/>
          <w:b/>
        </w:rPr>
        <w:t xml:space="preserve">Administrador de recursos</w:t>
      </w:r>
      <w:r>
        <w:t xml:space="preserve">: verifica las fuentes oficiales, las versiones y el estado;</w:t>
      </w:r>
    </w:p>
    <w:p>
      <w:pPr>
        <w:numPr>
          <w:ilvl w:val="0"/>
          <w:numId w:val="1003"/>
        </w:numPr>
        <w:pStyle w:val="Compact"/>
      </w:pPr>
      <w:r>
        <w:rPr>
          <w:bCs/>
          <w:b/>
        </w:rPr>
        <w:t xml:space="preserve">Revisor jurídico o subjetivo</w:t>
      </w:r>
      <w:r>
        <w:t xml:space="preserve"> </w:t>
      </w:r>
      <w:r>
        <w:t xml:space="preserve">- evalúa el significado y la aplicabilidad;</w:t>
      </w:r>
    </w:p>
    <w:p>
      <w:pPr>
        <w:numPr>
          <w:ilvl w:val="0"/>
          <w:numId w:val="1003"/>
        </w:numPr>
        <w:pStyle w:val="Compact"/>
      </w:pPr>
      <w:r>
        <w:rPr>
          <w:bCs/>
          <w:b/>
        </w:rPr>
        <w:t xml:space="preserve">Propietario de la obligación</w:t>
      </w:r>
      <w:r>
        <w:t xml:space="preserve"> </w:t>
      </w:r>
      <w:r>
        <w:t xml:space="preserve">- sigue siendo responsable del requisito;</w:t>
      </w:r>
    </w:p>
    <w:p>
      <w:pPr>
        <w:numPr>
          <w:ilvl w:val="0"/>
          <w:numId w:val="1003"/>
        </w:numPr>
        <w:pStyle w:val="Compact"/>
      </w:pPr>
      <w:r>
        <w:rPr>
          <w:bCs/>
          <w:b/>
        </w:rPr>
        <w:t xml:space="preserve">Propietario del control</w:t>
      </w:r>
      <w:r>
        <w:t xml:space="preserve">: mantiene la aplicación y las pruebas;</w:t>
      </w:r>
    </w:p>
    <w:p>
      <w:pPr>
        <w:numPr>
          <w:ilvl w:val="0"/>
          <w:numId w:val="1003"/>
        </w:numPr>
        <w:pStyle w:val="Compact"/>
      </w:pPr>
      <w:r>
        <w:rPr>
          <w:bCs/>
          <w:b/>
        </w:rPr>
        <w:t xml:space="preserve">Coordinador regulador del cambio</w:t>
      </w:r>
      <w:r>
        <w:t xml:space="preserve"> </w:t>
      </w:r>
      <w:r>
        <w:t xml:space="preserve">— gestiona la exploración del horizonte y el cambio de consumo;</w:t>
      </w:r>
    </w:p>
    <w:p>
      <w:pPr>
        <w:numPr>
          <w:ilvl w:val="0"/>
          <w:numId w:val="1003"/>
        </w:numPr>
        <w:pStyle w:val="Compact"/>
      </w:pPr>
      <w:r>
        <w:rPr>
          <w:bCs/>
          <w:b/>
        </w:rPr>
        <w:t xml:space="preserve">Custodio de registros</w:t>
      </w:r>
      <w:r>
        <w:t xml:space="preserve">: retiene decisiones, versiones, aprobaciones y pruebas;</w:t>
      </w:r>
    </w:p>
    <w:p>
      <w:pPr>
        <w:numPr>
          <w:ilvl w:val="0"/>
          <w:numId w:val="1003"/>
        </w:numPr>
        <w:pStyle w:val="Compact"/>
      </w:pPr>
      <w:r>
        <w:rPr>
          <w:bCs/>
          <w:b/>
        </w:rPr>
        <w:t xml:space="preserve">Revisor independiente</w:t>
      </w:r>
      <w:r>
        <w:t xml:space="preserve">: desafíos que no respaldan las conclusiones y reclamaciones de cierre.</w:t>
      </w:r>
    </w:p>
    <w:bookmarkEnd w:id="25"/>
    <w:bookmarkStart w:id="26" w:name="establecer-límites-de-inventario"/>
    <w:p>
      <w:pPr>
        <w:pStyle w:val="Heading2"/>
      </w:pPr>
      <w:r>
        <w:t xml:space="preserve">6. Establecer límites de inventario</w:t>
      </w:r>
    </w:p>
    <w:p>
      <w:pPr>
        <w:pStyle w:val="FirstParagraph"/>
      </w:pPr>
      <w:r>
        <w:t xml:space="preserve">Document which entities, jurisdictions, products, services, systems, data types, facilities, labour populations, providers, licenses, contracts, and business processes are included. Un inventario de toda la organización puede contener obligaciones locales, pero los requisitos locales deben conservar su alcance y no deben generalizarse automáticamente.</w:t>
      </w:r>
    </w:p>
    <w:bookmarkEnd w:id="26"/>
    <w:bookmarkStart w:id="27" w:name="crear-identificadores-de-obligaciones"/>
    <w:p>
      <w:pPr>
        <w:pStyle w:val="Heading2"/>
      </w:pPr>
      <w:r>
        <w:t xml:space="preserve">7. Crear identificadores de obligaciones</w:t>
      </w:r>
    </w:p>
    <w:p>
      <w:pPr>
        <w:pStyle w:val="FirstParagraph"/>
      </w:pPr>
      <w:r>
        <w:t xml:space="preserve">Asignar un identificador de organización estable a cada obligación preservando al mismo tiempo la referencia oficial de origen. Use las relaciones entre padres e hijos cuando una disposición de origen contenga múltiples deberes de acción independientemente. No invente identificadores que podrían confundirse con citas oficiales.</w:t>
      </w:r>
    </w:p>
    <w:bookmarkEnd w:id="27"/>
    <w:bookmarkStart w:id="28" w:name="criterios-mínimos-de-entrada"/>
    <w:p>
      <w:pPr>
        <w:pStyle w:val="Heading2"/>
      </w:pPr>
      <w:r>
        <w:t xml:space="preserve">8. Criterios mínimos de entrada</w:t>
      </w:r>
    </w:p>
    <w:p>
      <w:pPr>
        <w:pStyle w:val="FirstParagraph"/>
      </w:pPr>
      <w:r>
        <w:t xml:space="preserve">Una obligación no debe entrar en el registro controlado sin:</w:t>
      </w:r>
    </w:p>
    <w:p>
      <w:pPr>
        <w:numPr>
          <w:ilvl w:val="0"/>
          <w:numId w:val="1004"/>
        </w:numPr>
        <w:pStyle w:val="Compact"/>
      </w:pPr>
      <w:r>
        <w:t xml:space="preserve">una fuente identificable y el estado actual;</w:t>
      </w:r>
    </w:p>
    <w:p>
      <w:pPr>
        <w:numPr>
          <w:ilvl w:val="0"/>
          <w:numId w:val="1004"/>
        </w:numPr>
        <w:pStyle w:val="Compact"/>
      </w:pPr>
      <w:r>
        <w:t xml:space="preserve">a traceable official reference or documented reason why one is unavailable;</w:t>
      </w:r>
    </w:p>
    <w:p>
      <w:pPr>
        <w:numPr>
          <w:ilvl w:val="0"/>
          <w:numId w:val="1004"/>
        </w:numPr>
        <w:pStyle w:val="Compact"/>
      </w:pPr>
      <w:r>
        <w:t xml:space="preserve">un alcance preliminar y un estado de aplicabilidad;</w:t>
      </w:r>
    </w:p>
    <w:p>
      <w:pPr>
        <w:numPr>
          <w:ilvl w:val="0"/>
          <w:numId w:val="1004"/>
        </w:numPr>
        <w:pStyle w:val="Compact"/>
      </w:pPr>
      <w:r>
        <w:t xml:space="preserve">un propietario responsable;</w:t>
      </w:r>
    </w:p>
    <w:p>
      <w:pPr>
        <w:numPr>
          <w:ilvl w:val="0"/>
          <w:numId w:val="1004"/>
        </w:numPr>
        <w:pStyle w:val="Compact"/>
      </w:pPr>
      <w:r>
        <w:t xml:space="preserve">a review date;</w:t>
      </w:r>
    </w:p>
    <w:p>
      <w:pPr>
        <w:numPr>
          <w:ilvl w:val="0"/>
          <w:numId w:val="1004"/>
        </w:numPr>
        <w:pStyle w:val="Compact"/>
      </w:pPr>
      <w:r>
        <w:t xml:space="preserve">una declaración explícita de incertidumbre cuando la interpretación es incompleta.</w:t>
      </w:r>
    </w:p>
    <w:bookmarkEnd w:id="28"/>
    <w:bookmarkStart w:id="29" w:name="reclamaciones-prohibidas"/>
    <w:p>
      <w:pPr>
        <w:pStyle w:val="Heading2"/>
      </w:pPr>
      <w:r>
        <w:t xml:space="preserve">9. Reclamaciones prohibidas</w:t>
      </w:r>
    </w:p>
    <w:p>
      <w:pPr>
        <w:pStyle w:val="FirstParagraph"/>
      </w:pPr>
      <w:r>
        <w:t xml:space="preserve">No diga que la inclusión en el registro prueba la aplicabilidad, que la asignación a un control demuestra la implementación, o que la presencia de pruebas demuestra el cumplimiento. Cada conclusión requiere su propio examen y hechos de apoyo.</w:t>
      </w:r>
    </w:p>
    <w:bookmarkEnd w:id="29"/>
    <w:bookmarkStart w:id="30" w:name="pruebas-de-gobernanza"/>
    <w:p>
      <w:pPr>
        <w:pStyle w:val="Heading2"/>
      </w:pPr>
      <w:r>
        <w:t xml:space="preserve">10. Pruebas de gobernanza</w:t>
      </w:r>
    </w:p>
    <w:p>
      <w:pPr>
        <w:pStyle w:val="FirstParagraph"/>
      </w:pPr>
      <w:r>
        <w:t xml:space="preserve">Retener la metodología, inventario de fuentes, asignaciones de funciones, registros de aprobación, calendario de examen, historial de cambios, entradas superpuestas, preguntas no resueltas, excepciones y registros de escalada.</w:t>
      </w:r>
    </w:p>
    <w:bookmarkEnd w:id="30"/>
    <w:bookmarkEnd w:id="31"/>
    <w:bookmarkStart w:id="42" w:name="Xd60795411563d6e93d2b7c982e7331696819949"/>
    <w:p>
      <w:pPr>
        <w:pStyle w:val="Heading1"/>
      </w:pPr>
      <w:r>
        <w:t xml:space="preserve">Aplicabilidad, Decomposición e Interpretación</w:t>
      </w:r>
    </w:p>
    <w:bookmarkStart w:id="32" w:name="X16a2245c29a5b97a3d20bf2a160ce4e04396116"/>
    <w:p>
      <w:pPr>
        <w:pStyle w:val="Heading2"/>
      </w:pPr>
      <w:r>
        <w:t xml:space="preserve">1. Tratar la aplicabilidad como decisión documentada</w:t>
      </w:r>
    </w:p>
    <w:p>
      <w:pPr>
        <w:pStyle w:val="FirstParagraph"/>
      </w:pPr>
      <w:r>
        <w:t xml:space="preserve">La aplicabilidad depende de los hechos. Los hechos pertinentes pueden incluir entidades jurídicas, ubicación, función regulada, industria, licencia, ingresos, tamaño de la fuerza de trabajo, tipo de cliente, actividad de procesamiento, categoría de datos, tecnología, función de producto, contrato, transacción o clasificación de riesgos. Grabar los hechos utilizados, suposiciones, incertidumbres, revisor, decisión y reassessment trigger.</w:t>
      </w:r>
    </w:p>
    <w:bookmarkEnd w:id="32"/>
    <w:bookmarkStart w:id="33" w:name="Xe699767b7a920c62efcc9830235bec63bcd3a5f"/>
    <w:p>
      <w:pPr>
        <w:pStyle w:val="Heading2"/>
      </w:pPr>
      <w:r>
        <w:t xml:space="preserve">2. Usar estados de aplicabilidad controlados</w:t>
      </w:r>
    </w:p>
    <w:p>
      <w:pPr>
        <w:pStyle w:val="FirstParagraph"/>
      </w:pPr>
      <w:r>
        <w:t xml:space="preserve">Los estados recomendados son:</w:t>
      </w:r>
    </w:p>
    <w:p>
      <w:pPr>
        <w:numPr>
          <w:ilvl w:val="0"/>
          <w:numId w:val="1005"/>
        </w:numPr>
        <w:pStyle w:val="Compact"/>
      </w:pPr>
      <w:r>
        <w:t xml:space="preserve">en examen;</w:t>
      </w:r>
    </w:p>
    <w:p>
      <w:pPr>
        <w:numPr>
          <w:ilvl w:val="0"/>
          <w:numId w:val="1005"/>
        </w:numPr>
        <w:pStyle w:val="Compact"/>
      </w:pPr>
      <w:r>
        <w:t xml:space="preserve">aplicable;</w:t>
      </w:r>
    </w:p>
    <w:p>
      <w:pPr>
        <w:numPr>
          <w:ilvl w:val="0"/>
          <w:numId w:val="1005"/>
        </w:numPr>
        <w:pStyle w:val="Compact"/>
      </w:pPr>
      <w:r>
        <w:t xml:space="preserve">parcialmente aplicable;</w:t>
      </w:r>
    </w:p>
    <w:p>
      <w:pPr>
        <w:numPr>
          <w:ilvl w:val="0"/>
          <w:numId w:val="1005"/>
        </w:numPr>
        <w:pStyle w:val="Compact"/>
      </w:pPr>
      <w:r>
        <w:t xml:space="preserve">aplicable condicionalmente;</w:t>
      </w:r>
    </w:p>
    <w:p>
      <w:pPr>
        <w:numPr>
          <w:ilvl w:val="0"/>
          <w:numId w:val="1005"/>
        </w:numPr>
        <w:pStyle w:val="Compact"/>
      </w:pPr>
      <w:r>
        <w:t xml:space="preserve">no aplicable con racionalidad;</w:t>
      </w:r>
    </w:p>
    <w:p>
      <w:pPr>
        <w:numPr>
          <w:ilvl w:val="0"/>
          <w:numId w:val="1005"/>
        </w:numPr>
        <w:pStyle w:val="Compact"/>
      </w:pPr>
      <w:r>
        <w:t xml:space="preserve">la aplicabilidad diferida de los hechos o la orientación pendientes;</w:t>
      </w:r>
    </w:p>
    <w:p>
      <w:pPr>
        <w:numPr>
          <w:ilvl w:val="0"/>
          <w:numId w:val="1005"/>
        </w:numPr>
        <w:pStyle w:val="Compact"/>
      </w:pPr>
      <w:r>
        <w:t xml:space="preserve">supersed or no longer applicable.</w:t>
      </w:r>
    </w:p>
    <w:p>
      <w:pPr>
        <w:pStyle w:val="FirstParagraph"/>
      </w:pPr>
      <w:r>
        <w:t xml:space="preserve">No utilice campos en blanco para representar una decisión.</w:t>
      </w:r>
    </w:p>
    <w:bookmarkEnd w:id="33"/>
    <w:bookmarkStart w:id="34" w:name="disposiciones-complejas"/>
    <w:p>
      <w:pPr>
        <w:pStyle w:val="Heading2"/>
      </w:pPr>
      <w:r>
        <w:t xml:space="preserve">3. Disposiciones complejas</w:t>
      </w:r>
    </w:p>
    <w:p>
      <w:pPr>
        <w:pStyle w:val="FirstParagraph"/>
      </w:pPr>
      <w:r>
        <w:t xml:space="preserve">Separar una disposición en unidades de acción cuando contenga diferentes actores, acciones, objetos, condiciones, tiempo, pruebas, excepciones o consecuencias. Cada unidad analítica debe mantener su referencia de origen padre.</w:t>
      </w:r>
    </w:p>
    <w:p>
      <w:pPr>
        <w:pStyle w:val="BodyText"/>
      </w:pPr>
      <w:r>
        <w:t xml:space="preserve">Un útil modelo de descomposición:</w:t>
      </w:r>
    </w:p>
    <w:p>
      <w:pPr>
        <w:numPr>
          <w:ilvl w:val="0"/>
          <w:numId w:val="1006"/>
        </w:numPr>
        <w:pStyle w:val="Compact"/>
      </w:pPr>
      <w:r>
        <w:t xml:space="preserve">actor regulado;</w:t>
      </w:r>
    </w:p>
    <w:p>
      <w:pPr>
        <w:numPr>
          <w:ilvl w:val="0"/>
          <w:numId w:val="1006"/>
        </w:numPr>
        <w:pStyle w:val="Compact"/>
      </w:pPr>
      <w:r>
        <w:t xml:space="preserve">acción requerida o prohibida;</w:t>
      </w:r>
    </w:p>
    <w:p>
      <w:pPr>
        <w:numPr>
          <w:ilvl w:val="0"/>
          <w:numId w:val="1006"/>
        </w:numPr>
        <w:pStyle w:val="Compact"/>
      </w:pPr>
      <w:r>
        <w:t xml:space="preserve">objeto protegido, persona, proceso, sistema o datos;</w:t>
      </w:r>
    </w:p>
    <w:p>
      <w:pPr>
        <w:numPr>
          <w:ilvl w:val="0"/>
          <w:numId w:val="1006"/>
        </w:numPr>
        <w:pStyle w:val="Compact"/>
      </w:pPr>
      <w:r>
        <w:t xml:space="preserve">condición de activación;</w:t>
      </w:r>
    </w:p>
    <w:p>
      <w:pPr>
        <w:numPr>
          <w:ilvl w:val="0"/>
          <w:numId w:val="1006"/>
        </w:numPr>
        <w:pStyle w:val="Compact"/>
      </w:pPr>
      <w:r>
        <w:t xml:space="preserve">competencia y alcance;</w:t>
      </w:r>
    </w:p>
    <w:p>
      <w:pPr>
        <w:numPr>
          <w:ilvl w:val="0"/>
          <w:numId w:val="1006"/>
        </w:numPr>
        <w:pStyle w:val="Compact"/>
      </w:pPr>
      <w:r>
        <w:t xml:space="preserve">tiempo o frecuencia;</w:t>
      </w:r>
    </w:p>
    <w:p>
      <w:pPr>
        <w:numPr>
          <w:ilvl w:val="0"/>
          <w:numId w:val="1006"/>
        </w:numPr>
        <w:pStyle w:val="Compact"/>
      </w:pPr>
      <w:r>
        <w:t xml:space="preserve">umbral o condición de materialidad;</w:t>
      </w:r>
    </w:p>
    <w:p>
      <w:pPr>
        <w:numPr>
          <w:ilvl w:val="0"/>
          <w:numId w:val="1006"/>
        </w:numPr>
        <w:pStyle w:val="Compact"/>
      </w:pPr>
      <w:r>
        <w:t xml:space="preserve">excepción, exención o alternativa;</w:t>
      </w:r>
    </w:p>
    <w:p>
      <w:pPr>
        <w:numPr>
          <w:ilvl w:val="0"/>
          <w:numId w:val="1006"/>
        </w:numPr>
        <w:pStyle w:val="Compact"/>
      </w:pPr>
      <w:r>
        <w:t xml:space="preserve">documentación, notificación, notificación o obligación de retención;</w:t>
      </w:r>
    </w:p>
    <w:p>
      <w:pPr>
        <w:numPr>
          <w:ilvl w:val="0"/>
          <w:numId w:val="1006"/>
        </w:numPr>
        <w:pStyle w:val="Compact"/>
      </w:pPr>
      <w:r>
        <w:t xml:space="preserve">pruebas esperadas;</w:t>
      </w:r>
    </w:p>
    <w:p>
      <w:pPr>
        <w:numPr>
          <w:ilvl w:val="0"/>
          <w:numId w:val="1006"/>
        </w:numPr>
        <w:pStyle w:val="Compact"/>
      </w:pPr>
      <w:r>
        <w:t xml:space="preserve">condición de consecuencia o escalada.</w:t>
      </w:r>
    </w:p>
    <w:bookmarkEnd w:id="34"/>
    <w:bookmarkStart w:id="35" w:name="Xa5b9e6aa161029a57f650ac078b815fe6e8fac9"/>
    <w:p>
      <w:pPr>
        <w:pStyle w:val="Heading2"/>
      </w:pPr>
      <w:r>
        <w:t xml:space="preserve">4. Lenguaje de origen separado de la interpretación</w:t>
      </w:r>
    </w:p>
    <w:p>
      <w:pPr>
        <w:pStyle w:val="FirstParagraph"/>
      </w:pPr>
      <w:r>
        <w:t xml:space="preserve">Maintain distinct fields for authorized source text or location, organization interpretation, assumeds, uncertainty, and implementation requirement. Esto impide que un resumen interno se equivoque por el requisito oficial.</w:t>
      </w:r>
    </w:p>
    <w:bookmarkEnd w:id="35"/>
    <w:bookmarkStart w:id="36" w:name="calificadores-preserve"/>
    <w:p>
      <w:pPr>
        <w:pStyle w:val="Heading2"/>
      </w:pPr>
      <w:r>
        <w:t xml:space="preserve">5. Calificadores Preserve</w:t>
      </w:r>
    </w:p>
    <w:p>
      <w:pPr>
        <w:pStyle w:val="FirstParagraph"/>
      </w:pPr>
      <w:r>
        <w:t xml:space="preserve">Los términos, como razonable, apropiado, material, rápidamente, sin demora indebida, periódicamente, independientes, documentados y basados en riesgos, pueden tener un significado legal o reglamentario. No eliminarlos simplemente para simplificar el registro. Recordar cómo la organización opera el calificador y quién aprobó ese enfoque.</w:t>
      </w:r>
    </w:p>
    <w:bookmarkEnd w:id="36"/>
    <w:bookmarkStart w:id="37" w:name="Xed806bb19988f10fca6c92fb614d27f4475e525"/>
    <w:p>
      <w:pPr>
        <w:pStyle w:val="Heading2"/>
      </w:pPr>
      <w:r>
        <w:t xml:space="preserve">6. Registro de exclusiones y exenciones cuidadosamente</w:t>
      </w:r>
    </w:p>
    <w:p>
      <w:pPr>
        <w:pStyle w:val="FirstParagraph"/>
      </w:pPr>
      <w:r>
        <w:t xml:space="preserve">Una exención puede depender de hechos continuos. Grabar la base fáctica, revisor, aprobación, evidencia, fecha de vencimiento o reevaluación, y cambiar el gatillo. La ausencia de antecedentes de ejecución no es una exención.</w:t>
      </w:r>
    </w:p>
    <w:bookmarkEnd w:id="37"/>
    <w:bookmarkStart w:id="38" w:name="gestionar-conflictos-y-solapamiento"/>
    <w:p>
      <w:pPr>
        <w:pStyle w:val="Heading2"/>
      </w:pPr>
      <w:r>
        <w:t xml:space="preserve">7. Gestionar conflictos y solapamiento</w:t>
      </w:r>
    </w:p>
    <w:p>
      <w:pPr>
        <w:pStyle w:val="FirstParagraph"/>
      </w:pPr>
      <w:r>
        <w:t xml:space="preserve">Cuando las obligaciones se superponen, preservar cada fuente de forma independiente y vincularlas a controles comunes cuando estén justificados. Cuando los requisitos de conflicto o imponen diferentes umbrales, plazos, períodos de retención, derechos de notificación o restricciones geográficas, se intensifican en lugar de seleccionar la norma menos exigente.</w:t>
      </w:r>
    </w:p>
    <w:bookmarkEnd w:id="38"/>
    <w:bookmarkStart w:id="39" w:name="traducciones-manuales"/>
    <w:p>
      <w:pPr>
        <w:pStyle w:val="Heading2"/>
      </w:pPr>
      <w:r>
        <w:t xml:space="preserve">8. Traducciones manuales</w:t>
      </w:r>
    </w:p>
    <w:p>
      <w:pPr>
        <w:pStyle w:val="FirstParagraph"/>
      </w:pPr>
      <w:r>
        <w:t xml:space="preserve">Identificar si el texto revisado es oficial, certificado, autorizado o asistido por máquina. Cuando el significado jurídico puede depender del idioma autorizado, conservar la referencia original y exigir un examen de idiomas calificado.</w:t>
      </w:r>
    </w:p>
    <w:bookmarkEnd w:id="39"/>
    <w:bookmarkStart w:id="40" w:name="criterios-de-aprobación"/>
    <w:p>
      <w:pPr>
        <w:pStyle w:val="Heading2"/>
      </w:pPr>
      <w:r>
        <w:t xml:space="preserve">9. Criterios de aprobación</w:t>
      </w:r>
    </w:p>
    <w:p>
      <w:pPr>
        <w:pStyle w:val="FirstParagraph"/>
      </w:pPr>
      <w:r>
        <w:t xml:space="preserve">No se debe aprobar un registro de aplicabilidad o interpretación a menos que se verifique la fuente y el estado, se documentan los hechos pertinentes, se admiten exclusiones, se observan incertidumbres, se asigna a los propietarios responsables y se define una fecha de reevaluación o un disparador de eventos.</w:t>
      </w:r>
    </w:p>
    <w:bookmarkEnd w:id="40"/>
    <w:bookmarkStart w:id="41" w:name="dispositivos-de-reevaluación"/>
    <w:p>
      <w:pPr>
        <w:pStyle w:val="Heading2"/>
      </w:pPr>
      <w:r>
        <w:t xml:space="preserve">10. Dispositivos de reevaluación</w:t>
      </w:r>
    </w:p>
    <w:p>
      <w:pPr>
        <w:pStyle w:val="FirstParagraph"/>
      </w:pPr>
      <w:r>
        <w:t xml:space="preserve">Evaluar cuando se desarrolla la fuente, la orientación o la jurisprudencia, el cambio de los hechos comerciales, una nueva jurisdicción o producto, los cambios de contrato, los umbrales se cruzan, un incidente expone una suposición o un revisor identifica un error.</w:t>
      </w:r>
    </w:p>
    <w:bookmarkEnd w:id="41"/>
    <w:bookmarkEnd w:id="42"/>
    <w:bookmarkStart w:id="53" w:name="X267ae5cfee7a7841fc1afa97e0d4b41cb8c95f4"/>
    <w:p>
      <w:pPr>
        <w:pStyle w:val="Heading1"/>
      </w:pPr>
      <w:r>
        <w:t xml:space="preserve">Propiedad, Implementación, Controles y Evidencia</w:t>
      </w:r>
    </w:p>
    <w:bookmarkStart w:id="43" w:name="X7a13fedb2a17f8dc383d3f1a66e067c5eeec5c8"/>
    <w:p>
      <w:pPr>
        <w:pStyle w:val="Heading2"/>
      </w:pPr>
      <w:r>
        <w:t xml:space="preserve">1. Rechazar la rendición de cuentas del desempeño</w:t>
      </w:r>
    </w:p>
    <w:p>
      <w:pPr>
        <w:pStyle w:val="FirstParagraph"/>
      </w:pPr>
      <w:r>
        <w:t xml:space="preserve">The obligation owner is accountable for satisfying and monitoring the requirement. Un propietario de control puede operar una o más salvaguardias, y los equipos de apoyo pueden realizar tareas. Recordar estas funciones por separado, por lo que la responsabilidad no está oscurecida por la aplicación compartida.</w:t>
      </w:r>
    </w:p>
    <w:bookmarkEnd w:id="43"/>
    <w:bookmarkStart w:id="44" w:name="Xb59244bd0c0056ba29822e6cdfecf151fd10768"/>
    <w:p>
      <w:pPr>
        <w:pStyle w:val="Heading2"/>
      </w:pPr>
      <w:r>
        <w:t xml:space="preserve">2. Traducir obligaciones a cumplir los requisitos</w:t>
      </w:r>
    </w:p>
    <w:p>
      <w:pPr>
        <w:pStyle w:val="FirstParagraph"/>
      </w:pPr>
      <w:r>
        <w:t xml:space="preserve">Para cada obligación aplicable, documente las medidas específicas de la organización necesarias, incluido el alcance, el propietario, el calendario, el umbral de calidad, las dependencias y los resultados previstos. The implementation statement should be testable without replace the authoritative source.</w:t>
      </w:r>
    </w:p>
    <w:bookmarkEnd w:id="44"/>
    <w:bookmarkStart w:id="45" w:name="X0c58b39220ebd9896ec89319f0c94813bbcb100"/>
    <w:p>
      <w:pPr>
        <w:pStyle w:val="Heading2"/>
      </w:pPr>
      <w:r>
        <w:t xml:space="preserve">3. Controles de enlace sin cobertura de sobreestimación</w:t>
      </w:r>
    </w:p>
    <w:p>
      <w:pPr>
        <w:pStyle w:val="FirstParagraph"/>
      </w:pPr>
      <w:r>
        <w:t xml:space="preserve">Un control vinculado puede abordar plenamente, abordar parcialmente, apoyar o simplemente relacionarse con una obligación. Grabar la relación y las limitaciones. Un control puede apoyar varias obligaciones, pero cada relación obligación-control requiere una validación separada.</w:t>
      </w:r>
    </w:p>
    <w:bookmarkEnd w:id="45"/>
    <w:bookmarkStart w:id="46" w:name="alcance-de-ejecución-preserve"/>
    <w:p>
      <w:pPr>
        <w:pStyle w:val="Heading2"/>
      </w:pPr>
      <w:r>
        <w:t xml:space="preserve">4. Alcance de ejecución preserve</w:t>
      </w:r>
    </w:p>
    <w:p>
      <w:pPr>
        <w:pStyle w:val="FirstParagraph"/>
      </w:pPr>
      <w:r>
        <w:t xml:space="preserve">Record the legal entity, business unit, product, process, system, asset, data, facility, provider, labour population, and jurisdiction covered by the implementation. No se debe suponer que un control que opera en un entorno cubra otro.</w:t>
      </w:r>
    </w:p>
    <w:bookmarkEnd w:id="46"/>
    <w:bookmarkStart w:id="47" w:name="definir-las-expectativas-de-evidencia"/>
    <w:p>
      <w:pPr>
        <w:pStyle w:val="Heading2"/>
      </w:pPr>
      <w:r>
        <w:t xml:space="preserve">5. Definir las expectativas de evidencia</w:t>
      </w:r>
    </w:p>
    <w:p>
      <w:pPr>
        <w:pStyle w:val="FirstParagraph"/>
      </w:pPr>
      <w:r>
        <w:t xml:space="preserve">Las pruebas deben demostrar el hecho pertinente para el período y el alcance pertinentes. Entre los ejemplos figuran las políticas aprobadas, las configuraciones del sistema, los registros de acceso, los registros de capacitación, los contratos, las evaluaciones, las aprobaciones, los avisos, los informes, los resultados de las pruebas, las entradas, los registros de reuniones y las comunicaciones retenidas.</w:t>
      </w:r>
    </w:p>
    <w:p>
      <w:pPr>
        <w:pStyle w:val="BodyText"/>
      </w:pPr>
      <w:r>
        <w:t xml:space="preserve">Los metadatos de pruebas deben identificar al propietario, fuente, período, alcance, repositorio, requisito de retención, restricciones de acceso e información de integridad.</w:t>
      </w:r>
    </w:p>
    <w:bookmarkEnd w:id="47"/>
    <w:bookmarkStart w:id="48" w:name="X36a10804619b6ce43e1b76a69c8f1eca8dd2ae8"/>
    <w:p>
      <w:pPr>
        <w:pStyle w:val="Heading2"/>
      </w:pPr>
      <w:r>
        <w:t xml:space="preserve">6. Diseño separado y pruebas de funcionamiento</w:t>
      </w:r>
    </w:p>
    <w:p>
      <w:pPr>
        <w:pStyle w:val="FirstParagraph"/>
      </w:pPr>
      <w:r>
        <w:t xml:space="preserve">La evidencia de diseño muestra que un control o proceso se define apropiadamente. La prueba de funcionamiento muestra que funcionó durante el período requerido. Tampoco debería sustituirse por el otro cuando la obligación requiera ambos.</w:t>
      </w:r>
    </w:p>
    <w:bookmarkEnd w:id="48"/>
    <w:bookmarkStart w:id="49" w:name="estado-de-registro-precisamente"/>
    <w:p>
      <w:pPr>
        <w:pStyle w:val="Heading2"/>
      </w:pPr>
      <w:r>
        <w:t xml:space="preserve">7. Estado de registro precisamente</w:t>
      </w:r>
    </w:p>
    <w:p>
      <w:pPr>
        <w:pStyle w:val="FirstParagraph"/>
      </w:pPr>
      <w:r>
        <w:t xml:space="preserve">El estado de aplicación, el estado de cumplimiento, el estado de prueba y el estado de seguridad son diferentes. Los estados de aplicación recomendados no incluyen iniciados, previstos, en curso, aplicados, aplicados parcialmente, bloqueados, aprobados con excepción y retirados. Las conclusiones sobre el cumplimiento deben requerir un examen cualificado y no deben inferirse automáticamente del estado de aplicación.</w:t>
      </w:r>
    </w:p>
    <w:bookmarkEnd w:id="49"/>
    <w:bookmarkStart w:id="50" w:name="administrar-lagunas-y-excepciones"/>
    <w:p>
      <w:pPr>
        <w:pStyle w:val="Heading2"/>
      </w:pPr>
      <w:r>
        <w:t xml:space="preserve">8. Administrar lagunas y excepciones</w:t>
      </w:r>
    </w:p>
    <w:p>
      <w:pPr>
        <w:pStyle w:val="FirstParagraph"/>
      </w:pPr>
      <w:r>
        <w:t xml:space="preserve">Un registro de brechas debe determinar el elemento no utilizado, el alcance afectado, el riesgo, la medida provisional, el propietario, el plan de acción, el plazo, la escalada y la autoridad de aceptación. Una excepción debería haber documentado la racionalidad, las medidas compensatorias, la aprobación, la vigilancia, la expiración y los desencadenantes de reevaluación.</w:t>
      </w:r>
    </w:p>
    <w:bookmarkEnd w:id="50"/>
    <w:bookmarkStart w:id="51" w:name="cierre-validado"/>
    <w:p>
      <w:pPr>
        <w:pStyle w:val="Heading2"/>
      </w:pPr>
      <w:r>
        <w:t xml:space="preserve">9. Cierre validado</w:t>
      </w:r>
    </w:p>
    <w:p>
      <w:pPr>
        <w:pStyle w:val="FirstParagraph"/>
      </w:pPr>
      <w:r>
        <w:t xml:space="preserve">El cierre requiere pruebas de que se completó la acción necesaria, se actualizaron los controles aplicables, se informó a las personas afectadas o se capacitó, se realizaron pruebas cuando fue necesario, se abordó el riesgo residual y el aprólogo responsable aceptó el resultado.</w:t>
      </w:r>
    </w:p>
    <w:bookmarkEnd w:id="51"/>
    <w:bookmarkStart w:id="52" w:name="reporting-boundaries"/>
    <w:p>
      <w:pPr>
        <w:pStyle w:val="Heading2"/>
      </w:pPr>
      <w:r>
        <w:t xml:space="preserve">10. Reporting boundaries</w:t>
      </w:r>
    </w:p>
    <w:p>
      <w:pPr>
        <w:pStyle w:val="FirstParagraph"/>
      </w:pPr>
      <w:r>
        <w:t xml:space="preserve">Los paneles deben revelar moneda de datos, preguntas de aplicabilidad no resueltas, exámenes atrasados, pruebas no verificadas, excepciones aprobadas y lagunas conocidas. Un alto porcentaje de terminación no establece por sí mismo el cumplimiento.</w:t>
      </w:r>
    </w:p>
    <w:bookmarkEnd w:id="52"/>
    <w:bookmarkEnd w:id="53"/>
    <w:bookmarkStart w:id="64" w:name="X3097330c19d6dfe0b835c205179ca2f622e05cf"/>
    <w:p>
      <w:pPr>
        <w:pStyle w:val="Heading1"/>
      </w:pPr>
      <w:r>
        <w:t xml:space="preserve">Regulatory Horizon Scanning and Change Intake</w:t>
      </w:r>
    </w:p>
    <w:bookmarkStart w:id="54" w:name="define-el-universo-de-monitoreo"/>
    <w:p>
      <w:pPr>
        <w:pStyle w:val="Heading2"/>
      </w:pPr>
      <w:r>
        <w:t xml:space="preserve">1. Define el universo de monitoreo</w:t>
      </w:r>
    </w:p>
    <w:p>
      <w:pPr>
        <w:pStyle w:val="FirstParagraph"/>
      </w:pPr>
      <w:r>
        <w:t xml:space="preserve">El escaneo horizontal debe abarcar las jurisdicciones, reguladores, legisladores, órganos de normas, tribunales, canales contractuales, autoridades de concesión de licencias, programas industriales y folletos oficiales pertinentes para la organización. Documentar qué fuentes son supervisadas, por quién, con qué frecuencia, y qué constituye un cambio reportable.</w:t>
      </w:r>
    </w:p>
    <w:bookmarkEnd w:id="54"/>
    <w:bookmarkStart w:id="55" w:name="priorizar-los-canales-autorizados"/>
    <w:p>
      <w:pPr>
        <w:pStyle w:val="Heading2"/>
      </w:pPr>
      <w:r>
        <w:t xml:space="preserve">2. Priorizar los canales autorizados</w:t>
      </w:r>
    </w:p>
    <w:p>
      <w:pPr>
        <w:pStyle w:val="FirstParagraph"/>
      </w:pPr>
      <w:r>
        <w:t xml:space="preserve">Utilizar publicaciones oficiales, avisos de reguladores, registros legislativos, fuentes judiciales o administrativas, avisos contractuales y registros del cuerpo de normas como insumos autorizados. Los boletines, las alertas legales, las asociaciones comerciales, los proveedores y los medios de comunicación pueden apoyar el descubrimiento, pero requieren verificación antes de crear un registro de cambio controlado.</w:t>
      </w:r>
    </w:p>
    <w:bookmarkEnd w:id="55"/>
    <w:bookmarkStart w:id="56" w:name="estado-de-cambio-de-captura"/>
    <w:p>
      <w:pPr>
        <w:pStyle w:val="Heading2"/>
      </w:pPr>
      <w:r>
        <w:t xml:space="preserve">3. Estado de cambio de captura</w:t>
      </w:r>
    </w:p>
    <w:p>
      <w:pPr>
        <w:pStyle w:val="FirstParagraph"/>
      </w:pPr>
      <w:r>
        <w:t xml:space="preserve">Distinguidos:</w:t>
      </w:r>
    </w:p>
    <w:p>
      <w:pPr>
        <w:numPr>
          <w:ilvl w:val="0"/>
          <w:numId w:val="1007"/>
        </w:numPr>
        <w:pStyle w:val="Compact"/>
      </w:pPr>
      <w:r>
        <w:t xml:space="preserve">consulta o solicitud de comentario;</w:t>
      </w:r>
    </w:p>
    <w:p>
      <w:pPr>
        <w:numPr>
          <w:ilvl w:val="0"/>
          <w:numId w:val="1007"/>
        </w:numPr>
        <w:pStyle w:val="Compact"/>
      </w:pPr>
      <w:r>
        <w:t xml:space="preserve">propuesta o proyecto;</w:t>
      </w:r>
    </w:p>
    <w:p>
      <w:pPr>
        <w:numPr>
          <w:ilvl w:val="0"/>
          <w:numId w:val="1007"/>
        </w:numPr>
        <w:pStyle w:val="Compact"/>
      </w:pPr>
      <w:r>
        <w:t xml:space="preserve">cambio adoptado o promulgado;</w:t>
      </w:r>
    </w:p>
    <w:p>
      <w:pPr>
        <w:numPr>
          <w:ilvl w:val="0"/>
          <w:numId w:val="1007"/>
        </w:numPr>
        <w:pStyle w:val="Compact"/>
      </w:pPr>
      <w:r>
        <w:t xml:space="preserve">instrumento final publicado;</w:t>
      </w:r>
    </w:p>
    <w:p>
      <w:pPr>
        <w:numPr>
          <w:ilvl w:val="0"/>
          <w:numId w:val="1007"/>
        </w:numPr>
        <w:pStyle w:val="Compact"/>
      </w:pPr>
      <w:r>
        <w:t xml:space="preserve">requisito efectivo;</w:t>
      </w:r>
    </w:p>
    <w:p>
      <w:pPr>
        <w:numPr>
          <w:ilvl w:val="0"/>
          <w:numId w:val="1007"/>
        </w:numPr>
        <w:pStyle w:val="Compact"/>
      </w:pPr>
      <w:r>
        <w:t xml:space="preserve">requisito por etapas o de transición;</w:t>
      </w:r>
    </w:p>
    <w:p>
      <w:pPr>
        <w:numPr>
          <w:ilvl w:val="0"/>
          <w:numId w:val="1007"/>
        </w:numPr>
        <w:pStyle w:val="Compact"/>
      </w:pPr>
      <w:r>
        <w:t xml:space="preserve">orientación o prioridad para la aplicación de la ley;</w:t>
      </w:r>
    </w:p>
    <w:p>
      <w:pPr>
        <w:numPr>
          <w:ilvl w:val="0"/>
          <w:numId w:val="1007"/>
        </w:numPr>
        <w:pStyle w:val="Compact"/>
      </w:pPr>
      <w:r>
        <w:t xml:space="preserve">se mantuvo, atrasó, suspendió, enmendó, retiró, superó o venció el requisito.</w:t>
      </w:r>
    </w:p>
    <w:p>
      <w:pPr>
        <w:pStyle w:val="FirstParagraph"/>
      </w:pPr>
      <w:r>
        <w:t xml:space="preserve">Una propuesta no debe ser registrada como una obligación efectiva.</w:t>
      </w:r>
    </w:p>
    <w:bookmarkEnd w:id="56"/>
    <w:bookmarkStart w:id="57" w:name="fechas-críticas"/>
    <w:p>
      <w:pPr>
        <w:pStyle w:val="Heading2"/>
      </w:pPr>
      <w:r>
        <w:t xml:space="preserve">4. Fechas críticas</w:t>
      </w:r>
    </w:p>
    <w:p>
      <w:pPr>
        <w:pStyle w:val="FirstParagraph"/>
      </w:pPr>
      <w:r>
        <w:t xml:space="preserve">Record discovery, publication, adoption, effective, transition-end, enforcement, implementation, and review dates separately. Cuando las fechas varían por disposición, tipo de entidad, umbral, geografía o producto, crean registros vinculados o hitos escalonados explícitos.</w:t>
      </w:r>
    </w:p>
    <w:bookmarkEnd w:id="57"/>
    <w:bookmarkStart w:id="58" w:name="realizar-triaje-inicial"/>
    <w:p>
      <w:pPr>
        <w:pStyle w:val="Heading2"/>
      </w:pPr>
      <w:r>
        <w:t xml:space="preserve">5. Realizar triaje inicial</w:t>
      </w:r>
    </w:p>
    <w:p>
      <w:pPr>
        <w:pStyle w:val="FirstParagraph"/>
      </w:pPr>
      <w:r>
        <w:t xml:space="preserve">El triaje inicial debe identificar:</w:t>
      </w:r>
    </w:p>
    <w:p>
      <w:pPr>
        <w:numPr>
          <w:ilvl w:val="0"/>
          <w:numId w:val="1008"/>
        </w:numPr>
        <w:pStyle w:val="Compact"/>
      </w:pPr>
      <w:r>
        <w:t xml:space="preserve">entidades, productos, servicios, procesos, sistemas, datos, personas, proveedores y contratos potencialmente afectados;</w:t>
      </w:r>
    </w:p>
    <w:p>
      <w:pPr>
        <w:numPr>
          <w:ilvl w:val="0"/>
          <w:numId w:val="1008"/>
        </w:numPr>
        <w:pStyle w:val="Compact"/>
      </w:pPr>
      <w:r>
        <w:t xml:space="preserve">probable aplicabilidad;</w:t>
      </w:r>
    </w:p>
    <w:p>
      <w:pPr>
        <w:numPr>
          <w:ilvl w:val="0"/>
          <w:numId w:val="1008"/>
        </w:numPr>
        <w:pStyle w:val="Compact"/>
      </w:pPr>
      <w:r>
        <w:t xml:space="preserve">materialidad y urgencia;</w:t>
      </w:r>
    </w:p>
    <w:p>
      <w:pPr>
        <w:numPr>
          <w:ilvl w:val="0"/>
          <w:numId w:val="1008"/>
        </w:numPr>
        <w:pStyle w:val="Compact"/>
      </w:pPr>
      <w:r>
        <w:t xml:space="preserve">si se requiere un examen cualificado;</w:t>
      </w:r>
    </w:p>
    <w:p>
      <w:pPr>
        <w:numPr>
          <w:ilvl w:val="0"/>
          <w:numId w:val="1008"/>
        </w:numPr>
        <w:pStyle w:val="Compact"/>
      </w:pPr>
      <w:r>
        <w:t xml:space="preserve">plazos e incertidumbre conocidos;</w:t>
      </w:r>
    </w:p>
    <w:p>
      <w:pPr>
        <w:numPr>
          <w:ilvl w:val="0"/>
          <w:numId w:val="1008"/>
        </w:numPr>
        <w:pStyle w:val="Compact"/>
      </w:pPr>
      <w:r>
        <w:t xml:space="preserve">preservación inmediata, comunicación o acciones de riesgo;</w:t>
      </w:r>
    </w:p>
    <w:p>
      <w:pPr>
        <w:numPr>
          <w:ilvl w:val="0"/>
          <w:numId w:val="1008"/>
        </w:numPr>
        <w:pStyle w:val="Compact"/>
      </w:pPr>
      <w:r>
        <w:t xml:space="preserve">Revisor responsable y propietario.</w:t>
      </w:r>
    </w:p>
    <w:bookmarkEnd w:id="58"/>
    <w:bookmarkStart w:id="59" w:name="Xdc7b497aa144404f0d70191b411edb537861c9a"/>
    <w:p>
      <w:pPr>
        <w:pStyle w:val="Heading2"/>
      </w:pPr>
      <w:r>
        <w:t xml:space="preserve">6. Tasa de materialidad y urgencia por separado</w:t>
      </w:r>
    </w:p>
    <w:p>
      <w:pPr>
        <w:pStyle w:val="FirstParagraph"/>
      </w:pPr>
      <w:r>
        <w:t xml:space="preserve">La materialidad refleja la importancia potencial para la exposición legal, clientes, operaciones, finanzas, seguridad, seguridad, licencias, reputación o estrategia. Urgency refleja el tiempo disponible para decidir y actuar. Un cambio de alta materialidad puede tener un período de transición largo; un aviso de menor importancia puede requerir respuesta inmediata.</w:t>
      </w:r>
    </w:p>
    <w:bookmarkEnd w:id="59"/>
    <w:bookmarkStart w:id="60" w:name="evite-la-ingesta-duplicada-y-fragmentada"/>
    <w:p>
      <w:pPr>
        <w:pStyle w:val="Heading2"/>
      </w:pPr>
      <w:r>
        <w:t xml:space="preserve">7. Evite la ingesta duplicada y fragmentada</w:t>
      </w:r>
    </w:p>
    <w:p>
      <w:pPr>
        <w:pStyle w:val="FirstParagraph"/>
      </w:pPr>
      <w:r>
        <w:t xml:space="preserve">Vincular publicaciones, correcciones, orientación, preguntas frecuentes, actos de aplicación, normas técnicas, avisos de ejecución y decisiones judiciales a un registro común de cambios cuando proceda. Preserve cada fuente autorizada manteniendo una historia de cambio coherente.</w:t>
      </w:r>
    </w:p>
    <w:bookmarkEnd w:id="60"/>
    <w:bookmarkStart w:id="61" w:name="establecer-normas-de-escalada"/>
    <w:p>
      <w:pPr>
        <w:pStyle w:val="Heading2"/>
      </w:pPr>
      <w:r>
        <w:t xml:space="preserve">8. Establecer normas de escalada</w:t>
      </w:r>
    </w:p>
    <w:p>
      <w:pPr>
        <w:pStyle w:val="FirstParagraph"/>
      </w:pPr>
      <w:r>
        <w:t xml:space="preserve">Escalar cuando un cambio puede amenazar una licencia, crear exposición penal o civil, exigir notificación al cliente o al regulador, afectar los derechos fundamentales, alterar materialmente los productos o contratos, exigir cambios tecnológicos importantes, conflictos entre jurisdicciones o no se pueden aplicar antes de la fecha requerida.</w:t>
      </w:r>
    </w:p>
    <w:bookmarkEnd w:id="61"/>
    <w:bookmarkStart w:id="62" w:name="decisiones-negativas-grabadas"/>
    <w:p>
      <w:pPr>
        <w:pStyle w:val="Heading2"/>
      </w:pPr>
      <w:r>
        <w:t xml:space="preserve">9. Decisiones negativas grabadas</w:t>
      </w:r>
    </w:p>
    <w:p>
      <w:pPr>
        <w:pStyle w:val="FirstParagraph"/>
      </w:pPr>
      <w:r>
        <w:t xml:space="preserve">Cuando se determina que un cambio no es aplicable o no material, mantenga los hechos, racionalidad, revisor, aprobación, fecha y desencadenante de reevaluación. Una decisión negativa cerrada debe seguir siendo rastreable.</w:t>
      </w:r>
    </w:p>
    <w:bookmarkEnd w:id="62"/>
    <w:bookmarkStart w:id="63" w:name="obtención-de-pruebas"/>
    <w:p>
      <w:pPr>
        <w:pStyle w:val="Heading2"/>
      </w:pPr>
      <w:r>
        <w:t xml:space="preserve">10. Obtención de pruebas</w:t>
      </w:r>
    </w:p>
    <w:p>
      <w:pPr>
        <w:pStyle w:val="FirstParagraph"/>
      </w:pPr>
      <w:r>
        <w:t xml:space="preserve">Retener la publicación oficial, registro de descubrimientos, verificación de fuentes, evaluación inicial, asignación de revisores, decisión, comunicaciones y vínculos con obligaciones, riesgos, controles, proyectos y excepciones afectados.</w:t>
      </w:r>
    </w:p>
    <w:bookmarkEnd w:id="63"/>
    <w:bookmarkEnd w:id="64"/>
    <w:bookmarkStart w:id="75" w:name="Xe7a945df42ea52a1cdb150bf8a07dae9a7a9299"/>
    <w:p>
      <w:pPr>
        <w:pStyle w:val="Heading1"/>
      </w:pPr>
      <w:r>
        <w:t xml:space="preserve">Evaluación de los efectos, aplicación y escalada</w:t>
      </w:r>
    </w:p>
    <w:bookmarkStart w:id="65" w:name="Xc05db61d42a25d950ae66637003c52224f21e38"/>
    <w:p>
      <w:pPr>
        <w:pStyle w:val="Heading2"/>
      </w:pPr>
      <w:r>
        <w:t xml:space="preserve">1. Convertir la ingesta en una decisión controlada</w:t>
      </w:r>
    </w:p>
    <w:p>
      <w:pPr>
        <w:pStyle w:val="FirstParagraph"/>
      </w:pPr>
      <w:r>
        <w:t xml:space="preserve">Un cambio verificado debe pasar por etapas documentadas de aplicabilidad, impacto, decisión, aplicación, validación y cierre. En el documento de decisión se debe determinar quién decidió, qué hechos y fuentes se consideraron, qué sigue siendo incierto y cuándo es necesaria la reevaluación.</w:t>
      </w:r>
    </w:p>
    <w:bookmarkEnd w:id="65"/>
    <w:bookmarkStart w:id="66" w:name="X41645b5461f2644df7f1b8d82284aaf3e2239a3"/>
    <w:p>
      <w:pPr>
        <w:pStyle w:val="Heading2"/>
      </w:pPr>
      <w:r>
        <w:t xml:space="preserve">2. Evaluar el impacto en el modelo operativo</w:t>
      </w:r>
    </w:p>
    <w:p>
      <w:pPr>
        <w:pStyle w:val="FirstParagraph"/>
      </w:pPr>
      <w:r>
        <w:t xml:space="preserve">Evaluar los efectos potenciales en:</w:t>
      </w:r>
    </w:p>
    <w:p>
      <w:pPr>
        <w:numPr>
          <w:ilvl w:val="0"/>
          <w:numId w:val="1009"/>
        </w:numPr>
        <w:pStyle w:val="Compact"/>
      </w:pPr>
      <w:r>
        <w:t xml:space="preserve">gobernanza, rendición de cuentas y presentación de informes;</w:t>
      </w:r>
    </w:p>
    <w:p>
      <w:pPr>
        <w:numPr>
          <w:ilvl w:val="0"/>
          <w:numId w:val="1009"/>
        </w:numPr>
        <w:pStyle w:val="Compact"/>
      </w:pPr>
      <w:r>
        <w:t xml:space="preserve">políticas, normas, procedimientos y registros;</w:t>
      </w:r>
    </w:p>
    <w:p>
      <w:pPr>
        <w:numPr>
          <w:ilvl w:val="0"/>
          <w:numId w:val="1009"/>
        </w:numPr>
        <w:pStyle w:val="Compact"/>
      </w:pPr>
      <w:r>
        <w:t xml:space="preserve">productos, servicios, viajes al cliente y revelaciones;</w:t>
      </w:r>
    </w:p>
    <w:p>
      <w:pPr>
        <w:numPr>
          <w:ilvl w:val="0"/>
          <w:numId w:val="1009"/>
        </w:numPr>
        <w:pStyle w:val="Compact"/>
      </w:pPr>
      <w:r>
        <w:t xml:space="preserve">contratos, adquisiciones y obligaciones de proveedores;</w:t>
      </w:r>
    </w:p>
    <w:p>
      <w:pPr>
        <w:numPr>
          <w:ilvl w:val="0"/>
          <w:numId w:val="1009"/>
        </w:numPr>
        <w:pStyle w:val="Compact"/>
      </w:pPr>
      <w:r>
        <w:t xml:space="preserve">sistemas, arquitectura, configuraciones, registro y flujos de datos;</w:t>
      </w:r>
    </w:p>
    <w:p>
      <w:pPr>
        <w:numPr>
          <w:ilvl w:val="0"/>
          <w:numId w:val="1009"/>
        </w:numPr>
        <w:pStyle w:val="Compact"/>
      </w:pPr>
      <w:r>
        <w:t xml:space="preserve">privacidad, seguridad, seguridad, accesibilidad y derechos humanos;</w:t>
      </w:r>
    </w:p>
    <w:p>
      <w:pPr>
        <w:numPr>
          <w:ilvl w:val="0"/>
          <w:numId w:val="1009"/>
        </w:numPr>
        <w:pStyle w:val="Compact"/>
      </w:pPr>
      <w:r>
        <w:t xml:space="preserve">roles laborales, formación, monitoreo y condiciones laborales;</w:t>
      </w:r>
    </w:p>
    <w:p>
      <w:pPr>
        <w:numPr>
          <w:ilvl w:val="0"/>
          <w:numId w:val="1009"/>
        </w:numPr>
        <w:pStyle w:val="Compact"/>
      </w:pPr>
      <w:r>
        <w:t xml:space="preserve">finanzas, impuestos, seguros, licencias y requisitos de capital;</w:t>
      </w:r>
    </w:p>
    <w:p>
      <w:pPr>
        <w:numPr>
          <w:ilvl w:val="0"/>
          <w:numId w:val="1009"/>
        </w:numPr>
        <w:pStyle w:val="Compact"/>
      </w:pPr>
      <w:r>
        <w:t xml:space="preserve">auditoría, certificación, evaluación y compromiso regulatorio.</w:t>
      </w:r>
    </w:p>
    <w:bookmarkEnd w:id="66"/>
    <w:bookmarkStart w:id="67" w:name="X3cca9bd66e153d33471187a1b6baa33f6f7a862"/>
    <w:p>
      <w:pPr>
        <w:pStyle w:val="Heading2"/>
      </w:pPr>
      <w:r>
        <w:t xml:space="preserve">3. Identificar los resultados de la aplicación</w:t>
      </w:r>
    </w:p>
    <w:p>
      <w:pPr>
        <w:pStyle w:val="FirstParagraph"/>
      </w:pPr>
      <w:r>
        <w:t xml:space="preserve">Traducir el cambio en entregas específicas con propietarios, dependencias, criterios de aceptación, pruebas y plazos. Ejemplos incluyen políticas revisadas, cambios de configuración, enmiendas de contratos, avisos, evaluaciones de riesgos, capacitación, nuevos controles, normas de vigilancia, informes, registros o pruebas.</w:t>
      </w:r>
    </w:p>
    <w:bookmarkEnd w:id="67"/>
    <w:bookmarkStart w:id="68" w:name="construir-una-jerarquía-límite"/>
    <w:p>
      <w:pPr>
        <w:pStyle w:val="Heading2"/>
      </w:pPr>
      <w:r>
        <w:t xml:space="preserve">4. Construir una jerarquía límite</w:t>
      </w:r>
    </w:p>
    <w:p>
      <w:pPr>
        <w:pStyle w:val="FirstParagraph"/>
      </w:pPr>
      <w:r>
        <w:t xml:space="preserve">Utilice la fecha de unión más temprana a menos que la revisión calificada apoye otra interpretación. Distinguir los plazos internos de fechas legales o contractuales. Incluye tiempo para el diseño, aprobación, adquisición, desarrollo, pruebas, comunicación, capacitación, despliegue, reunión de pruebas y contingencia.</w:t>
      </w:r>
    </w:p>
    <w:bookmarkEnd w:id="68"/>
    <w:bookmarkStart w:id="69" w:name="gestión-de-las-dependencias"/>
    <w:p>
      <w:pPr>
        <w:pStyle w:val="Heading2"/>
      </w:pPr>
      <w:r>
        <w:t xml:space="preserve">5. Gestión de las dependencias</w:t>
      </w:r>
    </w:p>
    <w:p>
      <w:pPr>
        <w:pStyle w:val="FirstParagraph"/>
      </w:pPr>
      <w:r>
        <w:t xml:space="preserve">Dependencias de registro de interpretación jurídica, orientación reguladora, liberaciones de tecnología, proveedores, presupuesto, personal, consejos de trabajo, aprobaciones de clientes, migración de datos u otros proyectos. Una dependencia no elimina la rendición de cuentas; debe desencadenar la vigilancia y la intensificación.</w:t>
      </w:r>
    </w:p>
    <w:bookmarkEnd w:id="69"/>
    <w:bookmarkStart w:id="70" w:name="estado-de-aplicación-controlado"/>
    <w:p>
      <w:pPr>
        <w:pStyle w:val="Heading2"/>
      </w:pPr>
      <w:r>
        <w:t xml:space="preserve">6. Estado de aplicación controlado</w:t>
      </w:r>
    </w:p>
    <w:p>
      <w:pPr>
        <w:pStyle w:val="FirstParagraph"/>
      </w:pPr>
      <w:r>
        <w:t xml:space="preserve">Los estados recomendados incluyen no iniciados, análisis, aprobados, previstos, en curso, bloqueados, pruebas, implementados, validación pendiente, cerrado, excepción aprobada y cancelada con racionalidad.</w:t>
      </w:r>
    </w:p>
    <w:bookmarkEnd w:id="70"/>
    <w:bookmarkStart w:id="71" w:name="escalada-de-plazos-amenazados"/>
    <w:p>
      <w:pPr>
        <w:pStyle w:val="Heading2"/>
      </w:pPr>
      <w:r>
        <w:t xml:space="preserve">7. Escalada de plazos amenazados</w:t>
      </w:r>
    </w:p>
    <w:p>
      <w:pPr>
        <w:pStyle w:val="FirstParagraph"/>
      </w:pPr>
      <w:r>
        <w:t xml:space="preserve">Escalar cuando la organización puede perder una fecha vinculante, cuando el alcance o la interpretación no se resuelven cerca del plazo de decisión, cuando no se disponga de los recursos necesarios, cuando la aplicación crea un riesgo operacional material, o cuando los propietarios responsables no aceptan la rendición de cuentas.</w:t>
      </w:r>
    </w:p>
    <w:bookmarkEnd w:id="71"/>
    <w:bookmarkStart w:id="72" w:name="medidas-provisionales"/>
    <w:p>
      <w:pPr>
        <w:pStyle w:val="Heading2"/>
      </w:pPr>
      <w:r>
        <w:t xml:space="preserve">8. Medidas provisionales</w:t>
      </w:r>
    </w:p>
    <w:p>
      <w:pPr>
        <w:pStyle w:val="FirstParagraph"/>
      </w:pPr>
      <w:r>
        <w:t xml:space="preserve">Cuando la aplicación final no puede completarse inmediatamente, documente salvaguardias temporales, limitaciones, vigilancia, comunicaciones, riesgo residual, aprobación y expiración. Las medidas provisionales no deben etiquetarse conformes sin la aprobación calificada.</w:t>
      </w:r>
    </w:p>
    <w:bookmarkEnd w:id="72"/>
    <w:bookmarkStart w:id="73" w:name="aplicación-validada"/>
    <w:p>
      <w:pPr>
        <w:pStyle w:val="Heading2"/>
      </w:pPr>
      <w:r>
        <w:t xml:space="preserve">9. Aplicación validada</w:t>
      </w:r>
    </w:p>
    <w:p>
      <w:pPr>
        <w:pStyle w:val="FirstParagraph"/>
      </w:pPr>
      <w:r>
        <w:t xml:space="preserve">La validación debe confirmar que existen productos, se abarca el alcance afectado, los controles funcionan según lo previsto, se mantienen las pruebas, se realizaron comunicaciones y capacitación, se actualizaron los contratos y registros y se visibilizaron las cuestiones residuales.</w:t>
      </w:r>
    </w:p>
    <w:bookmarkEnd w:id="73"/>
    <w:bookmarkStart w:id="74" w:name="autoridad-de-clausura"/>
    <w:p>
      <w:pPr>
        <w:pStyle w:val="Heading2"/>
      </w:pPr>
      <w:r>
        <w:t xml:space="preserve">10. Autoridad de clausura</w:t>
      </w:r>
    </w:p>
    <w:p>
      <w:pPr>
        <w:pStyle w:val="FirstParagraph"/>
      </w:pPr>
      <w:r>
        <w:t xml:space="preserve">La clausura debe exigir la aceptación empresarial responsable y el cumplimiento adecuado, legal, de seguridad, privacidad, auditoría u otro examen especializado basado en la obligación. La terminación del proyecto por sí sola es insuficiente.</w:t>
      </w:r>
    </w:p>
    <w:bookmarkEnd w:id="74"/>
    <w:bookmarkEnd w:id="75"/>
    <w:bookmarkStart w:id="86" w:name="X1fd817853ced487fc4aae6024292c0c4f44a4d2"/>
    <w:p>
      <w:pPr>
        <w:pStyle w:val="Heading1"/>
      </w:pPr>
      <w:r>
        <w:t xml:space="preserve">Reseña, Supersesión, Jubilación y Fronteras de Garantía</w:t>
      </w:r>
    </w:p>
    <w:bookmarkStart w:id="76" w:name="Xb03bca5f7a3f8fae9c5b0ed39f31d3412e4a2fa"/>
    <w:p>
      <w:pPr>
        <w:pStyle w:val="Heading2"/>
      </w:pPr>
      <w:r>
        <w:t xml:space="preserve">1. Mantener el registro como registro controlado</w:t>
      </w:r>
    </w:p>
    <w:p>
      <w:pPr>
        <w:pStyle w:val="FirstParagraph"/>
      </w:pPr>
      <w:r>
        <w:t xml:space="preserve">Las obligaciones y los registros de cambios reglamentarios requieren un examen periódico y basado en eventos. Frecuencia de revisión de la asignación basada en la volatilidad de la fuente, la materialidad, la jurisdicción, el cambio de negocio, la exposición a la ejecución y la confianza en la interpretación.</w:t>
      </w:r>
    </w:p>
    <w:bookmarkEnd w:id="76"/>
    <w:bookmarkStart w:id="77" w:name="verificar-el-estado-actual"/>
    <w:p>
      <w:pPr>
        <w:pStyle w:val="Heading2"/>
      </w:pPr>
      <w:r>
        <w:t xml:space="preserve">2. Verificar el estado actual</w:t>
      </w:r>
    </w:p>
    <w:p>
      <w:pPr>
        <w:pStyle w:val="FirstParagraph"/>
      </w:pPr>
      <w:r>
        <w:t xml:space="preserve">En cada examen, confirmar la fuente oficial, la versión, las enmiendas, las correcciones, las fechas efectivas, la orientación, la aplicación de medidas, la evolución judicial o administrativa y los cambios conocidos en la ejecución. Grabar la fecha y el revisor en lugar de sobrescribir la historia anterior.</w:t>
      </w:r>
    </w:p>
    <w:bookmarkEnd w:id="77"/>
    <w:bookmarkStart w:id="78" w:name="administrar-supersesión"/>
    <w:p>
      <w:pPr>
        <w:pStyle w:val="Heading2"/>
      </w:pPr>
      <w:r>
        <w:t xml:space="preserve">3. Administrar supersesión</w:t>
      </w:r>
    </w:p>
    <w:p>
      <w:pPr>
        <w:pStyle w:val="FirstParagraph"/>
      </w:pPr>
      <w:r>
        <w:t xml:space="preserve">Cuando se modifique o sustituya una fuente:</w:t>
      </w:r>
    </w:p>
    <w:p>
      <w:pPr>
        <w:numPr>
          <w:ilvl w:val="0"/>
          <w:numId w:val="1010"/>
        </w:numPr>
        <w:pStyle w:val="Compact"/>
      </w:pPr>
      <w:r>
        <w:t xml:space="preserve">preservar el registro anterior y su período efectivo;</w:t>
      </w:r>
    </w:p>
    <w:p>
      <w:pPr>
        <w:numPr>
          <w:ilvl w:val="0"/>
          <w:numId w:val="1010"/>
        </w:numPr>
        <w:pStyle w:val="Compact"/>
      </w:pPr>
      <w:r>
        <w:t xml:space="preserve">vincular la fuente sucesora y las obligaciones afectadas;</w:t>
      </w:r>
    </w:p>
    <w:p>
      <w:pPr>
        <w:numPr>
          <w:ilvl w:val="0"/>
          <w:numId w:val="1010"/>
        </w:numPr>
        <w:pStyle w:val="Compact"/>
      </w:pPr>
      <w:r>
        <w:t xml:space="preserve">identificar derechos no modificados, revisados, añadidos y eliminados;</w:t>
      </w:r>
    </w:p>
    <w:p>
      <w:pPr>
        <w:numPr>
          <w:ilvl w:val="0"/>
          <w:numId w:val="1010"/>
        </w:numPr>
        <w:pStyle w:val="Compact"/>
      </w:pPr>
      <w:r>
        <w:t xml:space="preserve">reevaluar la aplicabilidad, los controles, las pruebas, los contratos y los planes de acción;</w:t>
      </w:r>
    </w:p>
    <w:p>
      <w:pPr>
        <w:numPr>
          <w:ilvl w:val="0"/>
          <w:numId w:val="1010"/>
        </w:numPr>
        <w:pStyle w:val="Compact"/>
      </w:pPr>
      <w:r>
        <w:t xml:space="preserve">evite cerrar la obligación anterior hasta que se entiendan las necesidades de transición y retención.</w:t>
      </w:r>
    </w:p>
    <w:bookmarkEnd w:id="78"/>
    <w:bookmarkStart w:id="79" w:name="retire-cuidadosamente-las-obligaciones"/>
    <w:p>
      <w:pPr>
        <w:pStyle w:val="Heading2"/>
      </w:pPr>
      <w:r>
        <w:t xml:space="preserve">4. Retire cuidadosamente las obligaciones</w:t>
      </w:r>
    </w:p>
    <w:p>
      <w:pPr>
        <w:pStyle w:val="FirstParagraph"/>
      </w:pPr>
      <w:r>
        <w:t xml:space="preserve">La jubilación puede ser apropiada cuando una fuente expira, se retira, ya no se aplica a la organización, o se reemplaza. Documentar la razón, autoridad, fecha efectiva de jubilación, derechos residuales, obligaciones de retención de registros, investigaciones abiertas o reclamaciones, y aprobación.</w:t>
      </w:r>
    </w:p>
    <w:bookmarkEnd w:id="79"/>
    <w:bookmarkStart w:id="80" w:name="preserve-historical-evidence"/>
    <w:p>
      <w:pPr>
        <w:pStyle w:val="Heading2"/>
      </w:pPr>
      <w:r>
        <w:t xml:space="preserve">5. Preserve historical evidence</w:t>
      </w:r>
    </w:p>
    <w:p>
      <w:pPr>
        <w:pStyle w:val="FirstParagraph"/>
      </w:pPr>
      <w:r>
        <w:t xml:space="preserve">Los registros históricos pueden seguir siendo necesarios para auditorías, litigios, investigaciones de reguladores, controversias contractuales, certificaciones, investigaciones de incidentes o prueba de cumplimiento durante un período anterior. Aplicar controles de retención y acceso aprobados.</w:t>
      </w:r>
    </w:p>
    <w:bookmarkEnd w:id="80"/>
    <w:bookmarkStart w:id="81" w:name="X44fd9adef3cca0335288d1e8e7b7caef9305db7"/>
    <w:p>
      <w:pPr>
        <w:pStyle w:val="Heading2"/>
      </w:pPr>
      <w:r>
        <w:t xml:space="preserve">6. Supervisar excepciones y acciones atrasadas</w:t>
      </w:r>
    </w:p>
    <w:p>
      <w:pPr>
        <w:pStyle w:val="FirstParagraph"/>
      </w:pPr>
      <w:r>
        <w:t xml:space="preserve">Los informes deben determinar las excepciones vencidas, las tareas de ejecución atrasadas, las decisiones de aplicabilidad no revisadas, las pruebas definitivas, los conflictos no resueltos, los propietarios desaparecidos, el acercamiento de fechas efectivas y los cambios con recursos insuficientes.</w:t>
      </w:r>
    </w:p>
    <w:bookmarkEnd w:id="81"/>
    <w:bookmarkStart w:id="82" w:name="realizar-una-revisión-de-calidad"/>
    <w:p>
      <w:pPr>
        <w:pStyle w:val="Heading2"/>
      </w:pPr>
      <w:r>
        <w:t xml:space="preserve">7. Realizar una revisión de calidad</w:t>
      </w:r>
    </w:p>
    <w:p>
      <w:pPr>
        <w:pStyle w:val="FirstParagraph"/>
      </w:pPr>
      <w:r>
        <w:t xml:space="preserve">La revisión de la calidad debe probar la trazabilidad de la fuente, la exactitud de la fecha, los registros duplicados, las decisiones de aplicabilidad no respaldadas, la propiedad no clara, la vinculación de control incompleta, las expectativas de falta de pruebas, los exámenes atrasados y el cierre sin aprobación.</w:t>
      </w:r>
    </w:p>
    <w:bookmarkEnd w:id="82"/>
    <w:bookmarkStart w:id="83" w:name="X70994e69c37e26f95f6d951a6c4d9c9d05bbe7c"/>
    <w:p>
      <w:pPr>
        <w:pStyle w:val="Heading2"/>
      </w:pPr>
      <w:r>
        <w:t xml:space="preserve">8. Información de gestión separada de las garantías</w:t>
      </w:r>
    </w:p>
    <w:p>
      <w:pPr>
        <w:pStyle w:val="FirstParagraph"/>
      </w:pPr>
      <w:r>
        <w:t xml:space="preserve">Un registro puede apoyar la supervisión de la gestión, pero no es una opinión de auditoría. La validación automatizada puede confirmar la integridad de archivos, campos requeridos, consistencia estructural y ciertas reglas de estado. No puede determinar el significado legal, la aplicabilidad, la eficacia de la implementación o el cumplimiento.</w:t>
      </w:r>
    </w:p>
    <w:bookmarkEnd w:id="83"/>
    <w:bookmarkStart w:id="84" w:name="limitaciones-de-divulgación"/>
    <w:p>
      <w:pPr>
        <w:pStyle w:val="Heading2"/>
      </w:pPr>
      <w:r>
        <w:t xml:space="preserve">9. Limitaciones de divulgación</w:t>
      </w:r>
    </w:p>
    <w:p>
      <w:pPr>
        <w:pStyle w:val="FirstParagraph"/>
      </w:pPr>
      <w:r>
        <w:t xml:space="preserve">Los informes deben indicar la fecha límite de la fuente, las jurisdicciones abarcadas, los dominios excluidos, las interpretaciones no resueltas, las traducciones asistidas a máquina, las limitaciones de las pruebas y si se ha producido un examen jurídico o reglamentario calificado.</w:t>
      </w:r>
    </w:p>
    <w:bookmarkEnd w:id="84"/>
    <w:bookmarkStart w:id="85" w:name="mejora-continua"/>
    <w:p>
      <w:pPr>
        <w:pStyle w:val="Heading2"/>
      </w:pPr>
      <w:r>
        <w:t xml:space="preserve">10. Mejora continua</w:t>
      </w:r>
    </w:p>
    <w:p>
      <w:pPr>
        <w:pStyle w:val="FirstParagraph"/>
      </w:pPr>
      <w:r>
        <w:t xml:space="preserve">Utilizar incidentes, resultados de auditoría, retroalimentación de los reguladores, plazos perdidos, esfuerzos duplicados, registros estadísticos y comentarios de los usuarios para mejorar las fuentes, flujos de trabajo, definiciones sobre el terreno, umbrales de escalada, capacitación y gobernanza.</w:t>
      </w:r>
    </w:p>
    <w:bookmarkEnd w:id="85"/>
    <w:bookmarkEnd w:id="86"/>
    <w:bookmarkStart w:id="93" w:name="Xc4bd6e60d912c3453329c7b36cd757b5123bca2"/>
    <w:p>
      <w:pPr>
        <w:pStyle w:val="Heading1"/>
      </w:pPr>
      <w:r>
        <w:t xml:space="preserve">Base de referencia para la gobernanza de fuentes autorizadas</w:t>
      </w:r>
    </w:p>
    <w:p>
      <w:pPr>
        <w:pStyle w:val="FirstParagraph"/>
      </w:pPr>
      <w:r>
        <w:t xml:space="preserve">Verificado 1 de agosto de 2026.</w:t>
      </w:r>
    </w:p>
    <w:p>
      <w:pPr>
        <w:pStyle w:val="BodyText"/>
      </w:pPr>
      <w:r>
        <w:t xml:space="preserve">Esta lista apoya la metodología y demuestra canales representativos de fuente autorizada. No es un inventario completo de obligaciones y no establece aplicabilidad.</w:t>
      </w:r>
    </w:p>
    <w:bookmarkStart w:id="87" w:name="X636213afad366ecc3005c4e81be7b194ec72eae"/>
    <w:p>
      <w:pPr>
        <w:pStyle w:val="Heading2"/>
      </w:pPr>
      <w:r>
        <w:t xml:space="preserve">Base de referencia para la gestión del cumplimiento</w:t>
      </w:r>
    </w:p>
    <w:p>
      <w:pPr>
        <w:numPr>
          <w:ilvl w:val="0"/>
          <w:numId w:val="1011"/>
        </w:numPr>
        <w:pStyle w:val="Compact"/>
      </w:pPr>
      <w:r>
        <w:t xml:space="preserve">ISO 37301:2021,</w:t>
      </w:r>
      <w:r>
        <w:t xml:space="preserve"> </w:t>
      </w:r>
      <w:r>
        <w:rPr>
          <w:iCs/>
          <w:i/>
        </w:rPr>
        <w:t xml:space="preserve">Sistemas de gestión de la compatibilidad — Requisitos con orientación para uso</w:t>
      </w:r>
      <w:r>
        <w:t xml:space="preserve"> </w:t>
      </w:r>
      <w:r>
        <w:t xml:space="preserve">— registro oficial ISO: https://www.iso.org/standard/75080.html</w:t>
      </w:r>
    </w:p>
    <w:p>
      <w:pPr>
        <w:pStyle w:val="FirstParagraph"/>
      </w:pPr>
      <w:r>
        <w:t xml:space="preserve">El texto de los estándares ISO está copyrighted. Este toolkit hace referencia al registro oficial y no reproduce cláusulas de propiedad.</w:t>
      </w:r>
    </w:p>
    <w:bookmarkEnd w:id="87"/>
    <w:bookmarkStart w:id="88" w:name="unión-europea"/>
    <w:p>
      <w:pPr>
        <w:pStyle w:val="Heading2"/>
      </w:pPr>
      <w:r>
        <w:t xml:space="preserve">Unión Europea</w:t>
      </w:r>
    </w:p>
    <w:p>
      <w:pPr>
        <w:numPr>
          <w:ilvl w:val="0"/>
          <w:numId w:val="1012"/>
        </w:numPr>
        <w:pStyle w:val="Compact"/>
      </w:pPr>
      <w:r>
        <w:t xml:space="preserve">EUR-Lex Acceso oficial al Diario: https://eur-lex.europa.eu/oj/direct-access.html?locale=en</w:t>
      </w:r>
    </w:p>
    <w:p>
      <w:pPr>
        <w:numPr>
          <w:ilvl w:val="0"/>
          <w:numId w:val="1012"/>
        </w:numPr>
        <w:pStyle w:val="Compact"/>
      </w:pPr>
      <w:r>
        <w:t xml:space="preserve">EUR-Lex directorio de legislación en vigor: https://eur-lex.europa.eu/browse/directories/legislation.html?locale=en</w:t>
      </w:r>
    </w:p>
    <w:p>
      <w:pPr>
        <w:pStyle w:val="FirstParagraph"/>
      </w:pPr>
      <w:r>
        <w:t xml:space="preserve">Para los actos jurídicos de la UE, preservar el CELEX o identificador oficial de publicaciones, referencia oficial del Diario, registro auténtico del idioma, enmiendas, estado de texto consolidado y fechas aplicables. Un texto consolidado apoya la investigación pero no debe ocultar los actos de enmienda o la condición jurídica.</w:t>
      </w:r>
    </w:p>
    <w:bookmarkEnd w:id="88"/>
    <w:bookmarkStart w:id="89" w:name="estados-unidos"/>
    <w:p>
      <w:pPr>
        <w:pStyle w:val="Heading2"/>
      </w:pPr>
      <w:r>
        <w:t xml:space="preserve">Estados Unidos</w:t>
      </w:r>
    </w:p>
    <w:p>
      <w:pPr>
        <w:numPr>
          <w:ilvl w:val="0"/>
          <w:numId w:val="1013"/>
        </w:numPr>
        <w:pStyle w:val="Compact"/>
      </w:pPr>
      <w:r>
        <w:t xml:space="preserve">Registro Federal: https://www.federalregister.gov/</w:t>
      </w:r>
    </w:p>
    <w:p>
      <w:pPr>
        <w:numPr>
          <w:ilvl w:val="0"/>
          <w:numId w:val="1013"/>
        </w:numPr>
        <w:pStyle w:val="Compact"/>
      </w:pPr>
      <w:r>
        <w:t xml:space="preserve">Código de los Estados Unidos: https://uscode.house.gov/</w:t>
      </w:r>
    </w:p>
    <w:p>
      <w:pPr>
        <w:numPr>
          <w:ilvl w:val="0"/>
          <w:numId w:val="1013"/>
        </w:numPr>
        <w:pStyle w:val="Compact"/>
      </w:pPr>
      <w:r>
        <w:t xml:space="preserve">Código de Reglamento Federal: https://www.ecfr.gov/</w:t>
      </w:r>
    </w:p>
    <w:p>
      <w:pPr>
        <w:numPr>
          <w:ilvl w:val="0"/>
          <w:numId w:val="1013"/>
        </w:numPr>
        <w:pStyle w:val="Compact"/>
      </w:pPr>
      <w:r>
        <w:t xml:space="preserve">Congress.gov: https://www.congress.gov/</w:t>
      </w:r>
    </w:p>
    <w:p>
      <w:pPr>
        <w:pStyle w:val="FirstParagraph"/>
      </w:pPr>
      <w:r>
        <w:t xml:space="preserve">Distinguir reglas propuestas, reglas finales, fechas efectivas, fechas de cumplimiento, correcciones, estancias y orientación de los organismos. Verificar requisitos codificados contra el actual canal oficial o autorizado de publicación.</w:t>
      </w:r>
    </w:p>
    <w:bookmarkEnd w:id="89"/>
    <w:bookmarkStart w:id="90" w:name="colombia"/>
    <w:p>
      <w:pPr>
        <w:pStyle w:val="Heading2"/>
      </w:pPr>
      <w:r>
        <w:t xml:space="preserve">Colombia</w:t>
      </w:r>
    </w:p>
    <w:p>
      <w:pPr>
        <w:numPr>
          <w:ilvl w:val="0"/>
          <w:numId w:val="1014"/>
        </w:numPr>
        <w:pStyle w:val="Compact"/>
      </w:pPr>
      <w:r>
        <w:t xml:space="preserve">SUIN-Juriscol, Sistema Único de Información Normativa: https://www.suin-juriscol.gov.co/</w:t>
      </w:r>
    </w:p>
    <w:p>
      <w:pPr>
        <w:numPr>
          <w:ilvl w:val="0"/>
          <w:numId w:val="1014"/>
        </w:numPr>
        <w:pStyle w:val="Compact"/>
      </w:pPr>
      <w:r>
        <w:t xml:space="preserve">Diario Oficial, Imprenta Nacional de Colombia: https://www.imprenta.gov.co/diario-oficial</w:t>
      </w:r>
    </w:p>
    <w:p>
      <w:pPr>
        <w:pStyle w:val="FirstParagraph"/>
      </w:pPr>
      <w:r>
        <w:t xml:space="preserve">SUIN-Juriscol apoya la investigación normativa y jurisprudencial e identifica que sus datos publicados son informativos y no reemplazan los textos oficiales. Preserve the official publication reference and verify current force, amendments, concordances, and judicial effects.</w:t>
      </w:r>
    </w:p>
    <w:bookmarkEnd w:id="90"/>
    <w:bookmarkStart w:id="91" w:name="fuentes-específicas-de-la-organización"/>
    <w:p>
      <w:pPr>
        <w:pStyle w:val="Heading2"/>
      </w:pPr>
      <w:r>
        <w:t xml:space="preserve">Fuentes específicas de la Organización</w:t>
      </w:r>
    </w:p>
    <w:p>
      <w:pPr>
        <w:pStyle w:val="FirstParagraph"/>
      </w:pPr>
      <w:r>
        <w:t xml:space="preserve">Las organizaciones también deben gobernar los canales autorizados para:</w:t>
      </w:r>
    </w:p>
    <w:p>
      <w:pPr>
        <w:numPr>
          <w:ilvl w:val="0"/>
          <w:numId w:val="1015"/>
        </w:numPr>
        <w:pStyle w:val="Compact"/>
      </w:pPr>
      <w:r>
        <w:t xml:space="preserve">reguladores del sector y autoridades de concesión de licencias;</w:t>
      </w:r>
    </w:p>
    <w:p>
      <w:pPr>
        <w:numPr>
          <w:ilvl w:val="0"/>
          <w:numId w:val="1015"/>
        </w:numPr>
        <w:pStyle w:val="Compact"/>
      </w:pPr>
      <w:r>
        <w:t xml:space="preserve">derecho estatal, provincial, departamental, municipal y local;</w:t>
      </w:r>
    </w:p>
    <w:p>
      <w:pPr>
        <w:numPr>
          <w:ilvl w:val="0"/>
          <w:numId w:val="1015"/>
        </w:numPr>
        <w:pStyle w:val="Compact"/>
      </w:pPr>
      <w:r>
        <w:t xml:space="preserve">decisiones judiciales y administrativas;</w:t>
      </w:r>
    </w:p>
    <w:p>
      <w:pPr>
        <w:numPr>
          <w:ilvl w:val="0"/>
          <w:numId w:val="1015"/>
        </w:numPr>
        <w:pStyle w:val="Compact"/>
      </w:pPr>
      <w:r>
        <w:t xml:space="preserve">permisos, órdenes, licencias, asentamientos y compromisos reguladores;</w:t>
      </w:r>
    </w:p>
    <w:p>
      <w:pPr>
        <w:numPr>
          <w:ilvl w:val="0"/>
          <w:numId w:val="1015"/>
        </w:numPr>
        <w:pStyle w:val="Compact"/>
      </w:pPr>
      <w:r>
        <w:t xml:space="preserve">contratos, obligaciones de los clientes y flujos de proveedores;</w:t>
      </w:r>
    </w:p>
    <w:p>
      <w:pPr>
        <w:numPr>
          <w:ilvl w:val="0"/>
          <w:numId w:val="1015"/>
        </w:numPr>
        <w:pStyle w:val="Compact"/>
      </w:pPr>
      <w:r>
        <w:t xml:space="preserve">normas adoptadas, programas de certificación y esquemas industriales;</w:t>
      </w:r>
    </w:p>
    <w:p>
      <w:pPr>
        <w:numPr>
          <w:ilvl w:val="0"/>
          <w:numId w:val="1015"/>
        </w:numPr>
        <w:pStyle w:val="Compact"/>
      </w:pPr>
      <w:r>
        <w:t xml:space="preserve">políticas internas y compromisos aprobados por la Junta.</w:t>
      </w:r>
    </w:p>
    <w:bookmarkEnd w:id="91"/>
    <w:bookmarkStart w:id="92" w:name="registro-de-verificación-de-fuentes"/>
    <w:p>
      <w:pPr>
        <w:pStyle w:val="Heading2"/>
      </w:pPr>
      <w:r>
        <w:t xml:space="preserve">Registro de verificación de fuentes</w:t>
      </w:r>
    </w:p>
    <w:p>
      <w:pPr>
        <w:pStyle w:val="FirstParagraph"/>
      </w:pPr>
      <w:r>
        <w:t xml:space="preserve">Para cada fuente, mantenga el título oficial, identificador, autoridad emisora, jurisdicción, ubicación de origen, versión o fecha de consolidación, estado, fecha de publicación, fechas efectivas y de transición, fecha de acceso, estado de idioma, derechos de autor o restricciones de licencias, y revisor.</w:t>
      </w:r>
    </w:p>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419"/>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 de Registro de Obligaciones de Cumplimiento y Gestion del Cambio Regulatorio</dc:title>
  <dc:creator>Alberto Al Leiva</dc:creator>
  <dc:language>es-419</dc:language>
  <dc:subject>GRC, obligaciones de cumplimiento, cambio regulatorio, gobernanza y evidencia</dc:subject>
  <cp:keywords/>
  <dcterms:created xsi:type="dcterms:W3CDTF">2026-08-01T20:18:33Z</dcterms:created>
  <dcterms:modified xsi:type="dcterms:W3CDTF">2026-08-01T20:18:33Z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 August 2026</vt:lpwstr>
  </property>
  <property fmtid="{D5CDD505-2E9C-101B-9397-08002B2CF9AE}" pid="3" name="rights">
    <vt:lpwstr>CC BY-NC-SA 4.0 salvo que un archivo indique lo contrario</vt:lpwstr>
  </property>
  <property fmtid="{D5CDD505-2E9C-101B-9397-08002B2CF9AE}" pid="4" name="status">
    <vt:lpwstr>Candidato de publicacion con traduccion asistida por maquina</vt:lpwstr>
  </property>
</Properties>
</file>