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w:t>
      </w:r>
      <w:r>
        <w:t xml:space="preserve"> </w:t>
      </w:r>
      <w:r>
        <w:t xml:space="preserve">de</w:t>
      </w:r>
      <w:r>
        <w:t xml:space="preserve"> </w:t>
      </w:r>
      <w:r>
        <w:t xml:space="preserve">Registro</w:t>
      </w:r>
      <w:r>
        <w:t xml:space="preserve"> </w:t>
      </w:r>
      <w:r>
        <w:t xml:space="preserve">de</w:t>
      </w:r>
      <w:r>
        <w:t xml:space="preserve"> </w:t>
      </w:r>
      <w:r>
        <w:t xml:space="preserve">Obrigacoes</w:t>
      </w:r>
      <w:r>
        <w:t xml:space="preserve"> </w:t>
      </w:r>
      <w:r>
        <w:t xml:space="preserve">de</w:t>
      </w:r>
      <w:r>
        <w:t xml:space="preserve"> </w:t>
      </w:r>
      <w:r>
        <w:t xml:space="preserve">Conformidade</w:t>
      </w:r>
      <w:r>
        <w:t xml:space="preserve"> </w:t>
      </w:r>
      <w:r>
        <w:t xml:space="preserve">e</w:t>
      </w:r>
      <w:r>
        <w:t xml:space="preserve"> </w:t>
      </w:r>
      <w:r>
        <w:t xml:space="preserve">Gestao</w:t>
      </w:r>
      <w:r>
        <w:t xml:space="preserve"> </w:t>
      </w:r>
      <w:r>
        <w:t xml:space="preserve">de</w:t>
      </w:r>
      <w:r>
        <w:t xml:space="preserve"> </w:t>
      </w:r>
      <w:r>
        <w:t xml:space="preserve">Mudancas</w:t>
      </w:r>
      <w:r>
        <w:t xml:space="preserve"> </w:t>
      </w:r>
      <w:r>
        <w:t xml:space="preserve">Regulatorias</w:t>
      </w:r>
    </w:p>
    <w:p>
      <w:pPr>
        <w:pStyle w:val="Author"/>
      </w:pPr>
      <w:r>
        <w:t xml:space="preserve">Alberto Al Leiva</w:t>
      </w:r>
    </w:p>
    <w:p>
      <w:pPr>
        <w:pStyle w:val="Date"/>
      </w:pPr>
      <w:r>
        <w:t xml:space="preserve">1</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c6e65e5be1185f6bbab3f0ea4eec2a9c3483857"/>
    <w:p>
      <w:pPr>
        <w:pStyle w:val="Heading1"/>
      </w:pPr>
      <w:r>
        <w:t xml:space="preserve">Conjunto de ferramentas de gestão de alterações regulamentares e de registos de conformidade</w:t>
      </w:r>
    </w:p>
    <w:p>
      <w:pPr>
        <w:pStyle w:val="BlockText"/>
      </w:pPr>
      <w:r>
        <w:t xml:space="preserve">** Aviso sobre a educação e a governação: ** Este kit de ferramentas não fornece aconselhamento jurídico, determina a aplicabilidade, certifica o cumprimento, comprova a eficácia do controlo ou substitui os textos jurídicos oficiais e a revisão profissional qualificada.</w:t>
      </w:r>
    </w:p>
    <w:p>
      <w:pPr>
        <w:pStyle w:val="BlockText"/>
      </w:pPr>
      <w:r>
        <w:t xml:space="preserve">** Aviso de controlo da fonte: ** Verificar todas as obrigações e mudanças contra uma fonte atual autoritária. Registre jurisdição, escopo, datas, versão, proprietário de interpretação, status de implementação, evidência e histórico de revisão.</w:t>
      </w:r>
    </w:p>
    <w:bookmarkEnd w:id="20"/>
    <w:bookmarkStart w:id="31" w:name="X12daffca2861550245899b35eb0ceb3fd0cd67e"/>
    <w:p>
      <w:pPr>
        <w:pStyle w:val="Heading1"/>
      </w:pPr>
      <w:r>
        <w:t xml:space="preserve">Governança, Autoridade de Origem e Inventário de Obrigação</w:t>
      </w:r>
    </w:p>
    <w:bookmarkStart w:id="21" w:name="objecto"/>
    <w:p>
      <w:pPr>
        <w:pStyle w:val="Heading2"/>
      </w:pPr>
      <w:r>
        <w:t xml:space="preserve">1. Objecto</w:t>
      </w:r>
    </w:p>
    <w:p>
      <w:pPr>
        <w:pStyle w:val="FirstParagraph"/>
      </w:pPr>
      <w:r>
        <w:t xml:space="preserve">Um registro de obrigações de conformidade é um inventário controlado de requisitos que uma organização determinou podem governar suas atividades. Ele apoia a responsabilização, planejamento de implementação, monitoramento, retenção de evidências e gerenciamento de mudanças. Não substitui a fonte autorizada nem uma decisão de aplicabilidade qualificada.</w:t>
      </w:r>
    </w:p>
    <w:bookmarkEnd w:id="21"/>
    <w:bookmarkStart w:id="22" w:name="definir-categorias-de-obrigações"/>
    <w:p>
      <w:pPr>
        <w:pStyle w:val="Heading2"/>
      </w:pPr>
      <w:r>
        <w:t xml:space="preserve">2. Definir categorias de obrigações</w:t>
      </w:r>
    </w:p>
    <w:p>
      <w:pPr>
        <w:pStyle w:val="FirstParagraph"/>
      </w:pPr>
      <w:r>
        <w:t xml:space="preserve">Usar categorias controladas de modo diferente dos requisitos não são tratados como intercambiáveis:</w:t>
      </w:r>
    </w:p>
    <w:p>
      <w:pPr>
        <w:numPr>
          <w:ilvl w:val="0"/>
          <w:numId w:val="1001"/>
        </w:numPr>
        <w:pStyle w:val="Compact"/>
      </w:pPr>
      <w:r>
        <w:t xml:space="preserve">Lei ou estatuto;</w:t>
      </w:r>
    </w:p>
    <w:p>
      <w:pPr>
        <w:numPr>
          <w:ilvl w:val="0"/>
          <w:numId w:val="1001"/>
        </w:numPr>
        <w:pStyle w:val="Compact"/>
      </w:pPr>
      <w:r>
        <w:t xml:space="preserve">Regulação ou regra vinculativa;</w:t>
      </w:r>
    </w:p>
    <w:p>
      <w:pPr>
        <w:numPr>
          <w:ilvl w:val="0"/>
          <w:numId w:val="1001"/>
        </w:numPr>
        <w:pStyle w:val="Compact"/>
      </w:pPr>
      <w:r>
        <w:t xml:space="preserve">Ordem regulamentar, licença, licença ou autorização;</w:t>
      </w:r>
    </w:p>
    <w:p>
      <w:pPr>
        <w:numPr>
          <w:ilvl w:val="0"/>
          <w:numId w:val="1001"/>
        </w:numPr>
        <w:pStyle w:val="Compact"/>
      </w:pPr>
      <w:r>
        <w:t xml:space="preserve">Contrato ou compromisso do cliente;</w:t>
      </w:r>
    </w:p>
    <w:p>
      <w:pPr>
        <w:numPr>
          <w:ilvl w:val="0"/>
          <w:numId w:val="1001"/>
        </w:numPr>
        <w:pStyle w:val="Compact"/>
      </w:pPr>
      <w:r>
        <w:t xml:space="preserve">Decisão judicial, judicial ou administrativa;</w:t>
      </w:r>
    </w:p>
    <w:p>
      <w:pPr>
        <w:numPr>
          <w:ilvl w:val="0"/>
          <w:numId w:val="1001"/>
        </w:numPr>
        <w:pStyle w:val="Compact"/>
      </w:pPr>
      <w:r>
        <w:t xml:space="preserve">Obrigação da indústria ou do programa de pagamento;</w:t>
      </w:r>
    </w:p>
    <w:p>
      <w:pPr>
        <w:numPr>
          <w:ilvl w:val="0"/>
          <w:numId w:val="1001"/>
        </w:numPr>
        <w:pStyle w:val="Compact"/>
      </w:pPr>
      <w:r>
        <w:t xml:space="preserve">Adopção de critérios de normalização ou de certificação;</w:t>
      </w:r>
    </w:p>
    <w:p>
      <w:pPr>
        <w:numPr>
          <w:ilvl w:val="0"/>
          <w:numId w:val="1001"/>
        </w:numPr>
        <w:pStyle w:val="Compact"/>
      </w:pPr>
      <w:r>
        <w:t xml:space="preserve">A política interna ou o compromisso de governação;</w:t>
      </w:r>
    </w:p>
    <w:p>
      <w:pPr>
        <w:numPr>
          <w:ilvl w:val="0"/>
          <w:numId w:val="1001"/>
        </w:numPr>
        <w:pStyle w:val="Compact"/>
      </w:pPr>
      <w:r>
        <w:t xml:space="preserve">Código, quadro ou orientação voluntários.</w:t>
      </w:r>
    </w:p>
    <w:p>
      <w:pPr>
        <w:pStyle w:val="FirstParagraph"/>
      </w:pPr>
      <w:r>
        <w:t xml:space="preserve">Registre se cada item é obrigatório, adotado voluntariamente, contratualmente vinculativo ou informativo.</w:t>
      </w:r>
    </w:p>
    <w:bookmarkEnd w:id="22"/>
    <w:bookmarkStart w:id="23" w:name="estabelecer-autoridade-de-origem"/>
    <w:p>
      <w:pPr>
        <w:pStyle w:val="Heading2"/>
      </w:pPr>
      <w:r>
        <w:t xml:space="preserve">3. Estabelecer autoridade de origem</w:t>
      </w:r>
    </w:p>
    <w:p>
      <w:pPr>
        <w:pStyle w:val="FirstParagraph"/>
      </w:pPr>
      <w:r>
        <w:t xml:space="preserve">Cada registro de origem deve identificar:</w:t>
      </w:r>
    </w:p>
    <w:p>
      <w:pPr>
        <w:numPr>
          <w:ilvl w:val="0"/>
          <w:numId w:val="1002"/>
        </w:numPr>
        <w:pStyle w:val="Compact"/>
      </w:pPr>
      <w:r>
        <w:t xml:space="preserve">Título e identificador oficiais;</w:t>
      </w:r>
    </w:p>
    <w:p>
      <w:pPr>
        <w:numPr>
          <w:ilvl w:val="0"/>
          <w:numId w:val="1002"/>
        </w:numPr>
        <w:pStyle w:val="Compact"/>
      </w:pPr>
      <w:r>
        <w:t xml:space="preserve">Autoridade emissora;</w:t>
      </w:r>
    </w:p>
    <w:p>
      <w:pPr>
        <w:numPr>
          <w:ilvl w:val="0"/>
          <w:numId w:val="1002"/>
        </w:numPr>
        <w:pStyle w:val="Compact"/>
      </w:pPr>
      <w:r>
        <w:t xml:space="preserve">Competência e sector;</w:t>
      </w:r>
    </w:p>
    <w:p>
      <w:pPr>
        <w:numPr>
          <w:ilvl w:val="0"/>
          <w:numId w:val="1002"/>
        </w:numPr>
        <w:pStyle w:val="Compact"/>
      </w:pPr>
      <w:r>
        <w:t xml:space="preserve">Local de publicação autorizado;</w:t>
      </w:r>
    </w:p>
    <w:p>
      <w:pPr>
        <w:numPr>
          <w:ilvl w:val="0"/>
          <w:numId w:val="1002"/>
        </w:numPr>
        <w:pStyle w:val="Compact"/>
      </w:pPr>
      <w:r>
        <w:t xml:space="preserve">Versão de origem ou data de consolidação;</w:t>
      </w:r>
    </w:p>
    <w:p>
      <w:pPr>
        <w:numPr>
          <w:ilvl w:val="0"/>
          <w:numId w:val="1002"/>
        </w:numPr>
        <w:pStyle w:val="Compact"/>
      </w:pPr>
      <w:r>
        <w:t xml:space="preserve">Datas de publicação, adopção, eficácia, transição e execução;</w:t>
      </w:r>
    </w:p>
    <w:p>
      <w:pPr>
        <w:numPr>
          <w:ilvl w:val="0"/>
          <w:numId w:val="1002"/>
        </w:numPr>
        <w:pStyle w:val="Compact"/>
      </w:pPr>
      <w:r>
        <w:t xml:space="preserve">Estado atual, incluindo projeto, proposto, adotado, efetivo, alterado, mantido, atrasado, substituído, retirado ou expirado;</w:t>
      </w:r>
    </w:p>
    <w:p>
      <w:pPr>
        <w:numPr>
          <w:ilvl w:val="0"/>
          <w:numId w:val="1002"/>
        </w:numPr>
        <w:pStyle w:val="Compact"/>
      </w:pPr>
      <w:r>
        <w:t xml:space="preserve">estatuto linguístico e de tradução;</w:t>
      </w:r>
    </w:p>
    <w:p>
      <w:pPr>
        <w:numPr>
          <w:ilvl w:val="0"/>
          <w:numId w:val="1002"/>
        </w:numPr>
        <w:pStyle w:val="Compact"/>
      </w:pPr>
      <w:r>
        <w:t xml:space="preserve">acesso, direitos de autor e condições de licenciamento.</w:t>
      </w:r>
    </w:p>
    <w:p>
      <w:pPr>
        <w:pStyle w:val="FirstParagraph"/>
      </w:pPr>
      <w:r>
        <w:t xml:space="preserve">Resumos secundários podem apoiar a descoberta, mas não devem tornar-se o registro de exigência autoritária.</w:t>
      </w:r>
    </w:p>
    <w:bookmarkEnd w:id="23"/>
    <w:bookmarkStart w:id="24" w:name="datas-separadas"/>
    <w:p>
      <w:pPr>
        <w:pStyle w:val="Heading2"/>
      </w:pPr>
      <w:r>
        <w:t xml:space="preserve">4. Datas separadas</w:t>
      </w:r>
    </w:p>
    <w:p>
      <w:pPr>
        <w:pStyle w:val="FirstParagraph"/>
      </w:pPr>
      <w:r>
        <w:t xml:space="preserve">Não colapse todas as datas em um campo. As datas de publicação, adoção, efetiva, final de transição, execução, implementação e revisão podem diferir materialmente. O registo deve preservar essas distinções, uma vez que uma exigência adoptada pode ainda não ser eficaz e uma exigência efectiva pode ter obrigações progressivas ou atraso na execução.</w:t>
      </w:r>
    </w:p>
    <w:bookmarkEnd w:id="24"/>
    <w:bookmarkStart w:id="25" w:name="atribuir-funções-de-governação"/>
    <w:p>
      <w:pPr>
        <w:pStyle w:val="Heading2"/>
      </w:pPr>
      <w:r>
        <w:t xml:space="preserve">5. Atribuir funções de governação</w:t>
      </w:r>
    </w:p>
    <w:p>
      <w:pPr>
        <w:pStyle w:val="FirstParagraph"/>
      </w:pPr>
      <w:r>
        <w:t xml:space="preserve">As funções recomendadas incluem:</w:t>
      </w:r>
    </w:p>
    <w:p>
      <w:pPr>
        <w:numPr>
          <w:ilvl w:val="0"/>
          <w:numId w:val="1003"/>
        </w:numPr>
        <w:pStyle w:val="Compact"/>
      </w:pPr>
      <w:r>
        <w:t xml:space="preserve">** proprietário da governação de conformidade** — aprova a metodologia e o relatório;</w:t>
      </w:r>
    </w:p>
    <w:p>
      <w:pPr>
        <w:numPr>
          <w:ilvl w:val="0"/>
          <w:numId w:val="1003"/>
        </w:numPr>
        <w:pStyle w:val="Compact"/>
      </w:pPr>
      <w:r>
        <w:t xml:space="preserve">** mordomo de código** — verifica fontes oficiais, versões e status;</w:t>
      </w:r>
    </w:p>
    <w:p>
      <w:pPr>
        <w:numPr>
          <w:ilvl w:val="0"/>
          <w:numId w:val="1003"/>
        </w:numPr>
        <w:pStyle w:val="Compact"/>
      </w:pPr>
      <w:r>
        <w:rPr>
          <w:bCs/>
          <w:b/>
        </w:rPr>
        <w:t xml:space="preserve">legislativo ou revisor de assuntos</w:t>
      </w:r>
      <w:r>
        <w:t xml:space="preserve"> </w:t>
      </w:r>
      <w:r>
        <w:t xml:space="preserve">— avalia significado e aplicabilidade;</w:t>
      </w:r>
    </w:p>
    <w:p>
      <w:pPr>
        <w:numPr>
          <w:ilvl w:val="0"/>
          <w:numId w:val="1003"/>
        </w:numPr>
        <w:pStyle w:val="Compact"/>
      </w:pPr>
      <w:r>
        <w:t xml:space="preserve">** proprietário da obrigação** — continua responsável pelo requisito;</w:t>
      </w:r>
    </w:p>
    <w:p>
      <w:pPr>
        <w:numPr>
          <w:ilvl w:val="0"/>
          <w:numId w:val="1003"/>
        </w:numPr>
        <w:pStyle w:val="Compact"/>
      </w:pPr>
      <w:r>
        <w:rPr>
          <w:bCs/>
          <w:b/>
        </w:rPr>
        <w:t xml:space="preserve">O proprietário do controle</w:t>
      </w:r>
      <w:r>
        <w:t xml:space="preserve"> </w:t>
      </w:r>
      <w:r>
        <w:t xml:space="preserve">— mantém a implementação e a evidência;</w:t>
      </w:r>
    </w:p>
    <w:p>
      <w:pPr>
        <w:numPr>
          <w:ilvl w:val="0"/>
          <w:numId w:val="1003"/>
        </w:numPr>
        <w:pStyle w:val="Compact"/>
      </w:pPr>
      <w:r>
        <w:rPr>
          <w:bCs/>
          <w:b/>
        </w:rPr>
        <w:t xml:space="preserve">Coordenador de mudanças regulatórias</w:t>
      </w:r>
      <w:r>
        <w:t xml:space="preserve"> </w:t>
      </w:r>
      <w:r>
        <w:t xml:space="preserve">— gerencia a digitalização do horizonte e a ingestão de mudanças;</w:t>
      </w:r>
    </w:p>
    <w:p>
      <w:pPr>
        <w:numPr>
          <w:ilvl w:val="0"/>
          <w:numId w:val="1003"/>
        </w:numPr>
        <w:pStyle w:val="Compact"/>
      </w:pPr>
      <w:r>
        <w:rPr>
          <w:bCs/>
          <w:b/>
        </w:rPr>
        <w:t xml:space="preserve">registros de custódia</w:t>
      </w:r>
      <w:r>
        <w:t xml:space="preserve"> </w:t>
      </w:r>
      <w:r>
        <w:t xml:space="preserve">— mantém decisões, versões, aprovações e provas;</w:t>
      </w:r>
    </w:p>
    <w:p>
      <w:pPr>
        <w:numPr>
          <w:ilvl w:val="0"/>
          <w:numId w:val="1003"/>
        </w:numPr>
        <w:pStyle w:val="Compact"/>
      </w:pPr>
      <w:r>
        <w:rPr>
          <w:bCs/>
          <w:b/>
        </w:rPr>
        <w:t xml:space="preserve">revisor independente</w:t>
      </w:r>
      <w:r>
        <w:t xml:space="preserve"> </w:t>
      </w:r>
      <w:r>
        <w:t xml:space="preserve">— desafios conclusões não apoiadas e alegações de encerramento.</w:t>
      </w:r>
    </w:p>
    <w:bookmarkEnd w:id="25"/>
    <w:bookmarkStart w:id="26" w:name="definir-os-limites-do-inventário"/>
    <w:p>
      <w:pPr>
        <w:pStyle w:val="Heading2"/>
      </w:pPr>
      <w:r>
        <w:t xml:space="preserve">6. Definir os limites do inventário</w:t>
      </w:r>
    </w:p>
    <w:p>
      <w:pPr>
        <w:pStyle w:val="FirstParagraph"/>
      </w:pPr>
      <w:r>
        <w:t xml:space="preserve">Documento que entidades, jurisdições, produtos, serviços, sistemas, tipos de dados, instalações, população de trabalhadores, fornecedores, licenças, contratos e processos de negócios estão incluídos. Um inventário de toda a organização pode conter obrigações locais, mas os requisitos locais devem manter o seu âmbito de aplicação e não devem ser generalizados automaticamente.</w:t>
      </w:r>
    </w:p>
    <w:bookmarkEnd w:id="26"/>
    <w:bookmarkStart w:id="27" w:name="criar-identificadores-de-obrigações"/>
    <w:p>
      <w:pPr>
        <w:pStyle w:val="Heading2"/>
      </w:pPr>
      <w:r>
        <w:t xml:space="preserve">7. Criar identificadores de obrigações</w:t>
      </w:r>
    </w:p>
    <w:p>
      <w:pPr>
        <w:pStyle w:val="FirstParagraph"/>
      </w:pPr>
      <w:r>
        <w:t xml:space="preserve">Atribuir um identificador de organização estável a cada obrigação, preservando a referência oficial de origem. Usar relações pai-filho quando uma provisão fonte contém múltiplas funções acionáveis independentemente. Não invente identificadores que possam ser confundidos com citações oficiais.</w:t>
      </w:r>
    </w:p>
    <w:bookmarkEnd w:id="27"/>
    <w:bookmarkStart w:id="28" w:name="critérios-mínimos-de-entrada"/>
    <w:p>
      <w:pPr>
        <w:pStyle w:val="Heading2"/>
      </w:pPr>
      <w:r>
        <w:t xml:space="preserve">8. Critérios mínimos de entrada</w:t>
      </w:r>
    </w:p>
    <w:p>
      <w:pPr>
        <w:pStyle w:val="FirstParagraph"/>
      </w:pPr>
      <w:r>
        <w:t xml:space="preserve">Uma obrigação não deve entrar no registo controlado sem:</w:t>
      </w:r>
    </w:p>
    <w:p>
      <w:pPr>
        <w:numPr>
          <w:ilvl w:val="0"/>
          <w:numId w:val="1004"/>
        </w:numPr>
        <w:pStyle w:val="Compact"/>
      </w:pPr>
      <w:r>
        <w:t xml:space="preserve">Uma fonte identificável e um estado actual;</w:t>
      </w:r>
    </w:p>
    <w:p>
      <w:pPr>
        <w:numPr>
          <w:ilvl w:val="0"/>
          <w:numId w:val="1004"/>
        </w:numPr>
        <w:pStyle w:val="Compact"/>
      </w:pPr>
      <w:r>
        <w:t xml:space="preserve">Uma referência oficial rastreável ou uma razão documentada para a sua indisponibilidade;</w:t>
      </w:r>
    </w:p>
    <w:p>
      <w:pPr>
        <w:numPr>
          <w:ilvl w:val="0"/>
          <w:numId w:val="1004"/>
        </w:numPr>
        <w:pStyle w:val="Compact"/>
      </w:pPr>
      <w:r>
        <w:t xml:space="preserve">Um âmbito preliminar e um estatuto de aplicabilidade;</w:t>
      </w:r>
    </w:p>
    <w:p>
      <w:pPr>
        <w:numPr>
          <w:ilvl w:val="0"/>
          <w:numId w:val="1004"/>
        </w:numPr>
        <w:pStyle w:val="Compact"/>
      </w:pPr>
      <w:r>
        <w:t xml:space="preserve">Um proprietário responsável;</w:t>
      </w:r>
    </w:p>
    <w:p>
      <w:pPr>
        <w:numPr>
          <w:ilvl w:val="0"/>
          <w:numId w:val="1004"/>
        </w:numPr>
        <w:pStyle w:val="Compact"/>
      </w:pPr>
      <w:r>
        <w:t xml:space="preserve">Uma data de revisão;</w:t>
      </w:r>
    </w:p>
    <w:p>
      <w:pPr>
        <w:numPr>
          <w:ilvl w:val="0"/>
          <w:numId w:val="1004"/>
        </w:numPr>
        <w:pStyle w:val="Compact"/>
      </w:pPr>
      <w:r>
        <w:t xml:space="preserve">uma declaração explícita de incerteza quando a interpretação está incompleta.</w:t>
      </w:r>
    </w:p>
    <w:bookmarkEnd w:id="28"/>
    <w:bookmarkStart w:id="29" w:name="alegações-proibidas"/>
    <w:p>
      <w:pPr>
        <w:pStyle w:val="Heading2"/>
      </w:pPr>
      <w:r>
        <w:t xml:space="preserve">9. Alegações proibidas</w:t>
      </w:r>
    </w:p>
    <w:p>
      <w:pPr>
        <w:pStyle w:val="FirstParagraph"/>
      </w:pPr>
      <w:r>
        <w:t xml:space="preserve">Não afirme que a inclusão no registro prova aplicabilidade, que a atribuição a um controle prova implementação, ou que a presença de evidência prova conformidade. Cada conclusão requer sua própria revisão e fatos de apoio.</w:t>
      </w:r>
    </w:p>
    <w:bookmarkEnd w:id="29"/>
    <w:bookmarkStart w:id="30" w:name="provas-de-governação"/>
    <w:p>
      <w:pPr>
        <w:pStyle w:val="Heading2"/>
      </w:pPr>
      <w:r>
        <w:t xml:space="preserve">10. Provas de governação</w:t>
      </w:r>
    </w:p>
    <w:p>
      <w:pPr>
        <w:pStyle w:val="FirstParagraph"/>
      </w:pPr>
      <w:r>
        <w:t xml:space="preserve">Mantenha a metodologia, inventário fonte, atribuições de funções, registros de aprovação, calendário de revisão, histórico de mudanças, entradas substituídas, questões não resolvidas, exceções e registros de escalada.</w:t>
      </w:r>
    </w:p>
    <w:bookmarkEnd w:id="30"/>
    <w:bookmarkEnd w:id="31"/>
    <w:bookmarkStart w:id="42" w:name="Xcfc006735d0090f8e98af9d3c7ab09a0591a69f"/>
    <w:p>
      <w:pPr>
        <w:pStyle w:val="Heading1"/>
      </w:pPr>
      <w:r>
        <w:t xml:space="preserve">Aplicabilidade, Descomposição e Interpretação</w:t>
      </w:r>
    </w:p>
    <w:bookmarkStart w:id="32" w:name="Xfaf0f91fc8fc1c3dbd0bd83290bb30bda714066"/>
    <w:p>
      <w:pPr>
        <w:pStyle w:val="Heading2"/>
      </w:pPr>
      <w:r>
        <w:t xml:space="preserve">1. Tratar a aplicabilidade como uma decisão documentada</w:t>
      </w:r>
    </w:p>
    <w:p>
      <w:pPr>
        <w:pStyle w:val="FirstParagraph"/>
      </w:pPr>
      <w:r>
        <w:t xml:space="preserve">A aplicabilidade depende dos factos. Fatos relevantes podem incluir entidade jurídica, localização, função regulamentada, indústria, licença, receita, tamanho da força de trabalho, tipo de cliente, atividade de processamento, categoria de dados, tecnologia, função do produto, contrato, transação ou classificação de risco. Registre os fatos utilizados, suposições, incertezas, revisor, decisão e gatilho de reavaliação.</w:t>
      </w:r>
    </w:p>
    <w:bookmarkEnd w:id="32"/>
    <w:bookmarkStart w:id="33" w:name="X74e7643aadfc317f7ca5775ec5be600b09c2ea7"/>
    <w:p>
      <w:pPr>
        <w:pStyle w:val="Heading2"/>
      </w:pPr>
      <w:r>
        <w:t xml:space="preserve">2. Utilizar estados de aplicabilidade controlados</w:t>
      </w:r>
    </w:p>
    <w:p>
      <w:pPr>
        <w:pStyle w:val="FirstParagraph"/>
      </w:pPr>
      <w:r>
        <w:t xml:space="preserve">Os estados recomendados são:</w:t>
      </w:r>
    </w:p>
    <w:p>
      <w:pPr>
        <w:numPr>
          <w:ilvl w:val="0"/>
          <w:numId w:val="1005"/>
        </w:numPr>
        <w:pStyle w:val="Compact"/>
      </w:pPr>
      <w:r>
        <w:t xml:space="preserve">em análise;</w:t>
      </w:r>
    </w:p>
    <w:p>
      <w:pPr>
        <w:numPr>
          <w:ilvl w:val="0"/>
          <w:numId w:val="1005"/>
        </w:numPr>
        <w:pStyle w:val="Compact"/>
      </w:pPr>
      <w:r>
        <w:t xml:space="preserve">Aplicável;</w:t>
      </w:r>
    </w:p>
    <w:p>
      <w:pPr>
        <w:numPr>
          <w:ilvl w:val="0"/>
          <w:numId w:val="1005"/>
        </w:numPr>
        <w:pStyle w:val="Compact"/>
      </w:pPr>
      <w:r>
        <w:t xml:space="preserve">Aplicável parcialmente;</w:t>
      </w:r>
    </w:p>
    <w:p>
      <w:pPr>
        <w:numPr>
          <w:ilvl w:val="0"/>
          <w:numId w:val="1005"/>
        </w:numPr>
        <w:pStyle w:val="Compact"/>
      </w:pPr>
      <w:r>
        <w:t xml:space="preserve">Condicionalmente aplicável;</w:t>
      </w:r>
    </w:p>
    <w:p>
      <w:pPr>
        <w:numPr>
          <w:ilvl w:val="0"/>
          <w:numId w:val="1005"/>
        </w:numPr>
        <w:pStyle w:val="Compact"/>
      </w:pPr>
      <w:r>
        <w:t xml:space="preserve">Não aplicável com base em fundamentos;</w:t>
      </w:r>
    </w:p>
    <w:p>
      <w:pPr>
        <w:numPr>
          <w:ilvl w:val="0"/>
          <w:numId w:val="1005"/>
        </w:numPr>
        <w:pStyle w:val="Compact"/>
      </w:pPr>
      <w:r>
        <w:t xml:space="preserve">aplicabilidade diferida em factos ou orientações pendentes;</w:t>
      </w:r>
    </w:p>
    <w:p>
      <w:pPr>
        <w:numPr>
          <w:ilvl w:val="0"/>
          <w:numId w:val="1005"/>
        </w:numPr>
        <w:pStyle w:val="Compact"/>
      </w:pPr>
      <w:r>
        <w:t xml:space="preserve">substituído ou deixado de ser aplicável.</w:t>
      </w:r>
    </w:p>
    <w:p>
      <w:pPr>
        <w:pStyle w:val="FirstParagraph"/>
      </w:pPr>
      <w:r>
        <w:t xml:space="preserve">Não use campos em branco para representar uma decisão.</w:t>
      </w:r>
    </w:p>
    <w:bookmarkEnd w:id="33"/>
    <w:bookmarkStart w:id="34" w:name="decompor-disposições-complexas"/>
    <w:p>
      <w:pPr>
        <w:pStyle w:val="Heading2"/>
      </w:pPr>
      <w:r>
        <w:t xml:space="preserve">3. Decompor disposições complexas</w:t>
      </w:r>
    </w:p>
    <w:p>
      <w:pPr>
        <w:pStyle w:val="FirstParagraph"/>
      </w:pPr>
      <w:r>
        <w:t xml:space="preserve">Separar uma provisão em unidades acionáveis quando ela contém diferentes atores, ações, objetos, condições, tempo, evidência, exceções ou consequências. Cada unidade analítica deve manter a sua referência de origem.</w:t>
      </w:r>
    </w:p>
    <w:p>
      <w:pPr>
        <w:pStyle w:val="BodyText"/>
      </w:pPr>
      <w:r>
        <w:t xml:space="preserve">Registos de modelos de decomposição úteis:</w:t>
      </w:r>
    </w:p>
    <w:p>
      <w:pPr>
        <w:numPr>
          <w:ilvl w:val="0"/>
          <w:numId w:val="1006"/>
        </w:numPr>
        <w:pStyle w:val="Compact"/>
      </w:pPr>
      <w:r>
        <w:t xml:space="preserve">Actor regulamentado;</w:t>
      </w:r>
    </w:p>
    <w:p>
      <w:pPr>
        <w:numPr>
          <w:ilvl w:val="0"/>
          <w:numId w:val="1006"/>
        </w:numPr>
        <w:pStyle w:val="Compact"/>
      </w:pPr>
      <w:r>
        <w:t xml:space="preserve">Acção exigida ou proibida;</w:t>
      </w:r>
    </w:p>
    <w:p>
      <w:pPr>
        <w:numPr>
          <w:ilvl w:val="0"/>
          <w:numId w:val="1006"/>
        </w:numPr>
        <w:pStyle w:val="Compact"/>
      </w:pPr>
      <w:r>
        <w:t xml:space="preserve">Objeto, pessoa, processo, sistema ou dados protegidos;</w:t>
      </w:r>
    </w:p>
    <w:p>
      <w:pPr>
        <w:numPr>
          <w:ilvl w:val="0"/>
          <w:numId w:val="1006"/>
        </w:numPr>
        <w:pStyle w:val="Compact"/>
      </w:pPr>
      <w:r>
        <w:t xml:space="preserve">Condições de desencadeamento;</w:t>
      </w:r>
    </w:p>
    <w:p>
      <w:pPr>
        <w:numPr>
          <w:ilvl w:val="0"/>
          <w:numId w:val="1006"/>
        </w:numPr>
        <w:pStyle w:val="Compact"/>
      </w:pPr>
      <w:r>
        <w:t xml:space="preserve">Competência e âmbito de aplicação;</w:t>
      </w:r>
    </w:p>
    <w:p>
      <w:pPr>
        <w:numPr>
          <w:ilvl w:val="0"/>
          <w:numId w:val="1006"/>
        </w:numPr>
        <w:pStyle w:val="Compact"/>
      </w:pPr>
      <w:r>
        <w:t xml:space="preserve">Tempo ou frequência;</w:t>
      </w:r>
    </w:p>
    <w:p>
      <w:pPr>
        <w:numPr>
          <w:ilvl w:val="0"/>
          <w:numId w:val="1006"/>
        </w:numPr>
        <w:pStyle w:val="Compact"/>
      </w:pPr>
      <w:r>
        <w:t xml:space="preserve">limiar ou condição de materialidade;</w:t>
      </w:r>
    </w:p>
    <w:p>
      <w:pPr>
        <w:numPr>
          <w:ilvl w:val="0"/>
          <w:numId w:val="1006"/>
        </w:numPr>
        <w:pStyle w:val="Compact"/>
      </w:pPr>
      <w:r>
        <w:t xml:space="preserve">Excepção, isenção ou alternativa;</w:t>
      </w:r>
    </w:p>
    <w:p>
      <w:pPr>
        <w:numPr>
          <w:ilvl w:val="0"/>
          <w:numId w:val="1006"/>
        </w:numPr>
        <w:pStyle w:val="Compact"/>
      </w:pPr>
      <w:r>
        <w:t xml:space="preserve">Documentação, notificação, comunicação ou obrigação de retenção;</w:t>
      </w:r>
    </w:p>
    <w:p>
      <w:pPr>
        <w:numPr>
          <w:ilvl w:val="0"/>
          <w:numId w:val="1006"/>
        </w:numPr>
        <w:pStyle w:val="Compact"/>
      </w:pPr>
      <w:r>
        <w:t xml:space="preserve">Provas esperadas;</w:t>
      </w:r>
    </w:p>
    <w:p>
      <w:pPr>
        <w:numPr>
          <w:ilvl w:val="0"/>
          <w:numId w:val="1006"/>
        </w:numPr>
        <w:pStyle w:val="Compact"/>
      </w:pPr>
      <w:r>
        <w:t xml:space="preserve">consequência ou condição de escalada.</w:t>
      </w:r>
    </w:p>
    <w:bookmarkEnd w:id="34"/>
    <w:bookmarkStart w:id="35" w:name="X2c9664ea1d9f74e2bb387f9273c46a7a553ef85"/>
    <w:p>
      <w:pPr>
        <w:pStyle w:val="Heading2"/>
      </w:pPr>
      <w:r>
        <w:t xml:space="preserve">4. Língua de origem separada da interpretação</w:t>
      </w:r>
    </w:p>
    <w:p>
      <w:pPr>
        <w:pStyle w:val="FirstParagraph"/>
      </w:pPr>
      <w:r>
        <w:t xml:space="preserve">Mantenha campos distintos para texto ou localização de fonte autorizada, interpretação de organização, suposições, incerteza e exigência de implementação. Isto impede que um resumo interno seja confundido com a exigência oficial.</w:t>
      </w:r>
    </w:p>
    <w:bookmarkEnd w:id="35"/>
    <w:bookmarkStart w:id="36" w:name="preservar-as-qualificações"/>
    <w:p>
      <w:pPr>
        <w:pStyle w:val="Heading2"/>
      </w:pPr>
      <w:r>
        <w:t xml:space="preserve">5. Preservar as qualificações</w:t>
      </w:r>
    </w:p>
    <w:p>
      <w:pPr>
        <w:pStyle w:val="FirstParagraph"/>
      </w:pPr>
      <w:r>
        <w:t xml:space="preserve">Termos como razoável, apropriado, material, prontamente, sem demora indevida, periodicamente, independente, documentado e baseado em risco podem ter significado legal ou regulamentar. Não os remova apenas para simplificar o registo. Registre como a organização operacionaliza o qualificador e quem aprovou essa abordagem.</w:t>
      </w:r>
    </w:p>
    <w:bookmarkEnd w:id="36"/>
    <w:bookmarkStart w:id="37" w:name="Xa03f767126b7fd435554fac19172ca485cfd742"/>
    <w:p>
      <w:pPr>
        <w:pStyle w:val="Heading2"/>
      </w:pPr>
      <w:r>
        <w:t xml:space="preserve">6. Registre cuidadosamente as exclusões e isenções</w:t>
      </w:r>
    </w:p>
    <w:p>
      <w:pPr>
        <w:pStyle w:val="FirstParagraph"/>
      </w:pPr>
      <w:r>
        <w:t xml:space="preserve">Uma isenção pode depender da continuação dos factos. Registe a base factual, o revisor, a aprovação, a prova, a data de expiração ou de reavaliação e o gatilho da alteração. A ausência da história de execução não é uma isenção.</w:t>
      </w:r>
    </w:p>
    <w:bookmarkEnd w:id="37"/>
    <w:bookmarkStart w:id="38" w:name="gerenciar-conflitos-e-sobreposição"/>
    <w:p>
      <w:pPr>
        <w:pStyle w:val="Heading2"/>
      </w:pPr>
      <w:r>
        <w:t xml:space="preserve">7. Gerenciar conflitos e sobreposição</w:t>
      </w:r>
    </w:p>
    <w:p>
      <w:pPr>
        <w:pStyle w:val="FirstParagraph"/>
      </w:pPr>
      <w:r>
        <w:t xml:space="preserve">Quando as obrigações se sobrepõem, preservar cada fonte de forma independente e ligá-las a controlos comuns, sempre que tal se justifique. Quando os requisitos conflitam ou impõem limiares, prazos, períodos de retenção, obrigações de aviso ou restrições geográficas diferentes, aumentam em vez de selecionar a regra menos exigente.</w:t>
      </w:r>
    </w:p>
    <w:bookmarkEnd w:id="38"/>
    <w:bookmarkStart w:id="39" w:name="lidar-com-traduções"/>
    <w:p>
      <w:pPr>
        <w:pStyle w:val="Heading2"/>
      </w:pPr>
      <w:r>
        <w:t xml:space="preserve">8. Lidar com traduções</w:t>
      </w:r>
    </w:p>
    <w:p>
      <w:pPr>
        <w:pStyle w:val="FirstParagraph"/>
      </w:pPr>
      <w:r>
        <w:t xml:space="preserve">Identificar se o texto revisado é oficial, certificado, autorizado ou assistido por máquina. Sempre que o significado jurídico possa depender da língua autorizada, mantenha a referência original e exija uma revisão linguística qualificada.</w:t>
      </w:r>
    </w:p>
    <w:bookmarkEnd w:id="39"/>
    <w:bookmarkStart w:id="40" w:name="critérios-de-aprovação"/>
    <w:p>
      <w:pPr>
        <w:pStyle w:val="Heading2"/>
      </w:pPr>
      <w:r>
        <w:t xml:space="preserve">9. Critérios de aprovação</w:t>
      </w:r>
    </w:p>
    <w:p>
      <w:pPr>
        <w:pStyle w:val="FirstParagraph"/>
      </w:pPr>
      <w:r>
        <w:t xml:space="preserve">Um registo de aplicabilidade ou interpretação não deve ser aprovado, a menos que a fonte e o estado sejam verificados, os factos relevantes sejam documentados, as exclusões sejam suportadas, as incertezas sejam visíveis, os proprietários responsáveis sejam atribuídos e seja definida uma data de reavaliação ou um gatilho de evento.</w:t>
      </w:r>
    </w:p>
    <w:bookmarkEnd w:id="40"/>
    <w:bookmarkStart w:id="41" w:name="aceleradores-de-reavaliação"/>
    <w:p>
      <w:pPr>
        <w:pStyle w:val="Heading2"/>
      </w:pPr>
      <w:r>
        <w:t xml:space="preserve">10. Aceleradores de reavaliação</w:t>
      </w:r>
    </w:p>
    <w:p>
      <w:pPr>
        <w:pStyle w:val="FirstParagraph"/>
      </w:pPr>
      <w:r>
        <w:t xml:space="preserve">Reavalia quando a fonte muda, orientação ou jurisprudência se desenvolve, os fatos comerciais mudam, uma nova jurisdição ou produto é introduzido, um contrato muda, limiares são cruzados, um incidente expõe uma suposição, ou um revisor identifica um erro.</w:t>
      </w:r>
    </w:p>
    <w:bookmarkEnd w:id="41"/>
    <w:bookmarkEnd w:id="42"/>
    <w:bookmarkStart w:id="53" w:name="Xa90c4edbb67c14bc1a0d0d8b37a686256053d7b"/>
    <w:p>
      <w:pPr>
        <w:pStyle w:val="Heading1"/>
      </w:pPr>
      <w:r>
        <w:t xml:space="preserve">Propriedade, Implementação, Controles e Evidências</w:t>
      </w:r>
    </w:p>
    <w:bookmarkStart w:id="43" w:name="X41866974abffedf3b85c6f9fcea53ce34c84089"/>
    <w:p>
      <w:pPr>
        <w:pStyle w:val="Heading2"/>
      </w:pPr>
      <w:r>
        <w:t xml:space="preserve">1. Distinguir a responsabilidade pelo desempenho</w:t>
      </w:r>
    </w:p>
    <w:p>
      <w:pPr>
        <w:pStyle w:val="FirstParagraph"/>
      </w:pPr>
      <w:r>
        <w:t xml:space="preserve">O proprietário da obrigação é responsável por satisfazer e monitorar o requisito. Um proprietário de controle pode operar uma ou mais salvaguardas, e equipes de apoio podem executar tarefas. Registre estes papéis separadamente, para que a responsabilidade não seja obscurecida pela implementação compartilhada.</w:t>
      </w:r>
    </w:p>
    <w:bookmarkEnd w:id="43"/>
    <w:bookmarkStart w:id="44" w:name="Xc3f8d96369a5a2b5581b08f84302d0c30c3dc8c"/>
    <w:p>
      <w:pPr>
        <w:pStyle w:val="Heading2"/>
      </w:pPr>
      <w:r>
        <w:t xml:space="preserve">2. Traduzir obrigações em requisitos de implementação</w:t>
      </w:r>
    </w:p>
    <w:p>
      <w:pPr>
        <w:pStyle w:val="FirstParagraph"/>
      </w:pPr>
      <w:r>
        <w:t xml:space="preserve">Para cada obrigação aplicável, documentar a ação específica da organização necessária, incluindo escopo, proprietário, tempo, limite de qualidade, dependências e resultado esperado. A declaração de execução deve ser testável sem substituir a fonte autorizada.</w:t>
      </w:r>
    </w:p>
    <w:bookmarkEnd w:id="44"/>
    <w:bookmarkStart w:id="45" w:name="Xe4a817fb0d2aac38afc44e85edf740ef5da4f87"/>
    <w:p>
      <w:pPr>
        <w:pStyle w:val="Heading2"/>
      </w:pPr>
      <w:r>
        <w:t xml:space="preserve">3. Controlos de ligação sem cobertura excessiva</w:t>
      </w:r>
    </w:p>
    <w:p>
      <w:pPr>
        <w:pStyle w:val="FirstParagraph"/>
      </w:pPr>
      <w:r>
        <w:t xml:space="preserve">Um controlo ligado pode abordar, abordar parcialmente, apoiar ou apenas relacionar-se com uma obrigação. Registre o relacionamento e as limitações. Um controle pode suportar várias obrigações, mas cada relação obrigação-controle requer validação separada.</w:t>
      </w:r>
    </w:p>
    <w:bookmarkEnd w:id="45"/>
    <w:bookmarkStart w:id="46" w:name="preservar-o-âmbito-de-aplicação"/>
    <w:p>
      <w:pPr>
        <w:pStyle w:val="Heading2"/>
      </w:pPr>
      <w:r>
        <w:t xml:space="preserve">4. Preservar o âmbito de aplicação</w:t>
      </w:r>
    </w:p>
    <w:p>
      <w:pPr>
        <w:pStyle w:val="FirstParagraph"/>
      </w:pPr>
      <w:r>
        <w:t xml:space="preserve">Registre a entidade jurídica, unidade de negócio, produto, processo, sistema, ativo, dados, facilidade, fornecedor, população de força de trabalho e jurisdição abrangidos pela implementação. Um controlo que funcione num ambiente não deve ser assumido para cobrir outro.</w:t>
      </w:r>
    </w:p>
    <w:bookmarkEnd w:id="46"/>
    <w:bookmarkStart w:id="47" w:name="define-expectativas-de-evidência"/>
    <w:p>
      <w:pPr>
        <w:pStyle w:val="Heading2"/>
      </w:pPr>
      <w:r>
        <w:t xml:space="preserve">5. Define expectativas de evidência</w:t>
      </w:r>
    </w:p>
    <w:p>
      <w:pPr>
        <w:pStyle w:val="FirstParagraph"/>
      </w:pPr>
      <w:r>
        <w:t xml:space="preserve">Os elementos de prova devem demonstrar o facto relevante para o período e âmbito relevantes. Exemplos incluem políticas aprovadas, configurações do sistema, registros de acesso, logs, registros de treinamento, contratos, avaliações, aprovações, avisos, relatórios, resultados de testes, tickets, registros de reuniões e comunicações retidas.</w:t>
      </w:r>
    </w:p>
    <w:p>
      <w:pPr>
        <w:pStyle w:val="BodyText"/>
      </w:pPr>
      <w:r>
        <w:t xml:space="preserve">Os metadados de evidência devem identificar o proprietário, fonte, período, escopo, repositório, requisito de retenção, restrições de acesso e informações de integridade.</w:t>
      </w:r>
    </w:p>
    <w:bookmarkEnd w:id="47"/>
    <w:bookmarkStart w:id="48" w:name="Xdc7ce44d46c0cf0e85d040fe24d36e49e9a5761"/>
    <w:p>
      <w:pPr>
        <w:pStyle w:val="Heading2"/>
      </w:pPr>
      <w:r>
        <w:t xml:space="preserve">6. Desenho e provas de funcionamento separados</w:t>
      </w:r>
    </w:p>
    <w:p>
      <w:pPr>
        <w:pStyle w:val="FirstParagraph"/>
      </w:pPr>
      <w:r>
        <w:t xml:space="preserve">Evidências de projeto mostram que um controle ou processo é definido adequadamente. Os elementos de prova operacionais mostram que funcionou durante o período necessário. Nenhum deve ser substituído pelo outro quando a obrigação requer ambos.</w:t>
      </w:r>
    </w:p>
    <w:bookmarkEnd w:id="48"/>
    <w:bookmarkStart w:id="49" w:name="gravar-o-estado-precisamente"/>
    <w:p>
      <w:pPr>
        <w:pStyle w:val="Heading2"/>
      </w:pPr>
      <w:r>
        <w:t xml:space="preserve">7. Gravar o estado precisamente</w:t>
      </w:r>
    </w:p>
    <w:p>
      <w:pPr>
        <w:pStyle w:val="FirstParagraph"/>
      </w:pPr>
      <w:r>
        <w:t xml:space="preserve">O status de implementação, o status de conformidade, o status de evidência e o status de garantia são diferentes. Os estados de implementação recomendados incluem não iniciados, planejados, em andamento, implementados, parcialmente implementados, bloqueados, aprovados por exceção e aposentados. As conclusões de conformidade devem exigir uma revisão qualificada e não devem ser automaticamente deduzidas do estatuto de execução.</w:t>
      </w:r>
    </w:p>
    <w:bookmarkEnd w:id="49"/>
    <w:bookmarkStart w:id="50" w:name="gerenciar-lacunas-e-exceções"/>
    <w:p>
      <w:pPr>
        <w:pStyle w:val="Heading2"/>
      </w:pPr>
      <w:r>
        <w:t xml:space="preserve">8. Gerenciar lacunas e exceções</w:t>
      </w:r>
    </w:p>
    <w:p>
      <w:pPr>
        <w:pStyle w:val="FirstParagraph"/>
      </w:pPr>
      <w:r>
        <w:t xml:space="preserve">Um registo de lacunas deve identificar o elemento não cumprido, o âmbito, o risco, a medida provisória, o proprietário, o plano de ação, o prazo, a escalada e a autoridade de aceitação. Uma exceção deve ter uma lógica documentada, medidas compensatórias, aprovação, monitoramento, expiração e gatilhos de reavaliação.</w:t>
      </w:r>
    </w:p>
    <w:bookmarkEnd w:id="50"/>
    <w:bookmarkStart w:id="51" w:name="validar-o-encerramento"/>
    <w:p>
      <w:pPr>
        <w:pStyle w:val="Heading2"/>
      </w:pPr>
      <w:r>
        <w:t xml:space="preserve">9. Validar o encerramento</w:t>
      </w:r>
    </w:p>
    <w:p>
      <w:pPr>
        <w:pStyle w:val="FirstParagraph"/>
      </w:pPr>
      <w:r>
        <w:t xml:space="preserve">O encerramento requer evidência de que a ação necessária foi concluída, os controles aplicáveis foram atualizados, as pessoas afetadas foram informadas ou treinadas, os testes foram realizados quando necessário, o risco residual foi abordado e o aprovador responsável aceitou o resultado.</w:t>
      </w:r>
    </w:p>
    <w:bookmarkEnd w:id="51"/>
    <w:bookmarkStart w:id="52" w:name="limites-dos-relatórios"/>
    <w:p>
      <w:pPr>
        <w:pStyle w:val="Heading2"/>
      </w:pPr>
      <w:r>
        <w:t xml:space="preserve">10. Limites dos relatórios</w:t>
      </w:r>
    </w:p>
    <w:p>
      <w:pPr>
        <w:pStyle w:val="FirstParagraph"/>
      </w:pPr>
      <w:r>
        <w:t xml:space="preserve">Os painéis devem divulgar a moeda de dados, questões de aplicabilidade não resolvidas, revisões tardias, evidências não verificadas, exceções aprovadas e lacunas conhecidas. Uma elevada percentagem de conclusão não estabelece por si só conformidade.</w:t>
      </w:r>
    </w:p>
    <w:bookmarkEnd w:id="52"/>
    <w:bookmarkEnd w:id="53"/>
    <w:bookmarkStart w:id="64" w:name="X24424fdbf03e80252320ac27a53d4d3eb036eff"/>
    <w:p>
      <w:pPr>
        <w:pStyle w:val="Heading1"/>
      </w:pPr>
      <w:r>
        <w:t xml:space="preserve">Pesquisa e Mudança Regulamentar do Horizonte</w:t>
      </w:r>
    </w:p>
    <w:bookmarkStart w:id="54" w:name="definir-o-universo-de-monitorização"/>
    <w:p>
      <w:pPr>
        <w:pStyle w:val="Heading2"/>
      </w:pPr>
      <w:r>
        <w:t xml:space="preserve">1. Definir o universo de monitorização</w:t>
      </w:r>
    </w:p>
    <w:p>
      <w:pPr>
        <w:pStyle w:val="FirstParagraph"/>
      </w:pPr>
      <w:r>
        <w:t xml:space="preserve">A digitalização Horizon deve cobrir as jurisdições, reguladores, legisladores, órgãos de normas, tribunais, canais contratuais, autoridades de licenciamento, programas industriais e gazetas oficiais relevantes para a organização. Documento que as fontes são monitoradas, por quem, quantas vezes, e o que constitui uma mudança relatável.</w:t>
      </w:r>
    </w:p>
    <w:bookmarkEnd w:id="54"/>
    <w:bookmarkStart w:id="55" w:name="priorizar-canais-autoritários"/>
    <w:p>
      <w:pPr>
        <w:pStyle w:val="Heading2"/>
      </w:pPr>
      <w:r>
        <w:t xml:space="preserve">2. Priorizar canais autoritários</w:t>
      </w:r>
    </w:p>
    <w:p>
      <w:pPr>
        <w:pStyle w:val="FirstParagraph"/>
      </w:pPr>
      <w:r>
        <w:t xml:space="preserve">Use publicações oficiais, avisos reguladores, registros legislativos, fontes judiciais ou administrativas, avisos contratuais e registros de padrões-corpo como insumos autorizados. Boletins informativos, alertas de firmas de lei, associações comerciais, fornecedores e mídia podem apoiar a descoberta, mas requerem verificação antes que um registro de mudança controlada seja criado.</w:t>
      </w:r>
    </w:p>
    <w:bookmarkEnd w:id="55"/>
    <w:bookmarkStart w:id="56" w:name="capturar-status-de-mudança"/>
    <w:p>
      <w:pPr>
        <w:pStyle w:val="Heading2"/>
      </w:pPr>
      <w:r>
        <w:t xml:space="preserve">3. Capturar status de mudança</w:t>
      </w:r>
    </w:p>
    <w:p>
      <w:pPr>
        <w:pStyle w:val="FirstParagraph"/>
      </w:pPr>
      <w:r>
        <w:t xml:space="preserve">Distinção:</w:t>
      </w:r>
    </w:p>
    <w:p>
      <w:pPr>
        <w:numPr>
          <w:ilvl w:val="0"/>
          <w:numId w:val="1007"/>
        </w:numPr>
        <w:pStyle w:val="Compact"/>
      </w:pPr>
      <w:r>
        <w:t xml:space="preserve">Consulta ou pedido de comentário;</w:t>
      </w:r>
    </w:p>
    <w:p>
      <w:pPr>
        <w:numPr>
          <w:ilvl w:val="0"/>
          <w:numId w:val="1007"/>
        </w:numPr>
        <w:pStyle w:val="Compact"/>
      </w:pPr>
      <w:r>
        <w:t xml:space="preserve">proposta ou projecto;</w:t>
      </w:r>
    </w:p>
    <w:p>
      <w:pPr>
        <w:numPr>
          <w:ilvl w:val="0"/>
          <w:numId w:val="1007"/>
        </w:numPr>
        <w:pStyle w:val="Compact"/>
      </w:pPr>
      <w:r>
        <w:t xml:space="preserve">As alterações adoptadas ou aprovadas;</w:t>
      </w:r>
    </w:p>
    <w:p>
      <w:pPr>
        <w:numPr>
          <w:ilvl w:val="0"/>
          <w:numId w:val="1007"/>
        </w:numPr>
        <w:pStyle w:val="Compact"/>
      </w:pPr>
      <w:r>
        <w:t xml:space="preserve">Instrumento final publicado;</w:t>
      </w:r>
    </w:p>
    <w:p>
      <w:pPr>
        <w:numPr>
          <w:ilvl w:val="0"/>
          <w:numId w:val="1007"/>
        </w:numPr>
        <w:pStyle w:val="Compact"/>
      </w:pPr>
      <w:r>
        <w:t xml:space="preserve">Requisitos eficazes;</w:t>
      </w:r>
    </w:p>
    <w:p>
      <w:pPr>
        <w:numPr>
          <w:ilvl w:val="0"/>
          <w:numId w:val="1007"/>
        </w:numPr>
        <w:pStyle w:val="Compact"/>
      </w:pPr>
      <w:r>
        <w:t xml:space="preserve">Requisitos faseados ou transitórios;</w:t>
      </w:r>
    </w:p>
    <w:p>
      <w:pPr>
        <w:numPr>
          <w:ilvl w:val="0"/>
          <w:numId w:val="1007"/>
        </w:numPr>
        <w:pStyle w:val="Compact"/>
      </w:pPr>
      <w:r>
        <w:t xml:space="preserve">Orientação ou prioridade de execução;</w:t>
      </w:r>
    </w:p>
    <w:p>
      <w:pPr>
        <w:numPr>
          <w:ilvl w:val="0"/>
          <w:numId w:val="1007"/>
        </w:numPr>
        <w:pStyle w:val="Compact"/>
      </w:pPr>
      <w:r>
        <w:t xml:space="preserve">Retido, atrasado, suspenso, alterado, retirado, substituído ou expirado.</w:t>
      </w:r>
    </w:p>
    <w:p>
      <w:pPr>
        <w:pStyle w:val="FirstParagraph"/>
      </w:pPr>
      <w:r>
        <w:t xml:space="preserve">A proposta não deve ser registada como uma obrigação efectiva.</w:t>
      </w:r>
    </w:p>
    <w:bookmarkEnd w:id="56"/>
    <w:bookmarkStart w:id="57" w:name="preservar-datas-críticas"/>
    <w:p>
      <w:pPr>
        <w:pStyle w:val="Heading2"/>
      </w:pPr>
      <w:r>
        <w:t xml:space="preserve">4. Preservar datas críticas</w:t>
      </w:r>
    </w:p>
    <w:p>
      <w:pPr>
        <w:pStyle w:val="FirstParagraph"/>
      </w:pPr>
      <w:r>
        <w:t xml:space="preserve">Record descoberta, publicação, adoção, eficaz, transição-fim, execução, implementação, e datas de revisão separadamente. Quando as datas variam por provisão, tipo de entidade, limiar, geografia ou produto, criar registros vinculados ou marcos explícitos faseados.</w:t>
      </w:r>
    </w:p>
    <w:bookmarkEnd w:id="57"/>
    <w:bookmarkStart w:id="58" w:name="realizar-a-triagem-inicial"/>
    <w:p>
      <w:pPr>
        <w:pStyle w:val="Heading2"/>
      </w:pPr>
      <w:r>
        <w:t xml:space="preserve">5. Realizar a triagem inicial</w:t>
      </w:r>
    </w:p>
    <w:p>
      <w:pPr>
        <w:pStyle w:val="FirstParagraph"/>
      </w:pPr>
      <w:r>
        <w:t xml:space="preserve">A triagem inicial deve identificar:</w:t>
      </w:r>
    </w:p>
    <w:p>
      <w:pPr>
        <w:numPr>
          <w:ilvl w:val="0"/>
          <w:numId w:val="1008"/>
        </w:numPr>
        <w:pStyle w:val="Compact"/>
      </w:pPr>
      <w:r>
        <w:t xml:space="preserve">Entidades, produtos, serviços, processos, sistemas, dados, pessoas, fornecedores e contratos potencialmente afectados;</w:t>
      </w:r>
    </w:p>
    <w:p>
      <w:pPr>
        <w:numPr>
          <w:ilvl w:val="0"/>
          <w:numId w:val="1008"/>
        </w:numPr>
        <w:pStyle w:val="Compact"/>
      </w:pPr>
      <w:r>
        <w:t xml:space="preserve">aplicabilidade provável;</w:t>
      </w:r>
    </w:p>
    <w:p>
      <w:pPr>
        <w:numPr>
          <w:ilvl w:val="0"/>
          <w:numId w:val="1008"/>
        </w:numPr>
        <w:pStyle w:val="Compact"/>
      </w:pPr>
      <w:r>
        <w:t xml:space="preserve">materialidade e urgência;</w:t>
      </w:r>
    </w:p>
    <w:p>
      <w:pPr>
        <w:numPr>
          <w:ilvl w:val="0"/>
          <w:numId w:val="1008"/>
        </w:numPr>
        <w:pStyle w:val="Compact"/>
      </w:pPr>
      <w:r>
        <w:t xml:space="preserve">Se é necessária uma revisão qualificada;</w:t>
      </w:r>
    </w:p>
    <w:p>
      <w:pPr>
        <w:numPr>
          <w:ilvl w:val="0"/>
          <w:numId w:val="1008"/>
        </w:numPr>
        <w:pStyle w:val="Compact"/>
      </w:pPr>
      <w:r>
        <w:t xml:space="preserve">prazos e incertezas conhecidos;</w:t>
      </w:r>
    </w:p>
    <w:p>
      <w:pPr>
        <w:numPr>
          <w:ilvl w:val="0"/>
          <w:numId w:val="1008"/>
        </w:numPr>
        <w:pStyle w:val="Compact"/>
      </w:pPr>
      <w:r>
        <w:t xml:space="preserve">Medidas imediatas de preservação, comunicação ou risco;</w:t>
      </w:r>
    </w:p>
    <w:p>
      <w:pPr>
        <w:numPr>
          <w:ilvl w:val="0"/>
          <w:numId w:val="1008"/>
        </w:numPr>
        <w:pStyle w:val="Compact"/>
      </w:pPr>
      <w:r>
        <w:t xml:space="preserve">Revisor responsável e proprietário.</w:t>
      </w:r>
    </w:p>
    <w:bookmarkEnd w:id="58"/>
    <w:bookmarkStart w:id="59" w:name="X7da88193cde25363e695d3b6986359d364e73a2"/>
    <w:p>
      <w:pPr>
        <w:pStyle w:val="Heading2"/>
      </w:pPr>
      <w:r>
        <w:t xml:space="preserve">6. Taxa de materialidade e urgência separadamente</w:t>
      </w:r>
    </w:p>
    <w:p>
      <w:pPr>
        <w:pStyle w:val="FirstParagraph"/>
      </w:pPr>
      <w:r>
        <w:t xml:space="preserve">Materialidade reflete potencial significado para exposição legal, clientes, operações, finanças, segurança, privacidade, segurança, licenciamento, reputação ou estratégia. Urgência reflete o tempo disponível para decidir e agir. Uma mudança de alta materialidade pode ter um longo período de transição; um aviso de menor materialidade pode exigir resposta imediata.</w:t>
      </w:r>
    </w:p>
    <w:bookmarkEnd w:id="59"/>
    <w:bookmarkStart w:id="60" w:name="X55bb06b6b87cf38a37bbae481d95e50cde8e8ff"/>
    <w:p>
      <w:pPr>
        <w:pStyle w:val="Heading2"/>
      </w:pPr>
      <w:r>
        <w:t xml:space="preserve">7. Evitar a ingestão duplicada e fragmentada</w:t>
      </w:r>
    </w:p>
    <w:p>
      <w:pPr>
        <w:pStyle w:val="FirstParagraph"/>
      </w:pPr>
      <w:r>
        <w:t xml:space="preserve">Ligar publicações relacionadas, correções, orientações, perguntas frequentes, atos de execução, normas técnicas, avisos de execução e decisões judiciais a um registro de mudança comum, quando apropriado. Preservar cada fonte autoritária mantendo uma história de mudança coerente.</w:t>
      </w:r>
    </w:p>
    <w:bookmarkEnd w:id="60"/>
    <w:bookmarkStart w:id="61" w:name="estabelecer-regras-de-escalada"/>
    <w:p>
      <w:pPr>
        <w:pStyle w:val="Heading2"/>
      </w:pPr>
      <w:r>
        <w:t xml:space="preserve">8. Estabelecer regras de escalada</w:t>
      </w:r>
    </w:p>
    <w:p>
      <w:pPr>
        <w:pStyle w:val="FirstParagraph"/>
      </w:pPr>
      <w:r>
        <w:t xml:space="preserve">Escalar quando uma mudança pode ameaçar uma licença, criar exposição criminal ou civil, exigir a notificação do cliente ou regulador, afetar os direitos fundamentais, alterar materialmente produtos ou contratos, exigir grandes mudanças de tecnologia, conflito entre jurisdições, ou não pode ser implementado antes da data exigida.</w:t>
      </w:r>
    </w:p>
    <w:bookmarkEnd w:id="61"/>
    <w:bookmarkStart w:id="62" w:name="gravar-decisões-negativas"/>
    <w:p>
      <w:pPr>
        <w:pStyle w:val="Heading2"/>
      </w:pPr>
      <w:r>
        <w:t xml:space="preserve">9. Gravar decisões negativas</w:t>
      </w:r>
    </w:p>
    <w:p>
      <w:pPr>
        <w:pStyle w:val="FirstParagraph"/>
      </w:pPr>
      <w:r>
        <w:t xml:space="preserve">Quando uma alteração for determinada não aplicável ou não for material, mantenha os fatos, fundamentos, revisor, aprovação, data e gatilho de reavaliação. Uma decisão negativa encerrada deverá continuar a ser rastreável.</w:t>
      </w:r>
    </w:p>
    <w:bookmarkEnd w:id="62"/>
    <w:bookmarkStart w:id="63" w:name="provas-de-admissão"/>
    <w:p>
      <w:pPr>
        <w:pStyle w:val="Heading2"/>
      </w:pPr>
      <w:r>
        <w:t xml:space="preserve">10. Provas de admissão</w:t>
      </w:r>
    </w:p>
    <w:p>
      <w:pPr>
        <w:pStyle w:val="FirstParagraph"/>
      </w:pPr>
      <w:r>
        <w:t xml:space="preserve">Manter a publicação oficial, registro de descoberta, verificação de fonte, avaliação inicial, atribuição do revisor, decisão, comunicações e links para obrigações afetadas, riscos, controles, projetos e exceções.</w:t>
      </w:r>
    </w:p>
    <w:bookmarkEnd w:id="63"/>
    <w:bookmarkEnd w:id="64"/>
    <w:bookmarkStart w:id="75" w:name="X06bef071374c410a39a125f3268e98c955e4f5e"/>
    <w:p>
      <w:pPr>
        <w:pStyle w:val="Heading1"/>
      </w:pPr>
      <w:r>
        <w:t xml:space="preserve">Avaliação de Impacto, Implementação e Escalação</w:t>
      </w:r>
    </w:p>
    <w:bookmarkStart w:id="65" w:name="Xe63e4c33a0ad47044dae3919fa62e7c0530baf5"/>
    <w:p>
      <w:pPr>
        <w:pStyle w:val="Heading2"/>
      </w:pPr>
      <w:r>
        <w:t xml:space="preserve">1. Converter a ingestão numa decisão controlada</w:t>
      </w:r>
    </w:p>
    <w:p>
      <w:pPr>
        <w:pStyle w:val="FirstParagraph"/>
      </w:pPr>
      <w:r>
        <w:t xml:space="preserve">Uma alteração verificada deve passar por etapas documentadas de aplicabilidade, impacto, decisão, implementação, validação e fechamento. O registro de decisão deve identificar quem decidiu, quais fatos e fontes foram considerados, o que permanece incerto e quando é necessária reavaliação.</w:t>
      </w:r>
    </w:p>
    <w:bookmarkEnd w:id="65"/>
    <w:bookmarkStart w:id="66" w:name="Xcc3de748644ffba7ac183033281de66cd546a9a"/>
    <w:p>
      <w:pPr>
        <w:pStyle w:val="Heading2"/>
      </w:pPr>
      <w:r>
        <w:t xml:space="preserve">2. Avaliar o impacto em todo o modelo operacional</w:t>
      </w:r>
    </w:p>
    <w:p>
      <w:pPr>
        <w:pStyle w:val="FirstParagraph"/>
      </w:pPr>
      <w:r>
        <w:t xml:space="preserve">Avaliar os efeitos potenciais sobre:</w:t>
      </w:r>
    </w:p>
    <w:p>
      <w:pPr>
        <w:numPr>
          <w:ilvl w:val="0"/>
          <w:numId w:val="1009"/>
        </w:numPr>
        <w:pStyle w:val="Compact"/>
      </w:pPr>
      <w:r>
        <w:t xml:space="preserve">Governação, responsabilização e comunicação de informações;</w:t>
      </w:r>
    </w:p>
    <w:p>
      <w:pPr>
        <w:numPr>
          <w:ilvl w:val="0"/>
          <w:numId w:val="1009"/>
        </w:numPr>
        <w:pStyle w:val="Compact"/>
      </w:pPr>
      <w:r>
        <w:t xml:space="preserve">Políticas, normas, procedimentos e registos;</w:t>
      </w:r>
    </w:p>
    <w:p>
      <w:pPr>
        <w:numPr>
          <w:ilvl w:val="0"/>
          <w:numId w:val="1009"/>
        </w:numPr>
        <w:pStyle w:val="Compact"/>
      </w:pPr>
      <w:r>
        <w:t xml:space="preserve">Produtos, serviços, viagens ao cliente e divulgações;</w:t>
      </w:r>
    </w:p>
    <w:p>
      <w:pPr>
        <w:numPr>
          <w:ilvl w:val="0"/>
          <w:numId w:val="1009"/>
        </w:numPr>
        <w:pStyle w:val="Compact"/>
      </w:pPr>
      <w:r>
        <w:t xml:space="preserve">Contratos, contratos e obrigações de fornecedores;</w:t>
      </w:r>
    </w:p>
    <w:p>
      <w:pPr>
        <w:numPr>
          <w:ilvl w:val="0"/>
          <w:numId w:val="1009"/>
        </w:numPr>
        <w:pStyle w:val="Compact"/>
      </w:pPr>
      <w:r>
        <w:t xml:space="preserve">Sistemas, arquitetura, configurações, registros e fluxos de dados;</w:t>
      </w:r>
    </w:p>
    <w:p>
      <w:pPr>
        <w:numPr>
          <w:ilvl w:val="0"/>
          <w:numId w:val="1009"/>
        </w:numPr>
        <w:pStyle w:val="Compact"/>
      </w:pPr>
      <w:r>
        <w:t xml:space="preserve">privacidade, segurança, segurança, acessibilidade e direitos humanos;</w:t>
      </w:r>
    </w:p>
    <w:p>
      <w:pPr>
        <w:numPr>
          <w:ilvl w:val="0"/>
          <w:numId w:val="1009"/>
        </w:numPr>
        <w:pStyle w:val="Compact"/>
      </w:pPr>
      <w:r>
        <w:t xml:space="preserve">funções de mão-de-obra, formação, acompanhamento e condições de trabalho;</w:t>
      </w:r>
    </w:p>
    <w:p>
      <w:pPr>
        <w:numPr>
          <w:ilvl w:val="0"/>
          <w:numId w:val="1009"/>
        </w:numPr>
        <w:pStyle w:val="Compact"/>
      </w:pPr>
      <w:r>
        <w:t xml:space="preserve">Finanças, impostos, seguros, licenças e requisitos de capital;</w:t>
      </w:r>
    </w:p>
    <w:p>
      <w:pPr>
        <w:numPr>
          <w:ilvl w:val="0"/>
          <w:numId w:val="1009"/>
        </w:numPr>
        <w:pStyle w:val="Compact"/>
      </w:pPr>
      <w:r>
        <w:t xml:space="preserve">auditoria, certificação, avaliação e compromisso regulamentar.</w:t>
      </w:r>
    </w:p>
    <w:bookmarkEnd w:id="66"/>
    <w:bookmarkStart w:id="67" w:name="identificar-as-entregas-de-execução"/>
    <w:p>
      <w:pPr>
        <w:pStyle w:val="Heading2"/>
      </w:pPr>
      <w:r>
        <w:t xml:space="preserve">3. Identificar as entregas de execução</w:t>
      </w:r>
    </w:p>
    <w:p>
      <w:pPr>
        <w:pStyle w:val="FirstParagraph"/>
      </w:pPr>
      <w:r>
        <w:t xml:space="preserve">Traduza a mudança para entregas específicas com proprietários, dependências, critérios de aceitação, evidências e prazos. Exemplos incluem políticas revistas, mudanças de configuração, alterações de contrato, anúncios, avaliações de risco, treinamento, novos controles, regras de monitoramento, relatórios, registros ou testes.</w:t>
      </w:r>
    </w:p>
    <w:bookmarkEnd w:id="67"/>
    <w:bookmarkStart w:id="68" w:name="criar-uma-hierarquia-de-prazos"/>
    <w:p>
      <w:pPr>
        <w:pStyle w:val="Heading2"/>
      </w:pPr>
      <w:r>
        <w:t xml:space="preserve">4. Criar uma hierarquia de prazos</w:t>
      </w:r>
    </w:p>
    <w:p>
      <w:pPr>
        <w:pStyle w:val="FirstParagraph"/>
      </w:pPr>
      <w:r>
        <w:t xml:space="preserve">Utilizar a data vinculativa mais antiga, a menos que a revisão qualificada suporte outra interpretação. Distinguir alvo interno data de datas legais ou contratuais. Inclua tempo para projeto, aprovação, aquisição, desenvolvimento, testes, comunicação, treinamento, implantação, coleta de evidências e contingência.</w:t>
      </w:r>
    </w:p>
    <w:bookmarkEnd w:id="68"/>
    <w:bookmarkStart w:id="69" w:name="gerenciar-dependências"/>
    <w:p>
      <w:pPr>
        <w:pStyle w:val="Heading2"/>
      </w:pPr>
      <w:r>
        <w:t xml:space="preserve">5. Gerenciar dependências</w:t>
      </w:r>
    </w:p>
    <w:p>
      <w:pPr>
        <w:pStyle w:val="FirstParagraph"/>
      </w:pPr>
      <w:r>
        <w:t xml:space="preserve">Registre dependências de interpretação legal, orientação reguladora, liberação de tecnologia, fornecedores, orçamento, pessoal, conselhos de trabalho, aprovação de clientes, migração de dados ou outros projetos. Uma dependência não elimina a responsabilização; deve desencadear o acompanhamento e a escalada.</w:t>
      </w:r>
    </w:p>
    <w:bookmarkEnd w:id="69"/>
    <w:bookmarkStart w:id="70" w:name="X15f4cf116247f99b638b56ff50a9971862d1dcb"/>
    <w:p>
      <w:pPr>
        <w:pStyle w:val="Heading2"/>
      </w:pPr>
      <w:r>
        <w:t xml:space="preserve">6. Usar o estado de implementação controlado</w:t>
      </w:r>
    </w:p>
    <w:p>
      <w:pPr>
        <w:pStyle w:val="FirstParagraph"/>
      </w:pPr>
      <w:r>
        <w:t xml:space="preserve">Os estados recomendados incluem não iniciados, análise, aprovado, planejado, em andamento, bloqueados, testes, implementados, validação pendente, fechado, exceção aprovado, e cancelado com lógica.</w:t>
      </w:r>
    </w:p>
    <w:bookmarkEnd w:id="70"/>
    <w:bookmarkStart w:id="71" w:name="a-escalada-ameaça-prazos"/>
    <w:p>
      <w:pPr>
        <w:pStyle w:val="Heading2"/>
      </w:pPr>
      <w:r>
        <w:t xml:space="preserve">7. A escalada ameaça prazos</w:t>
      </w:r>
    </w:p>
    <w:p>
      <w:pPr>
        <w:pStyle w:val="FirstParagraph"/>
      </w:pPr>
      <w:r>
        <w:t xml:space="preserve">Escale quando a organização pode perder uma data vinculativa, quando o escopo ou interpretação não são resolvidos perto do prazo de decisão, quando os recursos necessários não estão disponíveis, quando a implementação cria risco operacional material, ou quando os proprietários responsáveis não aceitam a responsabilidade.</w:t>
      </w:r>
    </w:p>
    <w:bookmarkEnd w:id="71"/>
    <w:bookmarkStart w:id="72" w:name="gerir-medidas-provisórias"/>
    <w:p>
      <w:pPr>
        <w:pStyle w:val="Heading2"/>
      </w:pPr>
      <w:r>
        <w:t xml:space="preserve">8. Gerir medidas provisórias</w:t>
      </w:r>
    </w:p>
    <w:p>
      <w:pPr>
        <w:pStyle w:val="FirstParagraph"/>
      </w:pPr>
      <w:r>
        <w:t xml:space="preserve">Quando a implementação final não puder ser concluída imediatamente, documentar salvaguardas temporárias, limitações, monitoramento, comunicações, risco residual, aprovação e expiração. As medidas provisórias não devem ser rotuladas conformes sem aprovação qualificada.</w:t>
      </w:r>
    </w:p>
    <w:bookmarkEnd w:id="72"/>
    <w:bookmarkStart w:id="73" w:name="validar-a-implementação"/>
    <w:p>
      <w:pPr>
        <w:pStyle w:val="Heading2"/>
      </w:pPr>
      <w:r>
        <w:t xml:space="preserve">9. Validar a implementação</w:t>
      </w:r>
    </w:p>
    <w:p>
      <w:pPr>
        <w:pStyle w:val="FirstParagraph"/>
      </w:pPr>
      <w:r>
        <w:t xml:space="preserve">A validação deverá confirmar a existência de produtos de entrega, a cobertura do âmbito afectado, o funcionamento dos controlos, quando necessário, a conservação dos elementos de prova, a comunicação e a formação, a actualização dos contratos e dos registos e a visibilidade das questões residuais.</w:t>
      </w:r>
    </w:p>
    <w:bookmarkEnd w:id="73"/>
    <w:bookmarkStart w:id="74" w:name="autoridade-de-encerramento"/>
    <w:p>
      <w:pPr>
        <w:pStyle w:val="Heading2"/>
      </w:pPr>
      <w:r>
        <w:t xml:space="preserve">10. Autoridade de encerramento</w:t>
      </w:r>
    </w:p>
    <w:p>
      <w:pPr>
        <w:pStyle w:val="FirstParagraph"/>
      </w:pPr>
      <w:r>
        <w:t xml:space="preserve">O encerramento deverá exigir a aceitação responsável das empresas e o cumprimento adequado, legal, de segurança, privacidade, auditoria ou outra revisão especializada com base na obrigação. Só a conclusão do projecto é insuficiente.</w:t>
      </w:r>
    </w:p>
    <w:bookmarkEnd w:id="74"/>
    <w:bookmarkEnd w:id="75"/>
    <w:bookmarkStart w:id="86" w:name="Xdc20c1ad417555338e2720ddf50b17aa19f1617"/>
    <w:p>
      <w:pPr>
        <w:pStyle w:val="Heading1"/>
      </w:pPr>
      <w:r>
        <w:t xml:space="preserve">Revisão, Supersessão, Aposentadoria e Limites de Garantia</w:t>
      </w:r>
    </w:p>
    <w:bookmarkStart w:id="76" w:name="manter-o-registo-como-registo-controlado"/>
    <w:p>
      <w:pPr>
        <w:pStyle w:val="Heading2"/>
      </w:pPr>
      <w:r>
        <w:t xml:space="preserve">1. Manter o registo como registo controlado</w:t>
      </w:r>
    </w:p>
    <w:p>
      <w:pPr>
        <w:pStyle w:val="FirstParagraph"/>
      </w:pPr>
      <w:r>
        <w:t xml:space="preserve">Obrigações e registos de alterações regulamentares exigem uma revisão periódica e orientada para o evento. Atribuir frequência de revisão com base na volatilidade da fonte, materialidade, jurisdição, mudança de negócio, exposição de execução e confiança na interpretação.</w:t>
      </w:r>
    </w:p>
    <w:bookmarkEnd w:id="76"/>
    <w:bookmarkStart w:id="77" w:name="verificar-o-estado-atual"/>
    <w:p>
      <w:pPr>
        <w:pStyle w:val="Heading2"/>
      </w:pPr>
      <w:r>
        <w:t xml:space="preserve">2. Verificar o estado atual</w:t>
      </w:r>
    </w:p>
    <w:p>
      <w:pPr>
        <w:pStyle w:val="FirstParagraph"/>
      </w:pPr>
      <w:r>
        <w:t xml:space="preserve">Em cada revisão, confirme a fonte oficial, a versão, as alterações, as correções, as datas efetivas, as orientações, as medidas de execução, os desenvolvimentos judiciais ou administrativos e as alterações de execução conhecidas. Grave a data e revisor em vez de sobrescrever o histórico anterior.</w:t>
      </w:r>
    </w:p>
    <w:bookmarkEnd w:id="77"/>
    <w:bookmarkStart w:id="78" w:name="gerenciar-supersessão"/>
    <w:p>
      <w:pPr>
        <w:pStyle w:val="Heading2"/>
      </w:pPr>
      <w:r>
        <w:t xml:space="preserve">3. Gerenciar supersessão</w:t>
      </w:r>
    </w:p>
    <w:p>
      <w:pPr>
        <w:pStyle w:val="FirstParagraph"/>
      </w:pPr>
      <w:r>
        <w:t xml:space="preserve">Quando uma fonte é alterada ou substituída:</w:t>
      </w:r>
    </w:p>
    <w:p>
      <w:pPr>
        <w:numPr>
          <w:ilvl w:val="0"/>
          <w:numId w:val="1010"/>
        </w:numPr>
        <w:pStyle w:val="Compact"/>
      </w:pPr>
      <w:r>
        <w:t xml:space="preserve">Manter o registo prévio e o seu período de eficácia;</w:t>
      </w:r>
    </w:p>
    <w:p>
      <w:pPr>
        <w:numPr>
          <w:ilvl w:val="0"/>
          <w:numId w:val="1010"/>
        </w:numPr>
        <w:pStyle w:val="Compact"/>
      </w:pPr>
      <w:r>
        <w:t xml:space="preserve">Ligar a fonte sucessora e as obrigações afectadas;</w:t>
      </w:r>
    </w:p>
    <w:p>
      <w:pPr>
        <w:numPr>
          <w:ilvl w:val="0"/>
          <w:numId w:val="1010"/>
        </w:numPr>
        <w:pStyle w:val="Compact"/>
      </w:pPr>
      <w:r>
        <w:t xml:space="preserve">Identificar os direitos inalterados, revistos, adicionados e suprimidos;</w:t>
      </w:r>
    </w:p>
    <w:p>
      <w:pPr>
        <w:numPr>
          <w:ilvl w:val="0"/>
          <w:numId w:val="1010"/>
        </w:numPr>
        <w:pStyle w:val="Compact"/>
      </w:pPr>
      <w:r>
        <w:t xml:space="preserve">Reavaliar a aplicabilidade, os controlos, as provas, os contratos e os planos de acção;</w:t>
      </w:r>
    </w:p>
    <w:p>
      <w:pPr>
        <w:numPr>
          <w:ilvl w:val="0"/>
          <w:numId w:val="1010"/>
        </w:numPr>
        <w:pStyle w:val="Compact"/>
      </w:pPr>
      <w:r>
        <w:t xml:space="preserve">evitar o encerramento da obrigação prévia até serem compreendidas as necessidades de transição e retenção.</w:t>
      </w:r>
    </w:p>
    <w:bookmarkEnd w:id="78"/>
    <w:bookmarkStart w:id="79" w:name="aposentar-cuidadosamente-as-obrigações"/>
    <w:p>
      <w:pPr>
        <w:pStyle w:val="Heading2"/>
      </w:pPr>
      <w:r>
        <w:t xml:space="preserve">4. Aposentar cuidadosamente as obrigações</w:t>
      </w:r>
    </w:p>
    <w:p>
      <w:pPr>
        <w:pStyle w:val="FirstParagraph"/>
      </w:pPr>
      <w:r>
        <w:t xml:space="preserve">A aposentadoria pode ser apropriada quando uma fonte expira, é retirada, não se aplica mais à organização, ou é substituída. Documentar a razão, a autoridade, a data efetiva de aposentadoria, os deveres residuais, as obrigações de registro-retenção, investigações abertas ou reivindicações, e aprovação.</w:t>
      </w:r>
    </w:p>
    <w:bookmarkEnd w:id="79"/>
    <w:bookmarkStart w:id="80" w:name="preservar-provas-históricas"/>
    <w:p>
      <w:pPr>
        <w:pStyle w:val="Heading2"/>
      </w:pPr>
      <w:r>
        <w:t xml:space="preserve">5. Preservar provas históricas</w:t>
      </w:r>
    </w:p>
    <w:p>
      <w:pPr>
        <w:pStyle w:val="FirstParagraph"/>
      </w:pPr>
      <w:r>
        <w:t xml:space="preserve">Os registos históricos podem continuar a ser necessários para auditorias, litígios, inquéritos reguladores, litígios contratuais, certificações, investigações de incidentes ou prova de conformidade durante um período anterior. Aplicar controles de retenção e acesso aprovados.</w:t>
      </w:r>
    </w:p>
    <w:bookmarkEnd w:id="80"/>
    <w:bookmarkStart w:id="81" w:name="monitorar-exceções-e-ações-atrasadas"/>
    <w:p>
      <w:pPr>
        <w:pStyle w:val="Heading2"/>
      </w:pPr>
      <w:r>
        <w:t xml:space="preserve">6. Monitorar exceções e ações atrasadas</w:t>
      </w:r>
    </w:p>
    <w:p>
      <w:pPr>
        <w:pStyle w:val="FirstParagraph"/>
      </w:pPr>
      <w:r>
        <w:t xml:space="preserve">Os relatórios devem identificar exceções expiradas, tarefas de implementação atrasadas, decisões de aplicabilidade não revistas, evidências inacabadas, conflitos não resolvidos, proprietários ausentes, aproximação de datas efetivas e mudanças com recursos inadequados.</w:t>
      </w:r>
    </w:p>
    <w:bookmarkEnd w:id="81"/>
    <w:bookmarkStart w:id="82" w:name="realizar-revisão-de-qualidade"/>
    <w:p>
      <w:pPr>
        <w:pStyle w:val="Heading2"/>
      </w:pPr>
      <w:r>
        <w:t xml:space="preserve">7. Realizar revisão de qualidade</w:t>
      </w:r>
    </w:p>
    <w:p>
      <w:pPr>
        <w:pStyle w:val="FirstParagraph"/>
      </w:pPr>
      <w:r>
        <w:t xml:space="preserve">A análise da qualidade deve testar a rastreabilidade da fonte, a exatidão das datas, os registos duplicados, as decisões de aplicabilidade não apoiadas, a propriedade incerta, a ligação de controlo incompleta, as expectativas em falta, as revisões tardias e o encerramento sem aprovação.</w:t>
      </w:r>
    </w:p>
    <w:bookmarkEnd w:id="82"/>
    <w:bookmarkStart w:id="83" w:name="Xd8271cd96a5088d16e17dfe1a13c61eecb8cebf"/>
    <w:p>
      <w:pPr>
        <w:pStyle w:val="Heading2"/>
      </w:pPr>
      <w:r>
        <w:t xml:space="preserve">8. Relatórios de gestão separados da garantia</w:t>
      </w:r>
    </w:p>
    <w:p>
      <w:pPr>
        <w:pStyle w:val="FirstParagraph"/>
      </w:pPr>
      <w:r>
        <w:t xml:space="preserve">Um registo pode apoiar a supervisão da gestão, mas não é uma opinião de auditoria. A validação automatizada pode confirmar a integridade do arquivo, campos necessários, consistência estrutural e certas regras de status. Não pode determinar o significado legal, aplicabilidade, eficácia de implementação ou conformidade.</w:t>
      </w:r>
    </w:p>
    <w:bookmarkEnd w:id="83"/>
    <w:bookmarkStart w:id="84" w:name="divulgar-limitações"/>
    <w:p>
      <w:pPr>
        <w:pStyle w:val="Heading2"/>
      </w:pPr>
      <w:r>
        <w:t xml:space="preserve">9. Divulgar limitações</w:t>
      </w:r>
    </w:p>
    <w:p>
      <w:pPr>
        <w:pStyle w:val="FirstParagraph"/>
      </w:pPr>
      <w:r>
        <w:t xml:space="preserve">Os relatórios devem indicar a data-limite de origem, as jurisdições abrangidas, os domínios excluídos, as interpretações não resolvidas, as traduções assistidas por máquina, as limitações de provas e se ocorreu uma revisão legal ou regulamentar qualificada.</w:t>
      </w:r>
    </w:p>
    <w:bookmarkEnd w:id="84"/>
    <w:bookmarkStart w:id="85" w:name="melhoria-contínua"/>
    <w:p>
      <w:pPr>
        <w:pStyle w:val="Heading2"/>
      </w:pPr>
      <w:r>
        <w:t xml:space="preserve">10. Melhoria contínua</w:t>
      </w:r>
    </w:p>
    <w:p>
      <w:pPr>
        <w:pStyle w:val="FirstParagraph"/>
      </w:pPr>
      <w:r>
        <w:t xml:space="preserve">Use incidentes, resultados de auditoria, feedback do regulador, prazos perdidos, esforço duplicado, registros obsoletos e feedback do usuário para melhorar fontes, fluxos de trabalho, definições de campo, limiares de escalada, treinamento e governança.</w:t>
      </w:r>
    </w:p>
    <w:bookmarkEnd w:id="85"/>
    <w:bookmarkEnd w:id="86"/>
    <w:bookmarkStart w:id="93" w:name="base-de-base-de-governação-autoritária"/>
    <w:p>
      <w:pPr>
        <w:pStyle w:val="Heading1"/>
      </w:pPr>
      <w:r>
        <w:t xml:space="preserve">Base de Base de Governação Autoritária</w:t>
      </w:r>
    </w:p>
    <w:p>
      <w:pPr>
        <w:pStyle w:val="FirstParagraph"/>
      </w:pPr>
      <w:r>
        <w:t xml:space="preserve">Verificado em 1 de agosto de 2026.</w:t>
      </w:r>
    </w:p>
    <w:p>
      <w:pPr>
        <w:pStyle w:val="BodyText"/>
      </w:pPr>
      <w:r>
        <w:t xml:space="preserve">Esta lista apoia a metodologia e demonstra canais de fonte autoritária representativos. Não é um inventário completo de obrigações e não estabelece aplicabilidade.</w:t>
      </w:r>
    </w:p>
    <w:bookmarkStart w:id="87" w:name="X15d0efd35115ef3415da93892b7c288741c8907"/>
    <w:p>
      <w:pPr>
        <w:pStyle w:val="Heading2"/>
      </w:pPr>
      <w:r>
        <w:t xml:space="preserve">Base de referência para a gestão da conformidade</w:t>
      </w:r>
    </w:p>
    <w:p>
      <w:pPr>
        <w:numPr>
          <w:ilvl w:val="0"/>
          <w:numId w:val="1011"/>
        </w:numPr>
        <w:pStyle w:val="Compact"/>
      </w:pPr>
      <w:r>
        <w:t xml:space="preserve">ISO 37301:2021,</w:t>
      </w:r>
      <w:r>
        <w:t xml:space="preserve"> </w:t>
      </w:r>
      <w:r>
        <w:rPr>
          <w:iCs/>
          <w:i/>
        </w:rPr>
        <w:t xml:space="preserve">Sistemas de gestão de conformidade — Requisitos com orientação para utilização</w:t>
      </w:r>
      <w:r>
        <w:t xml:space="preserve"> </w:t>
      </w:r>
      <w:r>
        <w:t xml:space="preserve">— registo oficial ISO: https://www.iso.org/standard/75080.html</w:t>
      </w:r>
    </w:p>
    <w:p>
      <w:pPr>
        <w:pStyle w:val="FirstParagraph"/>
      </w:pPr>
      <w:r>
        <w:t xml:space="preserve">O texto padrão ISO tem direitos autorais. Este kit de ferramentas faz referência ao registro oficial e não reproduz cláusulas proprietárias.</w:t>
      </w:r>
    </w:p>
    <w:bookmarkEnd w:id="87"/>
    <w:bookmarkStart w:id="88" w:name="união-europeia"/>
    <w:p>
      <w:pPr>
        <w:pStyle w:val="Heading2"/>
      </w:pPr>
      <w:r>
        <w:t xml:space="preserve">União Europeia</w:t>
      </w:r>
    </w:p>
    <w:p>
      <w:pPr>
        <w:numPr>
          <w:ilvl w:val="0"/>
          <w:numId w:val="1012"/>
        </w:numPr>
        <w:pStyle w:val="Compact"/>
      </w:pPr>
      <w:r>
        <w:t xml:space="preserve">EUR-Lex Acesso ao Jornal Oficial: https://eur-lex.europa.eu/oj/direct-access.html?locale=en</w:t>
      </w:r>
    </w:p>
    <w:p>
      <w:pPr>
        <w:numPr>
          <w:ilvl w:val="0"/>
          <w:numId w:val="1012"/>
        </w:numPr>
        <w:pStyle w:val="Compact"/>
      </w:pPr>
      <w:r>
        <w:t xml:space="preserve">EUR-Lex Directório da legislação em vigor: https://eur-lex.europa.eu/browse/directories/legislation.html?locale=en</w:t>
      </w:r>
    </w:p>
    <w:p>
      <w:pPr>
        <w:pStyle w:val="FirstParagraph"/>
      </w:pPr>
      <w:r>
        <w:t xml:space="preserve">Para os atos jurídicos da UE, preservar o CELEX ou o identificador oficial de publicação, a referência do Jornal Oficial, o registo linguístico autêntico, as alterações, o estatuto de texto consolidado e as datas aplicáveis. Um texto consolidado apoia a investigação, mas não deve obscurecer os actos de alteração ou o estatuto jurídico.</w:t>
      </w:r>
    </w:p>
    <w:bookmarkEnd w:id="88"/>
    <w:bookmarkStart w:id="89" w:name="estados-unidos"/>
    <w:p>
      <w:pPr>
        <w:pStyle w:val="Heading2"/>
      </w:pPr>
      <w:r>
        <w:t xml:space="preserve">Estados Unidos</w:t>
      </w:r>
    </w:p>
    <w:p>
      <w:pPr>
        <w:numPr>
          <w:ilvl w:val="0"/>
          <w:numId w:val="1013"/>
        </w:numPr>
        <w:pStyle w:val="Compact"/>
      </w:pPr>
      <w:r>
        <w:t xml:space="preserve">Registo Federal: https://www.federalregister.gov/</w:t>
      </w:r>
    </w:p>
    <w:p>
      <w:pPr>
        <w:numPr>
          <w:ilvl w:val="0"/>
          <w:numId w:val="1013"/>
        </w:numPr>
        <w:pStyle w:val="Compact"/>
      </w:pPr>
      <w:r>
        <w:t xml:space="preserve">Código dos Estados Unidos: https://uscode.house.gov/</w:t>
      </w:r>
    </w:p>
    <w:p>
      <w:pPr>
        <w:numPr>
          <w:ilvl w:val="0"/>
          <w:numId w:val="1013"/>
        </w:numPr>
        <w:pStyle w:val="Compact"/>
      </w:pPr>
      <w:r>
        <w:t xml:space="preserve">Código dos regulamentos federais: https://www.ecfr.gov/</w:t>
      </w:r>
    </w:p>
    <w:p>
      <w:pPr>
        <w:numPr>
          <w:ilvl w:val="0"/>
          <w:numId w:val="1013"/>
        </w:numPr>
        <w:pStyle w:val="Compact"/>
      </w:pPr>
      <w:r>
        <w:t xml:space="preserve">Congresso.gov: https://www.congress.gov/</w:t>
      </w:r>
    </w:p>
    <w:p>
      <w:pPr>
        <w:pStyle w:val="FirstParagraph"/>
      </w:pPr>
      <w:r>
        <w:t xml:space="preserve">Distingue regras propostas, regras finais, datas efetivas, datas de conformidade, correções, estadias e orientação da agência. Verificar os requisitos codificados contra o actual canal de publicação oficial ou autorizado.</w:t>
      </w:r>
    </w:p>
    <w:bookmarkEnd w:id="89"/>
    <w:bookmarkStart w:id="90" w:name="colômbia"/>
    <w:p>
      <w:pPr>
        <w:pStyle w:val="Heading2"/>
      </w:pPr>
      <w:r>
        <w:t xml:space="preserve">Colômbia</w:t>
      </w:r>
    </w:p>
    <w:p>
      <w:pPr>
        <w:numPr>
          <w:ilvl w:val="0"/>
          <w:numId w:val="1014"/>
        </w:numPr>
        <w:pStyle w:val="Compact"/>
      </w:pPr>
      <w:r>
        <w:t xml:space="preserve">SUIN-Juriscol, Sistema Único de Informação Normativa: https://www.suin-juriscol.gov.co/</w:t>
      </w:r>
    </w:p>
    <w:p>
      <w:pPr>
        <w:numPr>
          <w:ilvl w:val="0"/>
          <w:numId w:val="1014"/>
        </w:numPr>
        <w:pStyle w:val="Compact"/>
      </w:pPr>
      <w:r>
        <w:t xml:space="preserve">Diario Oficial, Imprenta Nacional de Colombia: https://www.imprenta.gov.co/diario-oficial</w:t>
      </w:r>
    </w:p>
    <w:p>
      <w:pPr>
        <w:pStyle w:val="FirstParagraph"/>
      </w:pPr>
      <w:r>
        <w:t xml:space="preserve">SUIN-Juriscol apoia pesquisa normativa e jurisprudencial e identifica que seus dados publicados são informativos e não substituem textos oficiais. Preservar a referência oficial da publicação e verificar força atual, emendas, concordâncias e efeitos judiciais.</w:t>
      </w:r>
    </w:p>
    <w:bookmarkEnd w:id="90"/>
    <w:bookmarkStart w:id="91" w:name="fontes-específicas-da-organização"/>
    <w:p>
      <w:pPr>
        <w:pStyle w:val="Heading2"/>
      </w:pPr>
      <w:r>
        <w:t xml:space="preserve">Fontes específicas da organização</w:t>
      </w:r>
    </w:p>
    <w:p>
      <w:pPr>
        <w:pStyle w:val="FirstParagraph"/>
      </w:pPr>
      <w:r>
        <w:t xml:space="preserve">As organizações também devem governar canais autoritários para:</w:t>
      </w:r>
    </w:p>
    <w:p>
      <w:pPr>
        <w:numPr>
          <w:ilvl w:val="0"/>
          <w:numId w:val="1015"/>
        </w:numPr>
        <w:pStyle w:val="Compact"/>
      </w:pPr>
      <w:r>
        <w:t xml:space="preserve">Reguladores do setor e autoridades de licenciamento;</w:t>
      </w:r>
    </w:p>
    <w:p>
      <w:pPr>
        <w:numPr>
          <w:ilvl w:val="0"/>
          <w:numId w:val="1015"/>
        </w:numPr>
        <w:pStyle w:val="Compact"/>
      </w:pPr>
      <w:r>
        <w:t xml:space="preserve">Direito estadual, provincial, departamental, municipal e local;</w:t>
      </w:r>
    </w:p>
    <w:p>
      <w:pPr>
        <w:numPr>
          <w:ilvl w:val="0"/>
          <w:numId w:val="1015"/>
        </w:numPr>
        <w:pStyle w:val="Compact"/>
      </w:pPr>
      <w:r>
        <w:t xml:space="preserve">Decisões judiciais e administrativas;</w:t>
      </w:r>
    </w:p>
    <w:p>
      <w:pPr>
        <w:numPr>
          <w:ilvl w:val="0"/>
          <w:numId w:val="1015"/>
        </w:numPr>
        <w:pStyle w:val="Compact"/>
      </w:pPr>
      <w:r>
        <w:t xml:space="preserve">licenças, ordens, licenças, liquidações e compromissos de regulação;</w:t>
      </w:r>
    </w:p>
    <w:p>
      <w:pPr>
        <w:numPr>
          <w:ilvl w:val="0"/>
          <w:numId w:val="1015"/>
        </w:numPr>
        <w:pStyle w:val="Compact"/>
      </w:pPr>
      <w:r>
        <w:t xml:space="preserve">Contratos, obrigações dos clientes e fluxos de fornecedores;</w:t>
      </w:r>
    </w:p>
    <w:p>
      <w:pPr>
        <w:numPr>
          <w:ilvl w:val="0"/>
          <w:numId w:val="1015"/>
        </w:numPr>
        <w:pStyle w:val="Compact"/>
      </w:pPr>
      <w:r>
        <w:t xml:space="preserve">adoção de normas, programas de certificação e esquemas industriais;</w:t>
      </w:r>
    </w:p>
    <w:p>
      <w:pPr>
        <w:numPr>
          <w:ilvl w:val="0"/>
          <w:numId w:val="1015"/>
        </w:numPr>
        <w:pStyle w:val="Compact"/>
      </w:pPr>
      <w:r>
        <w:t xml:space="preserve">Políticas internas e compromissos aprovados pelo Conselho.</w:t>
      </w:r>
    </w:p>
    <w:bookmarkEnd w:id="91"/>
    <w:bookmarkStart w:id="92" w:name="registo-de-verificação-de-origem"/>
    <w:p>
      <w:pPr>
        <w:pStyle w:val="Heading2"/>
      </w:pPr>
      <w:r>
        <w:t xml:space="preserve">Registo de verificação de origem</w:t>
      </w:r>
    </w:p>
    <w:p>
      <w:pPr>
        <w:pStyle w:val="FirstParagraph"/>
      </w:pPr>
      <w:r>
        <w:t xml:space="preserve">Para cada fonte, mantenha o título oficial, identificador, autoridade emissora, jurisdição, localização da fonte, data de versão ou consolidação, status, data de publicação, datas efetivas e de transição, data de acesso, status da língua, restrições de direitos autorais ou licenciamento e revisor.</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Registro de Obrigacoes de Conformidade e Gestao de Mudancas Regulatorias</dc:title>
  <dc:creator>Alberto Al Leiva</dc:creator>
  <dc:language>pt-BR</dc:language>
  <dc:subject>GRC, obligaciones de cumplimiento, cambio regulatorio, gobernanza y evidencia</dc:subject>
  <cp:keywords/>
  <dcterms:created xsi:type="dcterms:W3CDTF">2026-08-01T20:18:35Z</dcterms:created>
  <dcterms:modified xsi:type="dcterms:W3CDTF">2026-08-01T20:18:35Z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rights">
    <vt:lpwstr>CC BY-NC-SA 4.0 salvo que un archivo indique lo contrario</vt:lpwstr>
  </property>
  <property fmtid="{D5CDD505-2E9C-101B-9397-08002B2CF9AE}" pid="4" name="status">
    <vt:lpwstr>Candidato a publicacao com traducao assistida por maquina</vt:lpwstr>
  </property>
</Properties>
</file>