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17 — Implementación Controlada del NIST Privacy Framework</w:t>
      </w:r>
    </w:p>
    <w:p>
      <w:r>
        <w:rPr>
          <w:b/>
        </w:rPr>
        <w:t>Edición controlada es-419</w:t>
      </w:r>
    </w:p>
    <w:p>
      <w:pPr>
        <w:spacing w:after="120"/>
      </w:pPr>
      <w:r>
        <w:t>**Orden de la serie:** 17</w:t>
      </w:r>
    </w:p>
    <w:p>
      <w:pPr>
        <w:spacing w:after="120"/>
      </w:pPr>
      <w:r>
        <w:t>**Línea base estable:** NIST Privacy Framework 1.0</w:t>
      </w:r>
    </w:p>
    <w:p>
      <w:pPr>
        <w:spacing w:after="120"/>
      </w:pPr>
      <w:r>
        <w:t>**Identidad de origen congelada:** `80d8569aeeb57d209293f8fe1423be43efa36cdb`</w:t>
      </w:r>
    </w:p>
    <w:p>
      <w:pPr>
        <w:spacing w:after="120"/>
      </w:pPr>
      <w:r>
        <w:t>**Decisión sobre el estado de la fuente:** PF 1.1 continúa como Borrador Público Inicial / publicación final futura; el material del borrador 1.1 se usa únicamente como inteligencia de cambio no normativa.</w:t>
      </w:r>
    </w:p>
    <w:p>
      <w:pPr>
        <w:spacing w:after="120"/>
      </w:pPr>
      <w:r>
        <w:t>**Estado de publicación:** fuente controlada localizada; aún no renderizada, vinculada por hash, almacenada de forma durable ni publicada.</w:t>
      </w:r>
    </w:p>
    <w:p>
      <w:pPr>
        <w:pStyle w:val="Heading2"/>
      </w:pPr>
      <w:r>
        <w:t>Uso y límites</w:t>
      </w:r>
    </w:p>
    <w:p>
      <w:pPr>
        <w:spacing w:after="120"/>
      </w:pPr>
      <w:r>
        <w:t>Esta es una guía de implementación independiente. No reproduce texto protegido de terceros, no crea derechos de certificación y no convierte la orientación voluntaria de NIST en requisitos legales. Cada organización debe determinar por separado las leyes de privacidad, contratos, requisitos regulatorios, obligaciones sectoriales y deberes jurisdiccionales aplicables.</w:t>
      </w:r>
    </w:p>
    <w:p>
      <w:pPr>
        <w:spacing w:after="120"/>
      </w:pPr>
      <w:r>
        <w:t>El modelo de implementación usa el NIST Privacy Framework 1.0 publicado como línea base determinista y organiza la gobernanza alrededor de las funciones Identify-P, Govern-P, Control-P, Communicate-P y Protect-P, utilizando lenguaje de implementación original.</w:t>
      </w:r>
    </w:p>
    <w:p>
      <w:pPr>
        <w:pStyle w:val="Heading2"/>
      </w:pPr>
      <w:r>
        <w:t>Modelo de evidencia controlada</w:t>
      </w:r>
    </w:p>
    <w:p>
      <w:pPr>
        <w:spacing w:after="120"/>
      </w:pPr>
      <w:r>
        <w:t>Cada control de privacidad implementado debe poder trazarse mediante: autoridad o justificación; responsable; procedimiento repetible; activador/frecuencia; objeto de evidencia; ubicación de la evidencia; método de revisión/prueba; ruta de excepción/remediación; y activador de reevaluación.</w:t>
      </w:r>
    </w:p>
    <w:p>
      <w:pPr>
        <w:spacing w:after="120"/>
      </w:pPr>
      <w:r>
        <w:t>Rutas de implementación:</w:t>
      </w:r>
    </w:p>
    <w:p>
      <w:pPr>
        <w:spacing w:after="120"/>
      </w:pPr>
      <w:r>
        <w:t>- **Esencial:** gobernanza y evidencia mínimas y repetibles.</w:t>
      </w:r>
    </w:p>
    <w:p>
      <w:pPr>
        <w:spacing w:after="120"/>
      </w:pPr>
      <w:r>
        <w:t>- **Estructurada:** modelo operativo multifuncional documentado con métricas, pruebas y escalamiento.</w:t>
      </w:r>
    </w:p>
    <w:p>
      <w:pPr>
        <w:spacing w:after="120"/>
      </w:pPr>
      <w:r>
        <w:t>- **Avanzada:** evidencia automatizada, análisis cuantitativo, monitoreo continuo y aseguramiento integrado.</w:t>
      </w:r>
    </w:p>
    <w:p>
      <w:pPr>
        <w:pStyle w:val="Heading1"/>
      </w:pPr>
      <w:r>
        <w:t>Capítulo 1 — Propósito del Programa de Privacidad y Modelo Operativo</w:t>
      </w:r>
    </w:p>
    <w:p>
      <w:pPr>
        <w:spacing w:after="120"/>
      </w:pPr>
      <w:r>
        <w:t>Definir carta del programa, alcance, derechos de decisión, calendario operativo anual, umbrales de escalamiento e informes de gestión. Responsable: líder ejecutivo de privacidad. Evidencia: carta aprobada, RACI, calendario, registro de decisiones y aprobaciones de gobernanza. Probar anualmente que todas las actividades requeridas tengan responsable, periodicidad, repositorio y ruta de escalamiento. Reevaluar después de cambios regulatorios, organizacionales, tecnológicos, de producto o incidentes relevantes.</w:t>
      </w:r>
    </w:p>
    <w:p>
      <w:pPr>
        <w:pStyle w:val="Heading1"/>
      </w:pPr>
      <w:r>
        <w:t>Capítulo 2 — Contexto Organizacional y Partes Interesadas</w:t>
      </w:r>
    </w:p>
    <w:p>
      <w:pPr>
        <w:spacing w:after="120"/>
      </w:pPr>
      <w:r>
        <w:t>Identificar líneas de negocio, jurisdicciones, personas, reguladores, clientes, población laboral, proveedores, objetivos estratégicos y dependencias que configuran el riesgo de privacidad. Responsable: oficina de privacidad con legal y riesgo empresarial. Evidencia: registro de contexto, inventario de partes interesadas, matriz jurisdiccional y supuestos de riesgo. Revisar anualmente y después de entrada a mercados, adquisiciones, reestructuración, consultas regulatorias o cambios contractuales importantes.</w:t>
      </w:r>
    </w:p>
    <w:p>
      <w:pPr>
        <w:pStyle w:val="Heading1"/>
      </w:pPr>
      <w:r>
        <w:t>Capítulo 3 — Alcance y Límites</w:t>
      </w:r>
    </w:p>
    <w:p>
      <w:pPr>
        <w:spacing w:after="120"/>
      </w:pPr>
      <w:r>
        <w:t>Definir entidades, sistemas, datos, productos, ubicaciones, procesos y terceros cubiertos; documentar exclusiones y dependencias. Responsable: líder de privacidad con arquitectura y responsables de negocio. Evidencia: declaración de alcance, diagramas de límites, registro de exclusiones y mapa de dependencias. Conciliar el alcance con inventarios de activos, proveedores, aplicaciones y tratamientos.</w:t>
      </w:r>
    </w:p>
    <w:p>
      <w:pPr>
        <w:pStyle w:val="Heading1"/>
      </w:pPr>
      <w:r>
        <w:t>Capítulo 4 — Gobernanza y Responsabilidad del Liderazgo</w:t>
      </w:r>
    </w:p>
    <w:p>
      <w:pPr>
        <w:spacing w:after="120"/>
      </w:pPr>
      <w:r>
        <w:t>Establecer política de privacidad, apetito de riesgo, foros de gobernanza, umbrales de reporte, decisiones de recursos, escalamiento y revisión gerencial. Responsable: órgano ejecutivo de gobernanza. Evidencia: estatuto del comité, actas, decisiones, informes de riesgo y aprobaciones de recursos. Verificar que riesgos significativos y acciones vencidas lleguen a la dirección con disposición documentada.</w:t>
      </w:r>
    </w:p>
    <w:p>
      <w:pPr>
        <w:pStyle w:val="Heading1"/>
      </w:pPr>
      <w:r>
        <w:t>Capítulo 5 — Roles, Responsabilidades y Segregación</w:t>
      </w:r>
    </w:p>
    <w:p>
      <w:pPr>
        <w:spacing w:after="120"/>
      </w:pPr>
      <w:r>
        <w:t>Mantener RACI y autoridades delegadas para privacidad, legal, seguridad, ingeniería, producto, gobierno de datos, RR. HH., compras, respuesta a incidentes, auditoría y ejecutivos. Evidencia: declaraciones de responsabilidad del puesto, aprobaciones delegadas y reglas de segregación. Probar decisiones muestreadas para confirmar aprobación autorizada y revisión independiente cuando corresponda.</w:t>
      </w:r>
    </w:p>
    <w:p>
      <w:pPr>
        <w:pStyle w:val="Heading1"/>
      </w:pPr>
      <w:r>
        <w:t>Capítulo 6 — Inventario de Tratamientos y Mapeo de Datos</w:t>
      </w:r>
    </w:p>
    <w:p>
      <w:pPr>
        <w:spacing w:after="120"/>
      </w:pPr>
      <w:r>
        <w:t>Mantener registros actuales de recopilación, generación, uso, intercambio, almacenamiento, transformación, archivo y eliminación de datos personales. Registrar categorías, personas, fines, fuentes, destinatarios, ubicaciones, retención, justificación, clasificación y relaciones con encargados. Evidencia: inventario de tratamientos, flujos de datos, atestaciones de responsables e informes de conciliación. Conciliar continuamente con revisión formal anual.</w:t>
      </w:r>
    </w:p>
    <w:p>
      <w:pPr>
        <w:pStyle w:val="Heading1"/>
      </w:pPr>
      <w:r>
        <w:t>Capítulo 7 — Metodología de Evaluación del Riesgo de Privacidad</w:t>
      </w:r>
    </w:p>
    <w:p>
      <w:pPr>
        <w:spacing w:after="120"/>
      </w:pPr>
      <w:r>
        <w:t>Definir escenarios de riesgo, personas afectadas, acciones problemáticas sobre datos, dimensiones de consecuencia, supuestos de probabilidad, fortaleza de controles, riesgo residual, incertidumbre, autoridad de aceptación y períodos de reevaluación. Evidencia: metodología aprobada, evaluaciones, supuestos y decisiones de riesgo residual. Reejecutar muestras para validar consistencia de puntuación y calidad de evidencia.</w:t>
      </w:r>
    </w:p>
    <w:p>
      <w:pPr>
        <w:pStyle w:val="Heading1"/>
      </w:pPr>
      <w:r>
        <w:t>Capítulo 8 — Evaluación de Impacto y Revisión de Alto Riesgo</w:t>
      </w:r>
    </w:p>
    <w:p>
      <w:pPr>
        <w:spacing w:after="120"/>
      </w:pPr>
      <w:r>
        <w:t>Examinar tratamientos nuevos o modificados para revisión reforzada; documentar propósito, necesidad, flujos, poblaciones, escenarios de riesgo, salvaguardas, alternativas, riesgo residual, aprobaciones y condiciones de monitoreo. Evidencia: registro de cribado, evaluación de impacto, aprobación, condiciones y prueba de implementación. El tratamiento de alto riesgo no aprobado se escala para restricción, rediseño o decisión formal de riesgo.</w:t>
      </w:r>
    </w:p>
    <w:p>
      <w:pPr>
        <w:pStyle w:val="Heading1"/>
      </w:pPr>
      <w:r>
        <w:t>Capítulo 9 — Políticas, Estándares y Procedimientos</w:t>
      </w:r>
    </w:p>
    <w:p>
      <w:pPr>
        <w:spacing w:after="120"/>
      </w:pPr>
      <w:r>
        <w:t>Mantener una jerarquía controlada que vincule política de privacidad con estándares, procedimientos, responsables, aprobaciones, ciclos de revisión y evidencia. Evidencia: biblioteca documental controlada, historial de versiones, aprobaciones, constancias y archivo de retiro. Probar requisitos de política muestreados contra procedimientos operativos y evidencia.</w:t>
      </w:r>
    </w:p>
    <w:p>
      <w:pPr>
        <w:pStyle w:val="Heading1"/>
      </w:pPr>
      <w:r>
        <w:t>Capítulo 10 — Privacidad desde el Diseño e Ingeniería</w:t>
      </w:r>
    </w:p>
    <w:p>
      <w:pPr>
        <w:spacing w:after="120"/>
      </w:pPr>
      <w:r>
        <w:t>Integrar puntos de control de privacidad en arquitectura, producto, software, datos y ciclos de cambio. Evaluar minimización, separación, acceso, retención, transparencia, controles de usuario, telemetría y capacidad de prueba. Evidencia: registro de diseño de privacidad, revisión de arquitectura, análisis de riesgo, decisiones, pruebas y condiciones de aprobación. Reevaluar ante cambios materiales de funcionalidad, integración, modelo o arquitectura.</w:t>
      </w:r>
    </w:p>
    <w:p>
      <w:pPr>
        <w:pStyle w:val="Heading1"/>
      </w:pPr>
      <w:r>
        <w:t>Capítulo 11 — Especificación del Propósito y Limitación de Uso</w:t>
      </w:r>
    </w:p>
    <w:p>
      <w:pPr>
        <w:spacing w:after="120"/>
      </w:pPr>
      <w:r>
        <w:t>Registrar fines de tratamiento aprobados y gobernar usos secundarios materiales. Evidencia: registro de propósitos, aprobaciones de casos de uso, evaluaciones de cambio, registro de decisiones y vínculo con avisos. Comparar uso real de sistemas y analítica con fines aprobados. Los usos no respaldados requieren suspensión, reducción, eliminación o reevaluación.</w:t>
      </w:r>
    </w:p>
    <w:p>
      <w:pPr>
        <w:pStyle w:val="Heading1"/>
      </w:pPr>
      <w:r>
        <w:t>Capítulo 12 — Minimización de Datos y Controles de Recopilación</w:t>
      </w:r>
    </w:p>
    <w:p>
      <w:pPr>
        <w:spacing w:after="120"/>
      </w:pPr>
      <w:r>
        <w:t>Exigir justificación de atributos recopilados, cuestionar campos opcionales, eliminar copias redundantes y usar agregación o desidentificación cuando proceda. Evidencia: justificación de elementos de datos, revisiones de esquema, formularios de recopilación y registros de depuración. Probar sistemas muestreados para detectar campos sin propósito actual o justificación de retención.</w:t>
      </w:r>
    </w:p>
    <w:p>
      <w:pPr>
        <w:pStyle w:val="Heading1"/>
      </w:pPr>
      <w:r>
        <w:t>Capítulo 13 — Consentimiento, Preferencias y Elección Individual</w:t>
      </w:r>
    </w:p>
    <w:p>
      <w:pPr>
        <w:spacing w:after="120"/>
      </w:pPr>
      <w:r>
        <w:t>Cuando se usen mecanismos de consentimiento o preferencia, definir presentación, captura, prueba, retiro, propagación y manejo de excepciones. Evidencia: diseño de consentimiento, registros de preferencias, versiones de lenguaje, registros de propagación y pruebas de retiro. Ejecutar pruebas de extremo a extremo para confirmar que las preferencias modificadas llegan a sistemas posteriores dentro de los niveles de servicio definidos.</w:t>
      </w:r>
    </w:p>
    <w:p>
      <w:pPr>
        <w:pStyle w:val="Heading1"/>
      </w:pPr>
      <w:r>
        <w:t>Capítulo 14 — Transparencia y Comunicaciones de Privacidad</w:t>
      </w:r>
    </w:p>
    <w:p>
      <w:pPr>
        <w:spacing w:after="120"/>
      </w:pPr>
      <w:r>
        <w:t>Mantener avisos de privacidad y comunicaciones internas precisas y apropiadas para la audiencia, alineadas con el tratamiento real. Evidencia: inventario de avisos, mapeo tratamiento-aviso, aprobaciones, historial de versiones, prueba de publicación y revisión de accesibilidad/legibilidad. Corregir rápidamente inexactitudes materiales y evaluar personas y obligaciones afectadas.</w:t>
      </w:r>
    </w:p>
    <w:p>
      <w:pPr>
        <w:pStyle w:val="Heading1"/>
      </w:pPr>
      <w:r>
        <w:t>Capítulo 15 — Operación de Solicitudes de las Personas</w:t>
      </w:r>
    </w:p>
    <w:p>
      <w:pPr>
        <w:spacing w:after="120"/>
      </w:pPr>
      <w:r>
        <w:t>Operar flujos consistentes de recepción, verificación de identidad, enrutamiento, búsqueda, revisión, respuesta, excepción y evidencia para solicitudes de privacidad cuando sean legalmente exigibles o voluntariamente ofrecidas. Evidencia: tickets, registro de verificación, evidencia de búsqueda, paquete de respuesta, aprobación de excepción y métricas SLA. Probar solicitudes muestreadas por integridad, autorización, oportunidad y ejecución posterior.</w:t>
      </w:r>
    </w:p>
    <w:p>
      <w:pPr>
        <w:pStyle w:val="Heading1"/>
      </w:pPr>
      <w:r>
        <w:t>Capítulo 16 — Calidad y Exactitud de Datos</w:t>
      </w:r>
    </w:p>
    <w:p>
      <w:pPr>
        <w:spacing w:after="120"/>
      </w:pPr>
      <w:r>
        <w:t>Definir dónde la exactitud afecta materialmente a personas, decisiones, servicios u obligaciones; establecer procesos de corrección y propagación. Evidencia: reglas de calidad, registros de validación, correcciones y mapeos de fuente autorizada. Revisar inexactitudes recurrentes y causas raíz; reevaluar cuando se introduzcan nuevos usos decisorios o integraciones de datos.</w:t>
      </w:r>
    </w:p>
    <w:p>
      <w:pPr>
        <w:pStyle w:val="Heading1"/>
      </w:pPr>
      <w:r>
        <w:t>Capítulo 17 — Retención, Archivo y Eliminación</w:t>
      </w:r>
    </w:p>
    <w:p>
      <w:pPr>
        <w:spacing w:after="120"/>
      </w:pPr>
      <w:r>
        <w:t>Mantener calendarios de retención vinculados a justificación documentada; implementar archivo y eliminación en producción, respaldo, analítica y terceros cuando sea viable. Evidencia: calendario de retención, configuración de sistemas, registros de eliminación, excepciones y retenciones legales. Probar almacenes de datos muestreados contra períodos aprobados.</w:t>
      </w:r>
    </w:p>
    <w:p>
      <w:pPr>
        <w:pStyle w:val="Heading1"/>
      </w:pPr>
      <w:r>
        <w:t>Capítulo 18 — Identidad, Acceso y Manejo Privilegiado</w:t>
      </w:r>
    </w:p>
    <w:p>
      <w:pPr>
        <w:spacing w:after="120"/>
      </w:pPr>
      <w:r>
        <w:t>Aplicar acceso basado en roles, mínimo privilegio, autenticación, controles de acceso privilegiado, revisión periódica y revocación oportuna a sistemas con datos personales. Evidencia: matrices de acceso, aprobaciones, registros, recertificaciones y sesiones privilegiadas. Probar muestras de altas/cambios/bajas y acceso privilegiado; remediar acceso excesivo.</w:t>
      </w:r>
    </w:p>
    <w:p>
      <w:pPr>
        <w:pStyle w:val="Heading1"/>
      </w:pPr>
      <w:r>
        <w:t>Capítulo 19 — Coordinación entre Seguridad y Privacidad</w:t>
      </w:r>
    </w:p>
    <w:p>
      <w:pPr>
        <w:spacing w:after="120"/>
      </w:pPr>
      <w:r>
        <w:t>Integrar requisitos de privacidad con riesgo de seguridad de la información, vulnerabilidades, registros, monitoreo, cifrado, respuesta a incidentes e ingeniería segura. Evidencia: mapeos conjuntos de controles, registros de riesgo, arquitectura de seguridad, resultados de monitoreo y tickets de remediación. Verificar que los controles de seguridad atiendan escenarios de riesgo de privacidad y no asumir que la seguridad por sí sola resuelve el riesgo de privacidad.</w:t>
      </w:r>
    </w:p>
    <w:p>
      <w:pPr>
        <w:pStyle w:val="Heading1"/>
      </w:pPr>
      <w:r>
        <w:t>Capítulo 20 — Gobernanza de Terceros y Encargados</w:t>
      </w:r>
    </w:p>
    <w:p>
      <w:pPr>
        <w:spacing w:after="120"/>
      </w:pPr>
      <w:r>
        <w:t>Evaluar proveedores y socios antes de la contratación y durante toda la relación. Registrar propósito, alcance de datos, jurisdicción, controles de seguridad/privacidad, obligaciones contractuales, subencargados, incidentes, retención, devolución/eliminación y salida. Evidencia: debida diligencia, contratos, evaluaciones de riesgo, monitoreo, remediación y prueba de desvinculación.</w:t>
      </w:r>
    </w:p>
    <w:p>
      <w:pPr>
        <w:pStyle w:val="Heading1"/>
      </w:pPr>
      <w:r>
        <w:t>Capítulo 21 — Nube y Responsabilidad Compartida</w:t>
      </w:r>
    </w:p>
    <w:p>
      <w:pPr>
        <w:spacing w:after="120"/>
      </w:pPr>
      <w:r>
        <w:t>Documentar responsabilidades de privacidad entre cliente, proveedor cloud, SaaS y subencargados. Mapear ubicaciones de datos, acceso administrativo, responsabilidad de cifrado/claves, registros, retención, eliminación, notificación de incidentes y propiedad de configuración. Evidencia: matriz de responsabilidad compartida, diagramas de arquitectura, atestaciones del proveedor y revisiones de configuración.</w:t>
      </w:r>
    </w:p>
    <w:p>
      <w:pPr>
        <w:pStyle w:val="Heading1"/>
      </w:pPr>
      <w:r>
        <w:t>Capítulo 22 — Movimiento Transfronterizo y Jurisdiccional de Datos</w:t>
      </w:r>
    </w:p>
    <w:p>
      <w:pPr>
        <w:spacing w:after="120"/>
      </w:pPr>
      <w:r>
        <w:t>Mantener visibilidad de almacenamiento, acceso remoto, transferencias, divulgaciones ulteriores y restricciones jurisdiccionales relevantes. Responsable: privacidad/legal con arquitectura y compras. Evidencia: inventario de transferencias, referencias de evaluación legal, mecanismos contractuales cuando apliquen, registros de ubicación y decisiones de aprobación. Reevaluar ante cambios de proveedor, ubicación, ley o modelo de acceso.</w:t>
      </w:r>
    </w:p>
    <w:p>
      <w:pPr>
        <w:pStyle w:val="Heading1"/>
      </w:pPr>
      <w:r>
        <w:t>Capítulo 23 — Interfaz de Incidentes y Brechas</w:t>
      </w:r>
    </w:p>
    <w:p>
      <w:pPr>
        <w:spacing w:after="120"/>
      </w:pPr>
      <w:r>
        <w:t>Integrar privacidad en triage, preservación de evidencia, análisis de impacto, evaluación legal/regulatoria, evaluación del impacto a personas, decisiones de notificación y remediación posterior. Evidencia: registros de incidentes, decisiones, cronologías, evaluaciones de notificación, análisis de causa raíz y acciones correctivas. Ejecutar ejercicios de mesa al menos anualmente.</w:t>
      </w:r>
    </w:p>
    <w:p>
      <w:pPr>
        <w:pStyle w:val="Heading1"/>
      </w:pPr>
      <w:r>
        <w:t>Capítulo 24 — Monitoreo y Efectividad de Controles</w:t>
      </w:r>
    </w:p>
    <w:p>
      <w:pPr>
        <w:spacing w:after="120"/>
      </w:pPr>
      <w:r>
        <w:t>Definir indicadores de operación de controles, tendencias de riesgo, desempeño de solicitudes, incidentes, quejas, excepciones, hallazgos de terceros, inventarios obsoletos y antigüedad de remediación. Evidencia: tableros, informes de excepciones, análisis de tendencias y registros de acciones. Establecer umbrales que activen escalamiento y reevaluación.</w:t>
      </w:r>
    </w:p>
    <w:p>
      <w:pPr>
        <w:pStyle w:val="Heading1"/>
      </w:pPr>
      <w:r>
        <w:t>Capítulo 25 — Métricas de Privacidad e Informes de Gestión</w:t>
      </w:r>
    </w:p>
    <w:p>
      <w:pPr>
        <w:spacing w:after="120"/>
      </w:pPr>
      <w:r>
        <w:t>Usar métricas que apoyen decisiones, no conteos sin utilidad. Definir responsable, fórmula, sistema fuente, frecuencia, umbral, objetivo, audiencia y acción para cada métrica. Evidencia: diccionario de métricas, tableros, conciliaciones de fuentes e informes gerenciales. Validar periódicamente calidad de datos y capacidad de las métricas para impulsar decisiones.</w:t>
      </w:r>
    </w:p>
    <w:p>
      <w:pPr>
        <w:pStyle w:val="Heading1"/>
      </w:pPr>
      <w:r>
        <w:t>Capítulo 26 — Revisión Interna y Aseguramiento</w:t>
      </w:r>
    </w:p>
    <w:p>
      <w:pPr>
        <w:spacing w:after="120"/>
      </w:pPr>
      <w:r>
        <w:t>Planificar revisiones basadas en riesgo sobre gobernanza, inventarios, evaluaciones, ingeniería, solicitudes, retención, proveedores, incidentes y calidad de evidencia. Mantener independencia del revisor proporcional al riesgo. Evidencia: plan de revisión, papeles de trabajo, muestras, hallazgos, respuestas de gestión y validación de cierre. Repetir pruebas después de remediación material.</w:t>
      </w:r>
    </w:p>
    <w:p>
      <w:pPr>
        <w:pStyle w:val="Heading1"/>
      </w:pPr>
      <w:r>
        <w:t>Capítulo 27 — Acción Correctiva y Remediación</w:t>
      </w:r>
    </w:p>
    <w:p>
      <w:pPr>
        <w:spacing w:after="120"/>
      </w:pPr>
      <w:r>
        <w:t>Registrar hallazgos y fallas con severidad, causa raíz, responsable, fecha objetivo, salvaguardas provisionales, evidencia de corrección y validación de cierre. Evidencia: registro de remediación, tickets, resultados de validación y aceptación de riesgo si se extiende el plazo. Escalar elementos de alto riesgo vencidos según umbrales de gobernanza.</w:t>
      </w:r>
    </w:p>
    <w:p>
      <w:pPr>
        <w:pStyle w:val="Heading1"/>
      </w:pPr>
      <w:r>
        <w:t>Capítulo 28 — Excepciones y Aceptación de Riesgo</w:t>
      </w:r>
    </w:p>
    <w:p>
      <w:pPr>
        <w:spacing w:after="120"/>
      </w:pPr>
      <w:r>
        <w:t>Exigir justificación documentada, alcance, riesgo, medidas compensatorias, responsable, aprobador, vencimiento y reevaluación. Evidencia: registro de excepciones, aprobaciones, pruebas de controles compensatorios y alertas de vencimiento. Prohibir excepciones indefinidas o renovadas automáticamente sin reevaluación explícita.</w:t>
      </w:r>
    </w:p>
    <w:p>
      <w:pPr>
        <w:pStyle w:val="Heading1"/>
      </w:pPr>
      <w:r>
        <w:t>Capítulo 29 — Capacitación, Concientización y Competencia por Rol</w:t>
      </w:r>
    </w:p>
    <w:p>
      <w:pPr>
        <w:spacing w:after="120"/>
      </w:pPr>
      <w:r>
        <w:t>Definir concientización básica más capacitación específica para privacidad, legal, ingeniería, producto, RR. HH., compras, seguridad, soporte y ejecutivos. Evidencia: currículos, registros de finalización, evaluaciones, mapeo por rol y remediación por fallas. Revisar contenido después de cambios materiales de política, regulación, tecnología o incidentes.</w:t>
      </w:r>
    </w:p>
    <w:p>
      <w:pPr>
        <w:pStyle w:val="Heading1"/>
      </w:pPr>
      <w:r>
        <w:t>Capítulo 30 — Arquitectura de Evidencia, Rutas de Madurez y Plan de Implementación</w:t>
      </w:r>
    </w:p>
    <w:p>
      <w:pPr>
        <w:spacing w:after="120"/>
      </w:pPr>
      <w:r>
        <w:t>Mantener un repositorio gobernado y un modelo de trazabilidad que conecte decisiones de riesgo, controles, procedimientos, sistemas, responsables, pruebas, hallazgos y remediación. Usar rutas Esencial, Estructurada y Avanzada para secuenciar implementación según riesgo y capacidad. Evidencia: matriz control/evidencia, hoja de ruta, evaluación de madurez, mapa de dependencias y aprobaciones de gestión.</w:t>
      </w:r>
    </w:p>
    <w:p>
      <w:pPr>
        <w:pStyle w:val="Heading1"/>
      </w:pPr>
      <w:r>
        <w:t>Capítulo 31 — Activadores de Cambio y Reevaluación del Framework</w:t>
      </w:r>
    </w:p>
    <w:p>
      <w:pPr>
        <w:spacing w:after="120"/>
      </w:pPr>
      <w:r>
        <w:t>Definir activadores de reevaluación: cambios legales/regulatorios, actualizaciones NIST, incidentes, adquisiciones, nuevas jurisdicciones, nuevos usos de IA/analítica, cambios importantes de proveedor, modelos de negocio y fallas repetidas. Evidencia: registro de vigilancia de cambios, verificación de fuentes, análisis de impacto y decisiones controladas. La publicación final de PF 1.1 requiere conciliación explícita antes de cualquier congelamiento que declare alineación con esa versión.</w:t>
      </w:r>
    </w:p>
    <w:p>
      <w:pPr>
        <w:pStyle w:val="Heading1"/>
      </w:pPr>
      <w:r>
        <w:t>Capítulo 32 — Publicación, Localización, Procedencia y Reevaluación</w:t>
      </w:r>
    </w:p>
    <w:p>
      <w:pPr>
        <w:spacing w:after="120"/>
      </w:pPr>
      <w:r>
        <w:t>Congelar la fuente inglesa controlada solo después de que QA de fuente/copyright/semántica confirme el alcance PF 1.0 y el tratamiento no normativo del borrador PF 1.1. Derivar es-419 y pt-BR únicamente de esa identidad exacta. Exigir paridad estructural y semántica trilingüe, generación DOCX/PDF, QA de renderizado y accesibilidad, vinculación SHA-256, manifiesto de procedencia, controles de seguridad de workflows, almacenamiento durable en main, QA exacta de head, verificación del orden del predecesor y conciliación final de catálogo/registro antes de publicar.</w:t>
      </w:r>
    </w:p>
    <w:p>
      <w:pPr>
        <w:pStyle w:val="Heading2"/>
      </w:pPr>
      <w:r>
        <w:t>Lista final de aceptación de fuente controlada</w:t>
      </w:r>
    </w:p>
    <w:p>
      <w:pPr>
        <w:spacing w:after="120"/>
      </w:pPr>
      <w:r>
        <w:t>Antes de la publicación verificar:</w:t>
      </w:r>
    </w:p>
    <w:p>
      <w:pPr>
        <w:spacing w:after="120"/>
      </w:pPr>
      <w:r>
        <w:t>- presencia y orden de los 32 capítulos;</w:t>
      </w:r>
    </w:p>
    <w:p>
      <w:pPr>
        <w:spacing w:after="120"/>
      </w:pPr>
      <w:r>
        <w:t>- PF 1.0 como línea base estable explícita;</w:t>
      </w:r>
    </w:p>
    <w:p>
      <w:pPr>
        <w:spacing w:after="120"/>
      </w:pPr>
      <w:r>
        <w:t>- ausencia de representación del borrador PF 1.1 como final o vinculante;</w:t>
      </w:r>
    </w:p>
    <w:p>
      <w:pPr>
        <w:spacing w:after="120"/>
      </w:pPr>
      <w:r>
        <w:t>- preservación del carácter voluntario del framework de NIST;</w:t>
      </w:r>
    </w:p>
    <w:p>
      <w:pPr>
        <w:spacing w:after="120"/>
      </w:pPr>
      <w:r>
        <w:t>- diferenciación entre obligaciones legales y orientación del framework;</w:t>
      </w:r>
    </w:p>
    <w:p>
      <w:pPr>
        <w:spacing w:after="120"/>
      </w:pPr>
      <w:r>
        <w:t>- conceptos de operación responsable, evidencia, revisión/prueba, remediación y reevaluación en cada capítulo;</w:t>
      </w:r>
    </w:p>
    <w:p>
      <w:pPr>
        <w:spacing w:after="120"/>
      </w:pPr>
      <w:r>
        <w:t>- ausencia de reproducción de texto protegido de terceros;</w:t>
      </w:r>
    </w:p>
    <w:p>
      <w:pPr>
        <w:spacing w:after="120"/>
      </w:pPr>
      <w:r>
        <w:t>- identidad de origen congelada correcta;</w:t>
      </w:r>
    </w:p>
    <w:p>
      <w:pPr>
        <w:spacing w:after="120"/>
      </w:pPr>
      <w:r>
        <w:t>- estado de publicación bloqueado hasta completar todas las puertas artifact-first.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