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bookmarkStart w:id="33" w:name="logging-and-monitoring-policy-template"/>
    <w:p>
      <w:pPr>
        <w:pStyle w:val="Heading1"/>
      </w:pPr>
      <w:r>
        <w:t xml:space="preserve">Logging and Monitoring Policy Template</w:t>
      </w:r>
    </w:p>
    <w:p>
      <w:pPr>
        <w:pStyle w:val="BlockText"/>
      </w:pPr>
      <w:r>
        <w:t xml:space="preserve">Adapt privacy, workforce monitoring, communications secrecy, privilege, records, investigation, sector, and cross-border requirements before approval.</w:t>
      </w:r>
    </w:p>
    <w:bookmarkStart w:id="20" w:name="document-control"/>
    <w:p>
      <w:pPr>
        <w:pStyle w:val="Heading2"/>
      </w:pPr>
      <w:r>
        <w:t xml:space="preserve">Document control</w:t>
      </w:r>
    </w:p>
    <w:p>
      <w:pPr>
        <w:numPr>
          <w:ilvl w:val="0"/>
          <w:numId w:val="1001"/>
        </w:numPr>
        <w:pStyle w:val="Compact"/>
      </w:pPr>
      <w:r>
        <w:t xml:space="preserve">Policy ID:</w:t>
      </w:r>
      <w:r>
        <w:t xml:space="preserve"> </w:t>
      </w:r>
      <w:r>
        <w:rPr>
          <w:rStyle w:val="VerbatimChar"/>
        </w:rPr>
        <w:t xml:space="preserve">[POLICY ID]</w:t>
      </w:r>
    </w:p>
    <w:p>
      <w:pPr>
        <w:numPr>
          <w:ilvl w:val="0"/>
          <w:numId w:val="1001"/>
        </w:numPr>
        <w:pStyle w:val="Compact"/>
      </w:pPr>
      <w:r>
        <w:t xml:space="preserve">Owner:</w:t>
      </w:r>
      <w:r>
        <w:t xml:space="preserve"> </w:t>
      </w:r>
      <w:r>
        <w:rPr>
          <w:rStyle w:val="VerbatimChar"/>
        </w:rPr>
        <w:t xml:space="preserve">[POLICY OWNER]</w:t>
      </w:r>
    </w:p>
    <w:p>
      <w:pPr>
        <w:numPr>
          <w:ilvl w:val="0"/>
          <w:numId w:val="1001"/>
        </w:numPr>
        <w:pStyle w:val="Compact"/>
      </w:pPr>
      <w:r>
        <w:t xml:space="preserve">Approver:</w:t>
      </w:r>
      <w:r>
        <w:t xml:space="preserve"> </w:t>
      </w:r>
      <w:r>
        <w:rPr>
          <w:rStyle w:val="VerbatimChar"/>
        </w:rPr>
        <w:t xml:space="preserve">[APPROVING AUTHORITY]</w:t>
      </w:r>
    </w:p>
    <w:p>
      <w:pPr>
        <w:numPr>
          <w:ilvl w:val="0"/>
          <w:numId w:val="1001"/>
        </w:numPr>
        <w:pStyle w:val="Compact"/>
      </w:pPr>
      <w:r>
        <w:t xml:space="preserve">Effective date:</w:t>
      </w:r>
      <w:r>
        <w:t xml:space="preserve"> </w:t>
      </w:r>
      <w:r>
        <w:rPr>
          <w:rStyle w:val="VerbatimChar"/>
        </w:rPr>
        <w:t xml:space="preserve">[DATE]</w:t>
      </w:r>
    </w:p>
    <w:p>
      <w:pPr>
        <w:numPr>
          <w:ilvl w:val="0"/>
          <w:numId w:val="1001"/>
        </w:numPr>
        <w:pStyle w:val="Compact"/>
      </w:pPr>
      <w:r>
        <w:t xml:space="preserve">Review date:</w:t>
      </w:r>
      <w:r>
        <w:t xml:space="preserve"> </w:t>
      </w:r>
      <w:r>
        <w:rPr>
          <w:rStyle w:val="VerbatimChar"/>
        </w:rPr>
        <w:t xml:space="preserve">[DATE]</w:t>
      </w:r>
    </w:p>
    <w:bookmarkEnd w:id="20"/>
    <w:bookmarkStart w:id="21" w:name="purpose"/>
    <w:p>
      <w:pPr>
        <w:pStyle w:val="Heading2"/>
      </w:pPr>
      <w:r>
        <w:t xml:space="preserve">1. Purpose</w:t>
      </w:r>
    </w:p>
    <w:p>
      <w:pPr>
        <w:pStyle w:val="FirstParagraph"/>
      </w:pPr>
      <w:r>
        <w:t xml:space="preserve">This policy establishes requirements for generating, collecting, protecting, retaining, reviewing, and using logs and monitoring information to support security, privacy, operations, resilience, investigations, compliance, and accountability.</w:t>
      </w:r>
    </w:p>
    <w:bookmarkEnd w:id="21"/>
    <w:bookmarkStart w:id="22" w:name="scope"/>
    <w:p>
      <w:pPr>
        <w:pStyle w:val="Heading2"/>
      </w:pPr>
      <w:r>
        <w:t xml:space="preserve">2. Scope</w:t>
      </w:r>
    </w:p>
    <w:p>
      <w:pPr>
        <w:pStyle w:val="FirstParagraph"/>
      </w:pPr>
      <w:r>
        <w:t xml:space="preserve">Applies to</w:t>
      </w:r>
      <w:r>
        <w:t xml:space="preserve"> </w:t>
      </w:r>
      <w:r>
        <w:rPr>
          <w:rStyle w:val="VerbatimChar"/>
        </w:rPr>
        <w:t xml:space="preserve">[APPLICATIONS, CLOUD, NETWORKS, ENDPOINTS, IDENTITY, DATABASES, SECURITY TOOLS, OPERATIONAL TECHNOLOGY, FACILITIES, THIRD PARTIES, AND BUSINESS-CRITICAL SERVICES]</w:t>
      </w:r>
      <w:r>
        <w:t xml:space="preserve">.</w:t>
      </w:r>
    </w:p>
    <w:bookmarkEnd w:id="22"/>
    <w:bookmarkStart w:id="23" w:name="logging-requirements"/>
    <w:p>
      <w:pPr>
        <w:pStyle w:val="Heading2"/>
      </w:pPr>
      <w:r>
        <w:t xml:space="preserve">3. Logging requirements</w:t>
      </w:r>
    </w:p>
    <w:p>
      <w:pPr>
        <w:pStyle w:val="FirstParagraph"/>
      </w:pPr>
      <w:r>
        <w:t xml:space="preserve">Owners must define required events based on risk and obligations. Relevant events may include:</w:t>
      </w:r>
    </w:p>
    <w:p>
      <w:pPr>
        <w:numPr>
          <w:ilvl w:val="0"/>
          <w:numId w:val="1002"/>
        </w:numPr>
        <w:pStyle w:val="Compact"/>
      </w:pPr>
      <w:r>
        <w:t xml:space="preserve">authentication and access decisions;</w:t>
      </w:r>
    </w:p>
    <w:p>
      <w:pPr>
        <w:numPr>
          <w:ilvl w:val="0"/>
          <w:numId w:val="1002"/>
        </w:numPr>
        <w:pStyle w:val="Compact"/>
      </w:pPr>
      <w:r>
        <w:t xml:space="preserve">privileged and administrative activity;</w:t>
      </w:r>
    </w:p>
    <w:p>
      <w:pPr>
        <w:numPr>
          <w:ilvl w:val="0"/>
          <w:numId w:val="1002"/>
        </w:numPr>
        <w:pStyle w:val="Compact"/>
      </w:pPr>
      <w:r>
        <w:t xml:space="preserve">account and permission changes;</w:t>
      </w:r>
    </w:p>
    <w:p>
      <w:pPr>
        <w:numPr>
          <w:ilvl w:val="0"/>
          <w:numId w:val="1002"/>
        </w:numPr>
        <w:pStyle w:val="Compact"/>
      </w:pPr>
      <w:r>
        <w:t xml:space="preserve">security-control changes;</w:t>
      </w:r>
    </w:p>
    <w:p>
      <w:pPr>
        <w:numPr>
          <w:ilvl w:val="0"/>
          <w:numId w:val="1002"/>
        </w:numPr>
        <w:pStyle w:val="Compact"/>
      </w:pPr>
      <w:r>
        <w:t xml:space="preserve">configuration and deployment changes;</w:t>
      </w:r>
    </w:p>
    <w:p>
      <w:pPr>
        <w:numPr>
          <w:ilvl w:val="0"/>
          <w:numId w:val="1002"/>
        </w:numPr>
        <w:pStyle w:val="Compact"/>
      </w:pPr>
      <w:r>
        <w:t xml:space="preserve">data access, export, deletion, and high-risk processing;</w:t>
      </w:r>
    </w:p>
    <w:p>
      <w:pPr>
        <w:numPr>
          <w:ilvl w:val="0"/>
          <w:numId w:val="1002"/>
        </w:numPr>
        <w:pStyle w:val="Compact"/>
      </w:pPr>
      <w:r>
        <w:t xml:space="preserve">system, application, network, and service failures;</w:t>
      </w:r>
    </w:p>
    <w:p>
      <w:pPr>
        <w:numPr>
          <w:ilvl w:val="0"/>
          <w:numId w:val="1002"/>
        </w:numPr>
        <w:pStyle w:val="Compact"/>
      </w:pPr>
      <w:r>
        <w:t xml:space="preserve">malware, vulnerability, and threat detections;</w:t>
      </w:r>
    </w:p>
    <w:p>
      <w:pPr>
        <w:numPr>
          <w:ilvl w:val="0"/>
          <w:numId w:val="1002"/>
        </w:numPr>
        <w:pStyle w:val="Compact"/>
      </w:pPr>
      <w:r>
        <w:t xml:space="preserve">incident-response actions;</w:t>
      </w:r>
    </w:p>
    <w:p>
      <w:pPr>
        <w:numPr>
          <w:ilvl w:val="0"/>
          <w:numId w:val="1002"/>
        </w:numPr>
        <w:pStyle w:val="Compact"/>
      </w:pPr>
      <w:r>
        <w:t xml:space="preserve">backup, recovery, and continuity events;</w:t>
      </w:r>
    </w:p>
    <w:p>
      <w:pPr>
        <w:numPr>
          <w:ilvl w:val="0"/>
          <w:numId w:val="1002"/>
        </w:numPr>
        <w:pStyle w:val="Compact"/>
      </w:pPr>
      <w:r>
        <w:t xml:space="preserve">third-party access and significant supplier events.</w:t>
      </w:r>
    </w:p>
    <w:bookmarkEnd w:id="23"/>
    <w:bookmarkStart w:id="24" w:name="log-quality"/>
    <w:p>
      <w:pPr>
        <w:pStyle w:val="Heading2"/>
      </w:pPr>
      <w:r>
        <w:t xml:space="preserve">4. Log quality</w:t>
      </w:r>
    </w:p>
    <w:p>
      <w:pPr>
        <w:pStyle w:val="FirstParagraph"/>
      </w:pPr>
      <w:r>
        <w:t xml:space="preserve">Logs must have sufficient time synchronization, source identity, event detail, integrity, and context to support their intended use. Sensitive data, credentials, secrets, and unnecessary personal information must not be logged unless specifically authorized and protected.</w:t>
      </w:r>
    </w:p>
    <w:bookmarkEnd w:id="24"/>
    <w:bookmarkStart w:id="25" w:name="collection-and-availability"/>
    <w:p>
      <w:pPr>
        <w:pStyle w:val="Heading2"/>
      </w:pPr>
      <w:r>
        <w:t xml:space="preserve">5. Collection and availability</w:t>
      </w:r>
    </w:p>
    <w:p>
      <w:pPr>
        <w:pStyle w:val="FirstParagraph"/>
      </w:pPr>
      <w:r>
        <w:t xml:space="preserve">Critical logs must be transmitted or protected to reduce unauthorized alteration or loss. Monitoring systems must have capacity, availability, access control, backup, and health monitoring proportionate to risk.</w:t>
      </w:r>
    </w:p>
    <w:bookmarkEnd w:id="25"/>
    <w:bookmarkStart w:id="26" w:name="retention"/>
    <w:p>
      <w:pPr>
        <w:pStyle w:val="Heading2"/>
      </w:pPr>
      <w:r>
        <w:t xml:space="preserve">6. Retention</w:t>
      </w:r>
    </w:p>
    <w:p>
      <w:pPr>
        <w:pStyle w:val="FirstParagraph"/>
      </w:pPr>
      <w:r>
        <w:t xml:space="preserve">Retention periods must be defined by</w:t>
      </w:r>
      <w:r>
        <w:t xml:space="preserve"> </w:t>
      </w:r>
      <w:r>
        <w:rPr>
          <w:rStyle w:val="VerbatimChar"/>
        </w:rPr>
        <w:t xml:space="preserve">[RETENTION SCHEDULE]</w:t>
      </w:r>
      <w:r>
        <w:t xml:space="preserve">, considering investigation, operations, contracts, privacy, legal holds, and regulatory duties. Longer retention is not automatically safer and must have documented purpose.</w:t>
      </w:r>
    </w:p>
    <w:bookmarkEnd w:id="26"/>
    <w:bookmarkStart w:id="27" w:name="access-and-confidentiality"/>
    <w:p>
      <w:pPr>
        <w:pStyle w:val="Heading2"/>
      </w:pPr>
      <w:r>
        <w:t xml:space="preserve">7. Access and confidentiality</w:t>
      </w:r>
    </w:p>
    <w:p>
      <w:pPr>
        <w:pStyle w:val="FirstParagraph"/>
      </w:pPr>
      <w:r>
        <w:t xml:space="preserve">Access to logs and monitoring tools must be least-privileged, approved, logged, and periodically reviewed. Investigation and employee-monitoring access require applicable legal, privacy, human-resources, and labor controls.</w:t>
      </w:r>
    </w:p>
    <w:bookmarkEnd w:id="27"/>
    <w:bookmarkStart w:id="28" w:name="monitoring-and-response"/>
    <w:p>
      <w:pPr>
        <w:pStyle w:val="Heading2"/>
      </w:pPr>
      <w:r>
        <w:t xml:space="preserve">8. Monitoring and response</w:t>
      </w:r>
    </w:p>
    <w:p>
      <w:pPr>
        <w:pStyle w:val="FirstParagraph"/>
      </w:pPr>
      <w:r>
        <w:t xml:space="preserve">Use cases, alert thresholds, ownership, severity, escalation, response time, and evidence requirements must be documented. Alerts must be tested and tuned without suppressing material risk.</w:t>
      </w:r>
    </w:p>
    <w:bookmarkEnd w:id="28"/>
    <w:bookmarkStart w:id="29" w:name="third-parties"/>
    <w:p>
      <w:pPr>
        <w:pStyle w:val="Heading2"/>
      </w:pPr>
      <w:r>
        <w:t xml:space="preserve">9. Third parties</w:t>
      </w:r>
    </w:p>
    <w:p>
      <w:pPr>
        <w:pStyle w:val="FirstParagraph"/>
      </w:pPr>
      <w:r>
        <w:t xml:space="preserve">Contracts and integrations should address log availability, notification, access, retention, time synchronization, investigation support, and secure transfer where applicable.</w:t>
      </w:r>
    </w:p>
    <w:bookmarkEnd w:id="29"/>
    <w:bookmarkStart w:id="30" w:name="privacy-and-proportionality"/>
    <w:p>
      <w:pPr>
        <w:pStyle w:val="Heading2"/>
      </w:pPr>
      <w:r>
        <w:t xml:space="preserve">10. Privacy and proportionality</w:t>
      </w:r>
    </w:p>
    <w:p>
      <w:pPr>
        <w:pStyle w:val="FirstParagraph"/>
      </w:pPr>
      <w:r>
        <w:t xml:space="preserve">Monitoring must have a documented purpose, lawful authority, proportional scope, notice where required, access restrictions, retention limits, and review. This policy does not authorize unlawful or indiscriminate surveillance.</w:t>
      </w:r>
    </w:p>
    <w:bookmarkEnd w:id="30"/>
    <w:bookmarkStart w:id="31" w:name="validation-and-metrics"/>
    <w:p>
      <w:pPr>
        <w:pStyle w:val="Heading2"/>
      </w:pPr>
      <w:r>
        <w:t xml:space="preserve">11. Validation and metrics</w:t>
      </w:r>
    </w:p>
    <w:p>
      <w:pPr>
        <w:pStyle w:val="FirstParagraph"/>
      </w:pPr>
      <w:r>
        <w:t xml:space="preserve">Validate source coverage, ingestion, parsing, time accuracy, alert operation, retention, search, access control, and response. Metrics should cover coverage gaps, source failures, alert backlog, false positives, response times, and unreviewed high-risk events.</w:t>
      </w:r>
    </w:p>
    <w:bookmarkEnd w:id="31"/>
    <w:bookmarkStart w:id="32" w:name="exceptions-and-records"/>
    <w:p>
      <w:pPr>
        <w:pStyle w:val="Heading2"/>
      </w:pPr>
      <w:r>
        <w:t xml:space="preserve">12. Exceptions and records</w:t>
      </w:r>
    </w:p>
    <w:p>
      <w:pPr>
        <w:pStyle w:val="FirstParagraph"/>
      </w:pPr>
      <w:r>
        <w:t xml:space="preserve">Exceptions require documented risk, compensating controls, owner, duration, monitoring, and approval by</w:t>
      </w:r>
      <w:r>
        <w:t xml:space="preserve"> </w:t>
      </w:r>
      <w:r>
        <w:rPr>
          <w:rStyle w:val="VerbatimChar"/>
        </w:rPr>
        <w:t xml:space="preserve">[AUTHORITY]</w:t>
      </w:r>
      <w:r>
        <w:t xml:space="preserve">. Retain configuration, use cases, access reviews, tests, alerts, investigations, exceptions, and corrective actions according to approved requirements.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cp:keywords/>
  <dcterms:created xsi:type="dcterms:W3CDTF">2026-08-01T18:43:08Z</dcterms:created>
  <dcterms:modified xsi:type="dcterms:W3CDTF">2026-08-01T18:43:08Z</dcterms:modified>
</cp:coreProperties>
</file>

<file path=docProps/custom.xml><?xml version="1.0" encoding="utf-8"?>
<Properties xmlns="http://schemas.openxmlformats.org/officeDocument/2006/custom-properties" xmlns:vt="http://schemas.openxmlformats.org/officeDocument/2006/docPropsVTypes"/>
</file>