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52 — Ciberseguridad de IA: ciclo de vida seguro, OWASP y MITRE ATLAS</w:t>
      </w:r>
    </w:p>
    <w:p>
      <w:pPr>
        <w:spacing w:after="120"/>
      </w:pPr>
      <w:r>
        <w:t>Fuente controlada de publicación — Español (Latinoamérica)</w:t>
      </w:r>
    </w:p>
    <w:p>
      <w:pPr>
        <w:spacing w:after="120"/>
      </w:pPr>
      <w:r>
        <w:t>Fecha de verificación: 1 de septiembre de 2026</w:t>
      </w:r>
    </w:p>
    <w:p>
      <w:pPr>
        <w:pStyle w:val="Heading2"/>
      </w:pPr>
      <w:r>
        <w:t>Propósito</w:t>
      </w:r>
    </w:p>
    <w:p>
      <w:pPr>
        <w:spacing w:after="120"/>
      </w:pPr>
      <w:r>
        <w:t>Este manual establece un modelo práctico de ciberseguridad para sistemas de IA durante diseño, desarrollo, integración, despliegue, operación, cambio y retiro. Trata la IA generativa, RAG y la IA agéntica como sistemas con límites de confianza, identidades, herramientas, flujos de datos y rutas de ataque específicas.</w:t>
      </w:r>
    </w:p>
    <w:p>
      <w:pPr>
        <w:pStyle w:val="Heading2"/>
      </w:pPr>
      <w:r>
        <w:t>Disciplina de fuentes</w:t>
      </w:r>
    </w:p>
    <w:p>
      <w:pPr>
        <w:spacing w:after="120"/>
      </w:pPr>
      <w:r>
        <w:t>La guía OWASP GenAI y Agentic es orientación comunitaria de seguridad. MITRE ATLAS es una base de conocimiento adversarial viva. NIST AI RMF 1.0 y NIST AI 600-1 son referencias voluntarias de gestión de riesgos. Ninguna se presenta como certificación legal ni como prueba de cumplimiento regulatorio.</w:t>
      </w:r>
    </w:p>
    <w:p>
      <w:pPr>
        <w:pStyle w:val="Heading2"/>
      </w:pPr>
      <w:r>
        <w:t>AC-01 — Inventario de activos y dependencias de IA</w:t>
      </w:r>
    </w:p>
    <w:p>
      <w:pPr>
        <w:spacing w:after="120"/>
      </w:pPr>
      <w:r>
        <w:t>Inventariar modelos, APIs, agentes, almacenes RAG, pipelines, herramientas, identidades, secretos, orquestación, hosting y terceros; registrar propietario, propósito, versión, datos, permisos y estado.</w:t>
      </w:r>
    </w:p>
    <w:p>
      <w:pPr>
        <w:pStyle w:val="Heading2"/>
      </w:pPr>
      <w:r>
        <w:t>AC-02 — Arquitectura de límites de confianza</w:t>
      </w:r>
    </w:p>
    <w:p>
      <w:pPr>
        <w:spacing w:after="120"/>
      </w:pPr>
      <w:r>
        <w:t>Documentar límites entre usuarios, contenido no confiable, prompts, instrucciones del sistema, runtime, RAG, herramientas, agentes, servicios externos y sistemas privilegiados.</w:t>
      </w:r>
    </w:p>
    <w:p>
      <w:pPr>
        <w:pStyle w:val="Heading2"/>
      </w:pPr>
      <w:r>
        <w:t>AC-03 — Inyección de prompt directa e indirecta</w:t>
      </w:r>
    </w:p>
    <w:p>
      <w:pPr>
        <w:spacing w:after="120"/>
      </w:pPr>
      <w:r>
        <w:t>Evitar que contenido no confiable adquiera autoridad de instrucción. Separar política confiable de contenido recuperado, validar llamadas a herramientas, limitar acciones y probar rutas de inyección indirecta.</w:t>
      </w:r>
    </w:p>
    <w:p>
      <w:pPr>
        <w:pStyle w:val="Heading2"/>
      </w:pPr>
      <w:r>
        <w:t>AC-04 — Envenenamiento de RAG/fuentes</w:t>
      </w:r>
    </w:p>
    <w:p>
      <w:pPr>
        <w:spacing w:after="120"/>
      </w:pPr>
      <w:r>
        <w:t>Controlar aprobación, procedencia, ingestión, autorización, integridad, vigencia y recuperación. Probar fuentes envenenadas, no autorizadas, obsoletas y engañosas.</w:t>
      </w:r>
    </w:p>
    <w:p>
      <w:pPr>
        <w:pStyle w:val="Heading2"/>
      </w:pPr>
      <w:r>
        <w:t>AC-05 — Divulgación y exfiltración de datos sensibles</w:t>
      </w:r>
    </w:p>
    <w:p>
      <w:pPr>
        <w:spacing w:after="120"/>
      </w:pPr>
      <w:r>
        <w:t>Proteger prompts, contexto, datos RAG, salidas, registros y respuestas de herramientas con autorización, minimización, filtrado, monitoreo y pruebas de fuga.</w:t>
      </w:r>
    </w:p>
    <w:p>
      <w:pPr>
        <w:pStyle w:val="Heading2"/>
      </w:pPr>
      <w:r>
        <w:t>AC-06 — Manejo inseguro de salidas</w:t>
      </w:r>
    </w:p>
    <w:p>
      <w:pPr>
        <w:spacing w:after="120"/>
      </w:pPr>
      <w:r>
        <w:t>Tratar la salida del modelo como no confiable cuando pase a shells, intérpretes, SQL, plantillas, navegadores, APIs o automatización. Validar, parametrizar, aislar y aprobar operaciones consecuentes.</w:t>
      </w:r>
    </w:p>
    <w:p>
      <w:pPr>
        <w:pStyle w:val="Heading2"/>
      </w:pPr>
      <w:r>
        <w:t>AC-07 — Agencia excesiva y abuso de herramientas</w:t>
      </w:r>
    </w:p>
    <w:p>
      <w:pPr>
        <w:spacing w:after="120"/>
      </w:pPr>
      <w:r>
        <w:t>Limitar herramientas, permisos, transacciones, autonomía y recursos. Exigir aprobación humana cuando corresponda y conservar trazabilidad atribuible.</w:t>
      </w:r>
    </w:p>
    <w:p>
      <w:pPr>
        <w:pStyle w:val="Heading2"/>
      </w:pPr>
      <w:r>
        <w:t>AC-08 — Identidad y delegación de agentes</w:t>
      </w:r>
    </w:p>
    <w:p>
      <w:pPr>
        <w:spacing w:after="120"/>
      </w:pPr>
      <w:r>
        <w:t>Usar identidades atribuibles, credenciales con alcance limitado y límites explícitos de delegación. Revalidar autorización en cada salto entre agentes y herramientas.</w:t>
      </w:r>
    </w:p>
    <w:p>
      <w:pPr>
        <w:pStyle w:val="Heading2"/>
      </w:pPr>
      <w:r>
        <w:t>AC-09 — Seguridad de secretos y credenciales</w:t>
      </w:r>
    </w:p>
    <w:p>
      <w:pPr>
        <w:spacing w:after="120"/>
      </w:pPr>
      <w:r>
        <w:t>Usar gestores de secretos y credenciales de corta duración cuando sea viable, con rotación y revocación rápida. No incrustar secretos duraderos en prompts o memoria.</w:t>
      </w:r>
    </w:p>
    <w:p>
      <w:pPr>
        <w:pStyle w:val="Heading2"/>
      </w:pPr>
      <w:r>
        <w:t>AC-10 — Cadena de suministro de modelo/datos/software</w:t>
      </w:r>
    </w:p>
    <w:p>
      <w:pPr>
        <w:spacing w:after="120"/>
      </w:pPr>
      <w:r>
        <w:t>Rastrear versiones de modelo/proveedor, librerías, contenedores, datasets, plugins, herramientas y dependencias. Aplicar controles de integridad y disparadores de revalidación.</w:t>
      </w:r>
    </w:p>
    <w:p>
      <w:pPr>
        <w:pStyle w:val="Heading2"/>
      </w:pPr>
      <w:r>
        <w:t>AC-11 — Envenenamiento de modelos y datos</w:t>
      </w:r>
    </w:p>
    <w:p>
      <w:pPr>
        <w:spacing w:after="120"/>
      </w:pPr>
      <w:r>
        <w:t>Proteger datos de entrenamiento, ajuste, evaluación y recuperación contra modificación no autorizada o contenido malicioso. Mantener procedencia e integridad.</w:t>
      </w:r>
    </w:p>
    <w:p>
      <w:pPr>
        <w:pStyle w:val="Heading2"/>
      </w:pPr>
      <w:r>
        <w:t>AC-12 — Extracción, robo y abuso del modelo</w:t>
      </w:r>
    </w:p>
    <w:p>
      <w:pPr>
        <w:spacing w:after="120"/>
      </w:pPr>
      <w:r>
        <w:t>Aplicar autenticación, autorización, límites de uso y monitoreo de anomalías según exposición y valor. Detectar scraping, enumeración y sondeo repetido de límites.</w:t>
      </w:r>
    </w:p>
    <w:p>
      <w:pPr>
        <w:pStyle w:val="Heading2"/>
      </w:pPr>
      <w:r>
        <w:t>AC-13 — Agotamiento de recursos / denegación de servicio</w:t>
      </w:r>
    </w:p>
    <w:p>
      <w:pPr>
        <w:spacing w:after="120"/>
      </w:pPr>
      <w:r>
        <w:t>Controlar tokens, cómputo, recursión, llamadas de herramienta, API y transacciones mediante cuotas, timeouts, límites de recursión y circuit breakers.</w:t>
      </w:r>
    </w:p>
    <w:p>
      <w:pPr>
        <w:pStyle w:val="Heading2"/>
      </w:pPr>
      <w:r>
        <w:t>AC-14 — Monitoreo y detección de seguridad</w:t>
      </w:r>
    </w:p>
    <w:p>
      <w:pPr>
        <w:spacing w:after="120"/>
      </w:pPr>
      <w:r>
        <w:t>Recolectar telemetría de autenticación, uso de herramientas, denegaciones de política, prompts/acciones anómalas, eventos RAG, cambios de modelo y acciones de contención.</w:t>
      </w:r>
    </w:p>
    <w:p>
      <w:pPr>
        <w:pStyle w:val="Heading2"/>
      </w:pPr>
      <w:r>
        <w:t>AC-15 — Pruebas adversariales y red teaming</w:t>
      </w:r>
    </w:p>
    <w:p>
      <w:pPr>
        <w:spacing w:after="120"/>
      </w:pPr>
      <w:r>
        <w:t>Probar inyección de prompt, envenenamiento RAG, abuso de herramientas, fuga de datos, escalamiento de privilegios, ejecución insegura, abuso del modelo, manipulación de supply chain y fallas de contención.</w:t>
      </w:r>
    </w:p>
    <w:p>
      <w:pPr>
        <w:pStyle w:val="Heading2"/>
      </w:pPr>
      <w:r>
        <w:t>AC-16 — Gestión de vulnerabilidades y cambios</w:t>
      </w:r>
    </w:p>
    <w:p>
      <w:pPr>
        <w:spacing w:after="120"/>
      </w:pPr>
      <w:r>
        <w:t>Rastrear vulnerabilidades y tratar cambios de modelo, proveedor, herramienta, permiso, política, fuente RAG u orquestación como posibles disparadores de revalidación.</w:t>
      </w:r>
    </w:p>
    <w:p>
      <w:pPr>
        <w:pStyle w:val="Heading2"/>
      </w:pPr>
      <w:r>
        <w:t>AC-17 — Seguridad de terceros de IA</w:t>
      </w:r>
    </w:p>
    <w:p>
      <w:pPr>
        <w:spacing w:after="120"/>
      </w:pPr>
      <w:r>
        <w:t>Evaluar proveedores externos por seguridad, identidad, manejo de datos, notificación de cambios, incidentes, continuidad, subcontratistas y acceso a evidencia.</w:t>
      </w:r>
    </w:p>
    <w:p>
      <w:pPr>
        <w:pStyle w:val="Heading2"/>
      </w:pPr>
      <w:r>
        <w:t>AC-18 — Respuesta a incidentes de IA</w:t>
      </w:r>
    </w:p>
    <w:p>
      <w:pPr>
        <w:spacing w:after="120"/>
      </w:pPr>
      <w:r>
        <w:t>Preservar versión de modelo/proveedor, prompts, contexto, registros RAG/herramienta/agente, identidades, exposición de datos, detecciones y evidencia de contención.</w:t>
      </w:r>
    </w:p>
    <w:p>
      <w:pPr>
        <w:pStyle w:val="Heading2"/>
      </w:pPr>
      <w:r>
        <w:t>AC-19 — Contención, rollback y deshabilitación de emergencia</w:t>
      </w:r>
    </w:p>
    <w:p>
      <w:pPr>
        <w:spacing w:after="120"/>
      </w:pPr>
      <w:r>
        <w:t>Mantener capacidad probada para deshabilitar agentes/herramientas, revocar credenciales, aislar entornos, bloquear endpoints y restaurar configuración segura.</w:t>
      </w:r>
    </w:p>
    <w:p>
      <w:pPr>
        <w:pStyle w:val="Heading2"/>
      </w:pPr>
      <w:r>
        <w:t>AC-20 — Retiro seguro</w:t>
      </w:r>
    </w:p>
    <w:p>
      <w:pPr>
        <w:spacing w:after="120"/>
      </w:pPr>
      <w:r>
        <w:t>Revocar credenciales, eliminar acceso, archivar evidencia requerida, aplicar retención/eliminación, retirar integraciones y actualizar inventario.</w:t>
      </w:r>
    </w:p>
    <w:p>
      <w:pPr>
        <w:pStyle w:val="Heading2"/>
      </w:pPr>
      <w:r>
        <w:t>Escenarios adversariales obligatorios</w:t>
      </w:r>
    </w:p>
    <w:p>
      <w:pPr>
        <w:pStyle w:val="ListNumber"/>
      </w:pPr>
      <w:r>
        <w:t>Inyección indirecta mediante RAG.</w:t>
      </w:r>
    </w:p>
    <w:p>
      <w:pPr>
        <w:pStyle w:val="ListNumber"/>
      </w:pPr>
      <w:r>
        <w:t>Uso de herramientas por agente sobreprivilegiado.</w:t>
      </w:r>
    </w:p>
    <w:p>
      <w:pPr>
        <w:pStyle w:val="ListNumber"/>
      </w:pPr>
      <w:r>
        <w:t>Cambio de versión del modelo por proveedor.</w:t>
      </w:r>
    </w:p>
    <w:p>
      <w:pPr>
        <w:pStyle w:val="ListNumber"/>
      </w:pPr>
      <w:r>
        <w:t>Exfiltración de datos vía RAG.</w:t>
      </w:r>
    </w:p>
    <w:p>
      <w:pPr>
        <w:pStyle w:val="ListNumber"/>
      </w:pPr>
      <w:r>
        <w:t>Ejecución insegura de salida.</w:t>
      </w:r>
    </w:p>
    <w:p>
      <w:pPr>
        <w:pStyle w:val="ListNumber"/>
      </w:pPr>
      <w:r>
        <w:t>Abuso de delegación entre agentes.</w:t>
      </w:r>
    </w:p>
    <w:p>
      <w:pPr>
        <w:pStyle w:val="ListNumber"/>
      </w:pPr>
      <w:r>
        <w:t>Manipulación de modelo o artefacto en supply chain.</w:t>
      </w:r>
    </w:p>
    <w:p>
      <w:pPr>
        <w:pStyle w:val="ListNumber"/>
      </w:pPr>
      <w:r>
        <w:t>Jailbreak combinado con invocación de herramientas.</w:t>
      </w:r>
    </w:p>
    <w:p>
      <w:pPr>
        <w:pStyle w:val="ListNumber"/>
      </w:pPr>
      <w:r>
        <w:t>Envenenamiento de datos de entrenamiento/evaluación.</w:t>
      </w:r>
    </w:p>
    <w:p>
      <w:pPr>
        <w:pStyle w:val="ListNumber"/>
      </w:pPr>
      <w:r>
        <w:t>Respuesta a incidentes con telemetría incompleta.</w:t>
      </w:r>
    </w:p>
    <w:p>
      <w:pPr>
        <w:spacing w:after="120"/>
      </w:pPr>
      <w:r>
        <w:t>Cada escenario debe producir evidencia de prevención, detección, contención, recuperación, revalidación y escalamiento. No se aprueba solo porque el resultado dañino no ocurrió.</w:t>
      </w:r>
    </w:p>
    <w:p>
      <w:pPr>
        <w:pStyle w:val="Heading2"/>
      </w:pPr>
      <w:r>
        <w:t>Registro mínimo de evidencia</w:t>
      </w:r>
    </w:p>
    <w:p>
      <w:pPr>
        <w:pStyle w:val="ListBullet"/>
      </w:pPr>
      <w:r>
        <w:t>AC-E01 inventario de activos y dependencias.</w:t>
      </w:r>
    </w:p>
    <w:p>
      <w:pPr>
        <w:pStyle w:val="ListBullet"/>
      </w:pPr>
      <w:r>
        <w:t>AC-E02 modelo de amenazas y límites de confianza.</w:t>
      </w:r>
    </w:p>
    <w:p>
      <w:pPr>
        <w:pStyle w:val="ListBullet"/>
      </w:pPr>
      <w:r>
        <w:t>AC-E03 paquete de pruebas de prompt/RAG.</w:t>
      </w:r>
    </w:p>
    <w:p>
      <w:pPr>
        <w:pStyle w:val="ListBullet"/>
      </w:pPr>
      <w:r>
        <w:t>AC-E04 diseño de autorización y delegación de agentes.</w:t>
      </w:r>
    </w:p>
    <w:p>
      <w:pPr>
        <w:pStyle w:val="ListBullet"/>
      </w:pPr>
      <w:r>
        <w:t>AC-E05 evaluación de cadena de suministro e integridad.</w:t>
      </w:r>
    </w:p>
    <w:p>
      <w:pPr>
        <w:pStyle w:val="ListBullet"/>
      </w:pPr>
      <w:r>
        <w:t>AC-E06 resultados adversariales/red team.</w:t>
      </w:r>
    </w:p>
    <w:p>
      <w:pPr>
        <w:pStyle w:val="ListBullet"/>
      </w:pPr>
      <w:r>
        <w:t>AC-E07 mapa de telemetría y detección.</w:t>
      </w:r>
    </w:p>
    <w:p>
      <w:pPr>
        <w:pStyle w:val="ListBullet"/>
      </w:pPr>
      <w:r>
        <w:t>AC-E08 paquete de evidencia de incidentes.</w:t>
      </w:r>
    </w:p>
    <w:p>
      <w:pPr>
        <w:pStyle w:val="ListBullet"/>
      </w:pPr>
      <w:r>
        <w:t>AC-E09 registro de cambios y revalidación.</w:t>
      </w:r>
    </w:p>
    <w:p>
      <w:pPr>
        <w:pStyle w:val="ListBullet"/>
      </w:pPr>
      <w:r>
        <w:t>AC-E10 prueba de recuperación y contención.</w:t>
      </w:r>
    </w:p>
    <w:p>
      <w:pPr>
        <w:pStyle w:val="Heading2"/>
      </w:pPr>
      <w:r>
        <w:t>Método de crosswalk</w:t>
      </w:r>
    </w:p>
    <w:p>
      <w:pPr>
        <w:spacing w:after="120"/>
      </w:pPr>
      <w:r>
        <w:t>Cada fila debe registrar control empresarial → relación OWASP → relación MITRE ATLAS cuando aplique → apoyo NIST → evidencia → limitaciones → riesgo residual. Manual 46 aporta la columna vertebral de gobierno de IA; Manual 51 aporta identidad, autonomía, límites de acción, autoridad delegada y responsabilidad humana; Manual 52 agrega modelado adversarial, detección, red teaming, contención técnica y evidencia de incidentes.</w:t>
      </w:r>
    </w:p>
    <w:p>
      <w:pPr>
        <w:pStyle w:val="Heading2"/>
      </w:pPr>
      <w:r>
        <w:t>Regla de liberación</w:t>
      </w:r>
    </w:p>
    <w:p>
      <w:pPr>
        <w:spacing w:after="120"/>
      </w:pPr>
      <w:r>
        <w:t>Un control no se considera efectivo solo porque exista documentación. Se requiere evidencia de implementación, prueba, manejo de excepciones y disposición del riesgo residual. Cambios materiales de fuente o plataforma obligan a reevaluar.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