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48 — Gobernanza de IA de Singapur: MGF, GenAI, AI Verify e IA Agéntica</w:t>
      </w:r>
    </w:p>
    <w:p>
      <w:pPr>
        <w:spacing w:after="120"/>
      </w:pPr>
      <w:r>
        <w:t>**Estado:** DESARROLLO CONTROLADO</w:t>
      </w:r>
    </w:p>
    <w:p>
      <w:pPr>
        <w:spacing w:after="120"/>
      </w:pPr>
      <w:r>
        <w:t>**Idioma:** Español latinoamericano (`es-419`)</w:t>
      </w:r>
    </w:p>
    <w:p>
      <w:pPr>
        <w:spacing w:after="120"/>
      </w:pPr>
      <w:r>
        <w:t>**Línea base de fuentes:** 1 de septiembre de 2026</w:t>
      </w:r>
    </w:p>
    <w:p>
      <w:pPr>
        <w:pStyle w:val="Heading2"/>
      </w:pPr>
      <w:r>
        <w:t>Objetivo</w:t>
      </w:r>
    </w:p>
    <w:p>
      <w:pPr>
        <w:spacing w:after="120"/>
      </w:pPr>
      <w:r>
        <w:t>Convertir el ecosistema práctico de gobernanza de IA de Singapur en un modelo operativo empresarial. El manual distingue claramente entre orientación de gobernanza, herramientas de aseguramiento/pruebas, ejemplos de implementación, trabajos de normalización propuestos y obligaciones jurídicas de otras jurisdicciones. La alineación con un marco no se presenta como certificación ni como cumplimiento jurídico automático.</w:t>
      </w:r>
    </w:p>
    <w:p>
      <w:pPr>
        <w:pStyle w:val="Heading2"/>
      </w:pPr>
      <w:r>
        <w:t>Módulo 1 — Ecosistema de gobernanza de IA de Singapur</w:t>
      </w:r>
    </w:p>
    <w:p>
      <w:pPr>
        <w:spacing w:after="120"/>
      </w:pPr>
      <w:r>
        <w:t>Distinguir las funciones del Model AI Governance Framework, el marco para IA generativa, AI Verify y el Model AI Governance Framework for Agentic AI. Para cada fuente registrar versión/fecha, estado, propósito y limitaciones.</w:t>
      </w:r>
    </w:p>
    <w:p>
      <w:pPr>
        <w:spacing w:after="120"/>
      </w:pPr>
      <w:r>
        <w:t>**Evidencia:** inventario de marcos, registro de fuentes/versiones, nota de aplicabilidad y declaración de no equivalencia.</w:t>
      </w:r>
    </w:p>
    <w:p>
      <w:pPr>
        <w:pStyle w:val="Heading2"/>
      </w:pPr>
      <w:r>
        <w:t>Módulo 2 — Gobernanza organizacional y responsabilidad</w:t>
      </w:r>
    </w:p>
    <w:p>
      <w:pPr>
        <w:spacing w:after="120"/>
      </w:pPr>
      <w:r>
        <w:t>Establecer estructura de gobierno, responsable ejecutivo, propietario del sistema, propietarios de controles, inventario de IA, criterios de riesgo y autoridades de decisión.</w:t>
      </w:r>
    </w:p>
    <w:p>
      <w:pPr>
        <w:spacing w:after="120"/>
      </w:pPr>
      <w:r>
        <w:t>**Evidencia:** carta de gobernanza, RACI, política de IA, inventario de sistemas, decisiones y excepciones.</w:t>
      </w:r>
    </w:p>
    <w:p>
      <w:pPr>
        <w:pStyle w:val="Heading2"/>
      </w:pPr>
      <w:r>
        <w:t>Módulo 3 — Participación humana significativa</w:t>
      </w:r>
    </w:p>
    <w:p>
      <w:pPr>
        <w:spacing w:after="120"/>
      </w:pPr>
      <w:r>
        <w:t>La participación humana debe corresponder al impacto y permitir intervención real. Evaluar autoridad, competencia, información disponible, tiempo de intervención y riesgo de sesgo de automatización.</w:t>
      </w:r>
    </w:p>
    <w:p>
      <w:pPr>
        <w:spacing w:after="120"/>
      </w:pPr>
      <w:r>
        <w:t>**Evidencia:** matriz de derechos de decisión, umbrales de aprobación, registros de anulación/rechazo y capacitación del revisor.</w:t>
      </w:r>
    </w:p>
    <w:p>
      <w:pPr>
        <w:pStyle w:val="Heading2"/>
      </w:pPr>
      <w:r>
        <w:t>Módulo 4 — Gestión operativa durante el ciclo de vida</w:t>
      </w:r>
    </w:p>
    <w:p>
      <w:pPr>
        <w:spacing w:after="120"/>
      </w:pPr>
      <w:r>
        <w:t>Controlar datos, validación, robustez, monitoreo, cambios, incidentes y retiro. Definir criterios de aceptación, disparadores de revalidación y capacidad de recuperación.</w:t>
      </w:r>
    </w:p>
    <w:p>
      <w:pPr>
        <w:spacing w:after="120"/>
      </w:pPr>
      <w:r>
        <w:t>**Evidencia:** plan de ciclo de vida, linaje/calidad de datos, informes de prueba, monitoreo, cambios e incidentes.</w:t>
      </w:r>
    </w:p>
    <w:p>
      <w:pPr>
        <w:pStyle w:val="Heading2"/>
      </w:pPr>
      <w:r>
        <w:t>Módulo 5 — Interacción y comunicación con partes interesadas</w:t>
      </w:r>
    </w:p>
    <w:p>
      <w:pPr>
        <w:spacing w:after="120"/>
      </w:pPr>
      <w:r>
        <w:t>Comunicar el uso de IA, su función y sus limitaciones de forma comprensible. Mantener canales de retroalimentación cuando correspondan y evitar afirmaciones que excedan la evidencia.</w:t>
      </w:r>
    </w:p>
    <w:p>
      <w:pPr>
        <w:pStyle w:val="Heading2"/>
      </w:pPr>
      <w:r>
        <w:t>Módulo 6 — Gobernanza de IA generativa</w:t>
      </w:r>
    </w:p>
    <w:p>
      <w:pPr>
        <w:spacing w:after="120"/>
      </w:pPr>
      <w:r>
        <w:t>Aplicar controles a datos, prompts, RAG, modelos/proveedores, seguridad, privacidad, procedencia de contenido, pruebas y monitoreo. Evaluar alucinación/confabulación, fuga de datos, contenido dañino, robustez y cambios del proveedor.</w:t>
      </w:r>
    </w:p>
    <w:p>
      <w:pPr>
        <w:spacing w:after="120"/>
      </w:pPr>
      <w:r>
        <w:t>**Preguntas clave:**</w:t>
      </w:r>
    </w:p>
    <w:p>
      <w:pPr>
        <w:pStyle w:val="ListBullet"/>
      </w:pPr>
      <w:r>
        <w:t>¿Qué fuentes pueden entrar al sistema?</w:t>
      </w:r>
    </w:p>
    <w:p>
      <w:pPr>
        <w:pStyle w:val="ListBullet"/>
      </w:pPr>
      <w:r>
        <w:t>¿Cómo se restringen datos sensibles?</w:t>
      </w:r>
    </w:p>
    <w:p>
      <w:pPr>
        <w:pStyle w:val="ListBullet"/>
      </w:pPr>
      <w:r>
        <w:t>¿Qué conjunto de evaluación demuestra rendimiento aceptable?</w:t>
      </w:r>
    </w:p>
    <w:p>
      <w:pPr>
        <w:pStyle w:val="ListBullet"/>
      </w:pPr>
      <w:r>
        <w:t>¿Cómo se detectan cambios de modelo/proveedor?</w:t>
      </w:r>
    </w:p>
    <w:p>
      <w:pPr>
        <w:pStyle w:val="ListBullet"/>
      </w:pPr>
      <w:r>
        <w:t>¿Qué información de salida requiere transparencia o calificación?</w:t>
      </w:r>
    </w:p>
    <w:p>
      <w:pPr>
        <w:pStyle w:val="Heading2"/>
      </w:pPr>
      <w:r>
        <w:t>Módulo 7 — AI Verify y aseguramiento</w:t>
      </w:r>
    </w:p>
    <w:p>
      <w:pPr>
        <w:spacing w:after="120"/>
      </w:pPr>
      <w:r>
        <w:t>AI Verify se utiliza como mecanismo de pruebas y aseguramiento. No debe interpretarse como prueba universal de seguridad, ausencia de sesgo, cumplimiento jurídico o certificación.</w:t>
      </w:r>
    </w:p>
    <w:p>
      <w:pPr>
        <w:spacing w:after="120"/>
      </w:pPr>
      <w:r>
        <w:t>**Flujo:** definir afirmaciones → seleccionar comprobaciones/pruebas → registrar condiciones y limitaciones → ejecutar → analizar fallas → remediar → volver a probar después de cambios materiales.</w:t>
      </w:r>
    </w:p>
    <w:p>
      <w:pPr>
        <w:pStyle w:val="Heading2"/>
      </w:pPr>
      <w:r>
        <w:t>Módulo 8 — IA agéntica: evaluar y limitar riesgos</w:t>
      </w:r>
    </w:p>
    <w:p>
      <w:pPr>
        <w:spacing w:after="120"/>
      </w:pPr>
      <w:r>
        <w:t>Registrar propósito, autonomía, herramientas/APIs, datos, acciones, comunicaciones externas, ejecución de código, transacciones, sistemas externos, interacciones multiagente y reversibilidad.</w:t>
      </w:r>
    </w:p>
    <w:p>
      <w:pPr>
        <w:spacing w:after="120"/>
      </w:pPr>
      <w:r>
        <w:t>**Controles:** identidad separada, mínimo privilegio, allowlists/denylists, límites de transacción/volumen, segmentación y estado seguro ante incertidumbre.</w:t>
      </w:r>
    </w:p>
    <w:p>
      <w:pPr>
        <w:pStyle w:val="Heading2"/>
      </w:pPr>
      <w:r>
        <w:t>Módulo 9 — IA agéntica: responsabilidad humana</w:t>
      </w:r>
    </w:p>
    <w:p>
      <w:pPr>
        <w:spacing w:after="120"/>
      </w:pPr>
      <w:r>
        <w:t>Definir puntos de control humanos significativos antes de acciones de alto impacto o irreversibles, por ejemplo: paso a producción, nueva herramienta privilegiada, pago, cambio de configuración crítica, eliminación irreversible o excepción de seguridad.</w:t>
      </w:r>
    </w:p>
    <w:p>
      <w:pPr>
        <w:spacing w:after="120"/>
      </w:pPr>
      <w:r>
        <w:t>**Evidencia:** catálogo de puntos de aprobación, identidad del aprobador, contexto, hora, decisiones rechazadas y escalamiento.</w:t>
      </w:r>
    </w:p>
    <w:p>
      <w:pPr>
        <w:pStyle w:val="Heading2"/>
      </w:pPr>
      <w:r>
        <w:t>Módulo 10 — Controles técnicos y de proceso para agentes</w:t>
      </w:r>
    </w:p>
    <w:p>
      <w:pPr>
        <w:pStyle w:val="ListBullet"/>
      </w:pPr>
      <w:r>
        <w:t>identidad autenticada del agente/servicio;</w:t>
      </w:r>
    </w:p>
    <w:p>
      <w:pPr>
        <w:pStyle w:val="ListBullet"/>
      </w:pPr>
      <w:r>
        <w:t>mínimo privilegio y credenciales limitadas;</w:t>
      </w:r>
    </w:p>
    <w:p>
      <w:pPr>
        <w:pStyle w:val="ListBullet"/>
      </w:pPr>
      <w:r>
        <w:t>herramientas/APIs autorizadas explícitamente;</w:t>
      </w:r>
    </w:p>
    <w:p>
      <w:pPr>
        <w:pStyle w:val="ListBullet"/>
      </w:pPr>
      <w:r>
        <w:t>validación de entradas, salidas y acciones;</w:t>
      </w:r>
    </w:p>
    <w:p>
      <w:pPr>
        <w:pStyle w:val="ListBullet"/>
      </w:pPr>
      <w:r>
        <w:t>protección de límites prompt/herramienta/datos;</w:t>
      </w:r>
    </w:p>
    <w:p>
      <w:pPr>
        <w:pStyle w:val="ListBullet"/>
      </w:pPr>
      <w:r>
        <w:t>aislamiento o sandbox cuando corresponda;</w:t>
      </w:r>
    </w:p>
    <w:p>
      <w:pPr>
        <w:pStyle w:val="ListBullet"/>
      </w:pPr>
      <w:r>
        <w:t>registro completo y procedencia de acciones;</w:t>
      </w:r>
    </w:p>
    <w:p>
      <w:pPr>
        <w:pStyle w:val="ListBullet"/>
      </w:pPr>
      <w:r>
        <w:t>monitoreo de anomalías;</w:t>
      </w:r>
    </w:p>
    <w:p>
      <w:pPr>
        <w:pStyle w:val="ListBullet"/>
      </w:pPr>
      <w:r>
        <w:t>límites de tasa/recursos;</w:t>
      </w:r>
    </w:p>
    <w:p>
      <w:pPr>
        <w:pStyle w:val="ListBullet"/>
      </w:pPr>
      <w:r>
        <w:t>mecanismo de parada y contención;</w:t>
      </w:r>
    </w:p>
    <w:p>
      <w:pPr>
        <w:pStyle w:val="ListBullet"/>
      </w:pPr>
      <w:r>
        <w:t>inventario de dependencias;</w:t>
      </w:r>
    </w:p>
    <w:p>
      <w:pPr>
        <w:pStyle w:val="ListBullet"/>
      </w:pPr>
      <w:r>
        <w:t>control de terceros;</w:t>
      </w:r>
    </w:p>
    <w:p>
      <w:pPr>
        <w:pStyle w:val="ListBullet"/>
      </w:pPr>
      <w:r>
        <w:t>cambios y revalidación.</w:t>
      </w:r>
    </w:p>
    <w:p>
      <w:pPr>
        <w:pStyle w:val="Heading2"/>
      </w:pPr>
      <w:r>
        <w:t>Módulo 11 — Sistemas multiagente</w:t>
      </w:r>
    </w:p>
    <w:p>
      <w:pPr>
        <w:spacing w:after="120"/>
      </w:pPr>
      <w:r>
        <w:t>Documentar cadenas de delegación, permisos entre agentes, memoria compartida, identidad, conflictos y responsabilidad. Evitar propagación implícita de privilegios y conservar trazabilidad extremo a extremo.</w:t>
      </w:r>
    </w:p>
    <w:p>
      <w:pPr>
        <w:pStyle w:val="Heading2"/>
      </w:pPr>
      <w:r>
        <w:t>Módulo 12 — Terceros y cadena de suministro</w:t>
      </w:r>
    </w:p>
    <w:p>
      <w:pPr>
        <w:spacing w:after="120"/>
      </w:pPr>
      <w:r>
        <w:t>Evaluar modelos, agentes, herramientas y proveedores externos. Contratar controles de seguridad/privacidad, cambios, incidentes, evidencia y salida. Revalidar cuando cambien capacidades, APIs, modelos o políticas del proveedor.</w:t>
      </w:r>
    </w:p>
    <w:p>
      <w:pPr>
        <w:pStyle w:val="Heading2"/>
      </w:pPr>
      <w:r>
        <w:t>Módulo 13 — Sesgo de automatización</w:t>
      </w:r>
    </w:p>
    <w:p>
      <w:pPr>
        <w:spacing w:after="120"/>
      </w:pPr>
      <w:r>
        <w:t>Medir cuándo usuarios/revisores aceptan resultados sin juicio independiente. Analizar tasas de anulación/desacuerdo, diseñar comprobaciones independientes y capacitar a quienes deben supervisar.</w:t>
      </w:r>
    </w:p>
    <w:p>
      <w:pPr>
        <w:pStyle w:val="Heading2"/>
      </w:pPr>
      <w:r>
        <w:t>Módulo 14 — Evidencia y auditabilidad</w:t>
      </w:r>
    </w:p>
    <w:p>
      <w:pPr>
        <w:spacing w:after="120"/>
      </w:pPr>
      <w:r>
        <w:t>Para cada control mantener:</w:t>
      </w:r>
    </w:p>
    <w:p>
      <w:pPr>
        <w:spacing w:after="120"/>
      </w:pPr>
      <w:r>
        <w:t>**Concepto fuente → interpretación organizacional → objetivo de control → propietario → implementación → evidencia → método de prueba → resultado → hallazgo → remediación → riesgo residual.**</w:t>
      </w:r>
    </w:p>
    <w:p>
      <w:pPr>
        <w:pStyle w:val="Heading2"/>
      </w:pPr>
      <w:r>
        <w:t>Módulo 15 — Mapeo entre marcos sin equivalencia falsa</w:t>
      </w:r>
    </w:p>
    <w:p>
      <w:pPr>
        <w:spacing w:after="120"/>
      </w:pPr>
      <w:r>
        <w:t>Relacionar controles con Manual 46, Ley de IA de la UE, ISO/IEC 42001 y NIST AI RMF solo cuando exista una relación defendible. Clasificarla como directa, parcial, de apoyo o contextual y registrar diferencias de alcance, actores, estatus jurídico y evidencia.</w:t>
      </w:r>
    </w:p>
    <w:p>
      <w:pPr>
        <w:pStyle w:val="Heading2"/>
      </w:pPr>
      <w:r>
        <w:t>Módulo 16 — Hoja de ruta empresarial</w:t>
      </w:r>
    </w:p>
    <w:p>
      <w:pPr>
        <w:pStyle w:val="Heading3"/>
      </w:pPr>
      <w:r>
        <w:t>Primeros 30 días</w:t>
      </w:r>
    </w:p>
    <w:p>
      <w:pPr>
        <w:pStyle w:val="ListBullet"/>
      </w:pPr>
      <w:r>
        <w:t>propietario de gobernanza e inventario;</w:t>
      </w:r>
    </w:p>
    <w:p>
      <w:pPr>
        <w:pStyle w:val="ListBullet"/>
      </w:pPr>
      <w:r>
        <w:t>clasificación de casos de uso;</w:t>
      </w:r>
    </w:p>
    <w:p>
      <w:pPr>
        <w:pStyle w:val="ListBullet"/>
      </w:pPr>
      <w:r>
        <w:t>identificación de agentes de mayor riesgo;</w:t>
      </w:r>
    </w:p>
    <w:p>
      <w:pPr>
        <w:pStyle w:val="ListBullet"/>
      </w:pPr>
      <w:r>
        <w:t>puntos humanos significativos;</w:t>
      </w:r>
    </w:p>
    <w:p>
      <w:pPr>
        <w:pStyle w:val="ListBullet"/>
      </w:pPr>
      <w:r>
        <w:t>repositorio de evidencia.</w:t>
      </w:r>
    </w:p>
    <w:p>
      <w:pPr>
        <w:pStyle w:val="Heading3"/>
      </w:pPr>
      <w:r>
        <w:t>60 días</w:t>
      </w:r>
    </w:p>
    <w:p>
      <w:pPr>
        <w:pStyle w:val="ListBullet"/>
      </w:pPr>
      <w:r>
        <w:t>controles del ciclo de vida;</w:t>
      </w:r>
    </w:p>
    <w:p>
      <w:pPr>
        <w:pStyle w:val="ListBullet"/>
      </w:pPr>
      <w:r>
        <w:t>revisiones de acceso y terceros;</w:t>
      </w:r>
    </w:p>
    <w:p>
      <w:pPr>
        <w:pStyle w:val="ListBullet"/>
      </w:pPr>
      <w:r>
        <w:t>programa de pruebas/aseguramiento;</w:t>
      </w:r>
    </w:p>
    <w:p>
      <w:pPr>
        <w:pStyle w:val="ListBullet"/>
      </w:pPr>
      <w:r>
        <w:t>respuesta a incidentes/contención;</w:t>
      </w:r>
    </w:p>
    <w:p>
      <w:pPr>
        <w:pStyle w:val="ListBullet"/>
      </w:pPr>
      <w:r>
        <w:t>capacitación.</w:t>
      </w:r>
    </w:p>
    <w:p>
      <w:pPr>
        <w:pStyle w:val="Heading3"/>
      </w:pPr>
      <w:r>
        <w:t>90 días</w:t>
      </w:r>
    </w:p>
    <w:p>
      <w:pPr>
        <w:pStyle w:val="ListBullet"/>
      </w:pPr>
      <w:r>
        <w:t>pruebas independientes según riesgo;</w:t>
      </w:r>
    </w:p>
    <w:p>
      <w:pPr>
        <w:pStyle w:val="ListBullet"/>
      </w:pPr>
      <w:r>
        <w:t>revisión de permisos de agentes;</w:t>
      </w:r>
    </w:p>
    <w:p>
      <w:pPr>
        <w:pStyle w:val="ListBullet"/>
      </w:pPr>
      <w:r>
        <w:t>análisis de sesgo de automatización;</w:t>
      </w:r>
    </w:p>
    <w:p>
      <w:pPr>
        <w:pStyle w:val="ListBullet"/>
      </w:pPr>
      <w:r>
        <w:t>cierre de hallazgos;</w:t>
      </w:r>
    </w:p>
    <w:p>
      <w:pPr>
        <w:pStyle w:val="ListBullet"/>
      </w:pPr>
      <w:r>
        <w:t>tablero de gobernanza.</w:t>
      </w:r>
    </w:p>
    <w:p>
      <w:pPr>
        <w:pStyle w:val="Heading2"/>
      </w:pPr>
      <w:r>
        <w:t>Escenarios prácticos</w:t>
      </w:r>
    </w:p>
    <w:p>
      <w:pPr>
        <w:pStyle w:val="ListNumber"/>
      </w:pPr>
      <w:r>
        <w:t>asistente GenAI de atención al cliente con datos confidenciales;</w:t>
      </w:r>
    </w:p>
    <w:p>
      <w:pPr>
        <w:pStyle w:val="ListNumber"/>
      </w:pPr>
      <w:r>
        <w:t>agente financiero con autoridad de pagos;</w:t>
      </w:r>
    </w:p>
    <w:p>
      <w:pPr>
        <w:pStyle w:val="ListNumber"/>
      </w:pPr>
      <w:r>
        <w:t>agente de selección de personal y sesgo de automatización;</w:t>
      </w:r>
    </w:p>
    <w:p>
      <w:pPr>
        <w:pStyle w:val="ListNumber"/>
      </w:pPr>
      <w:r>
        <w:t>agente de programación de terceros con acceso a repositorios/CI/CD;</w:t>
      </w:r>
    </w:p>
    <w:p>
      <w:pPr>
        <w:pStyle w:val="ListNumber"/>
      </w:pPr>
      <w:r>
        <w:t>operación de viajes multiagente;</w:t>
      </w:r>
    </w:p>
    <w:p>
      <w:pPr>
        <w:pStyle w:val="ListNumber"/>
      </w:pPr>
      <w:r>
        <w:t>chatbot público de asesoría sin autoridad decisoria;</w:t>
      </w:r>
    </w:p>
    <w:p>
      <w:pPr>
        <w:pStyle w:val="ListNumber"/>
      </w:pPr>
      <w:r>
        <w:t>ejercicio de afirmaciones de AI Verify;</w:t>
      </w:r>
    </w:p>
    <w:p>
      <w:pPr>
        <w:pStyle w:val="ListNumber"/>
      </w:pPr>
      <w:r>
        <w:t>ampliación de capacidades después de una actualización de proveedor;</w:t>
      </w:r>
    </w:p>
    <w:p>
      <w:pPr>
        <w:pStyle w:val="ListNumber"/>
      </w:pPr>
      <w:r>
        <w:t>revisión ejecutiva de hallazgos de agentes;</w:t>
      </w:r>
    </w:p>
    <w:p>
      <w:pPr>
        <w:pStyle w:val="ListNumber"/>
      </w:pPr>
      <w:r>
        <w:t>desafío de mapeo entre marcos.</w:t>
      </w:r>
    </w:p>
    <w:p>
      <w:pPr>
        <w:pStyle w:val="Heading2"/>
      </w:pPr>
      <w:r>
        <w:t>Dominios mínimos de control</w:t>
      </w:r>
    </w:p>
    <w:p>
      <w:pPr>
        <w:pStyle w:val="ListBullet"/>
      </w:pPr>
      <w:r>
        <w:t>gobernanza y responsabilidad;</w:t>
      </w:r>
    </w:p>
    <w:p>
      <w:pPr>
        <w:pStyle w:val="ListBullet"/>
      </w:pPr>
      <w:r>
        <w:t>inventario y riesgo;</w:t>
      </w:r>
    </w:p>
    <w:p>
      <w:pPr>
        <w:pStyle w:val="ListBullet"/>
      </w:pPr>
      <w:r>
        <w:t>participación humana;</w:t>
      </w:r>
    </w:p>
    <w:p>
      <w:pPr>
        <w:pStyle w:val="ListBullet"/>
      </w:pPr>
      <w:r>
        <w:t>ciclo de vida;</w:t>
      </w:r>
    </w:p>
    <w:p>
      <w:pPr>
        <w:pStyle w:val="ListBullet"/>
      </w:pPr>
      <w:r>
        <w:t>datos/RAG;</w:t>
      </w:r>
    </w:p>
    <w:p>
      <w:pPr>
        <w:pStyle w:val="ListBullet"/>
      </w:pPr>
      <w:r>
        <w:t>pruebas y aseguramiento;</w:t>
      </w:r>
    </w:p>
    <w:p>
      <w:pPr>
        <w:pStyle w:val="ListBullet"/>
      </w:pPr>
      <w:r>
        <w:t>identidad de agentes;</w:t>
      </w:r>
    </w:p>
    <w:p>
      <w:pPr>
        <w:pStyle w:val="ListBullet"/>
      </w:pPr>
      <w:r>
        <w:t>autorización/mínimo privilegio;</w:t>
      </w:r>
    </w:p>
    <w:p>
      <w:pPr>
        <w:pStyle w:val="ListBullet"/>
      </w:pPr>
      <w:r>
        <w:t>límites de herramientas/APIs;</w:t>
      </w:r>
    </w:p>
    <w:p>
      <w:pPr>
        <w:pStyle w:val="ListBullet"/>
      </w:pPr>
      <w:r>
        <w:t>procedencia de acciones;</w:t>
      </w:r>
    </w:p>
    <w:p>
      <w:pPr>
        <w:pStyle w:val="ListBullet"/>
      </w:pPr>
      <w:r>
        <w:t>multiagente;</w:t>
      </w:r>
    </w:p>
    <w:p>
      <w:pPr>
        <w:pStyle w:val="ListBullet"/>
      </w:pPr>
      <w:r>
        <w:t>terceros;</w:t>
      </w:r>
    </w:p>
    <w:p>
      <w:pPr>
        <w:pStyle w:val="ListBullet"/>
      </w:pPr>
      <w:r>
        <w:t>monitoreo;</w:t>
      </w:r>
    </w:p>
    <w:p>
      <w:pPr>
        <w:pStyle w:val="ListBullet"/>
      </w:pPr>
      <w:r>
        <w:t>contención/incidentes;</w:t>
      </w:r>
    </w:p>
    <w:p>
      <w:pPr>
        <w:pStyle w:val="ListBullet"/>
      </w:pPr>
      <w:r>
        <w:t>cambios/revalidación;</w:t>
      </w:r>
    </w:p>
    <w:p>
      <w:pPr>
        <w:pStyle w:val="ListBullet"/>
      </w:pPr>
      <w:r>
        <w:t>transparencia al usuario;</w:t>
      </w:r>
    </w:p>
    <w:p>
      <w:pPr>
        <w:pStyle w:val="ListBullet"/>
      </w:pPr>
      <w:r>
        <w:t>no equivalencia entre marcos.</w:t>
      </w:r>
    </w:p>
    <w:p>
      <w:pPr>
        <w:pStyle w:val="Heading2"/>
      </w:pPr>
      <w:r>
        <w:t>Criterio de finalización</w:t>
      </w:r>
    </w:p>
    <w:p>
      <w:pPr>
        <w:spacing w:after="120"/>
      </w:pPr>
      <w:r>
        <w:t>La persona que complete el Manual 48 debe poder tomar un concepto de gobernanza de Singapur y convertirlo en un control empresarial defendible, con propietario, evidencia, método de prueba, tratamiento de fallas y nota de limitación, sin afirmar certificación o equivalencia jurídica no sustentada.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