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48 — Governança de IA de Singapura: MGF, GenAI, AI Verify e IA Agêntica</w:t>
      </w:r>
    </w:p>
    <w:p>
      <w:pPr>
        <w:spacing w:after="120"/>
      </w:pPr>
      <w:r>
        <w:t>**Status:** DESENVOLVIMENTO CONTROLADO</w:t>
      </w:r>
    </w:p>
    <w:p>
      <w:pPr>
        <w:spacing w:after="120"/>
      </w:pPr>
      <w:r>
        <w:t>**Idioma:** Português do Brasil (`pt-BR`)</w:t>
      </w:r>
    </w:p>
    <w:p>
      <w:pPr>
        <w:spacing w:after="120"/>
      </w:pPr>
      <w:r>
        <w:t>**Linha de base de fontes:** 1 de setembro de 2026</w:t>
      </w:r>
    </w:p>
    <w:p>
      <w:pPr>
        <w:pStyle w:val="Heading2"/>
      </w:pPr>
      <w:r>
        <w:t>Objetivo</w:t>
      </w:r>
    </w:p>
    <w:p>
      <w:pPr>
        <w:spacing w:after="120"/>
      </w:pPr>
      <w:r>
        <w:t>Converter o ecossistema prático de governança de IA de Singapura em um modelo operacional empresarial. O manual distingue orientação de governança, ferramentas de garantia/testes, exemplos de implementação, trabalhos de normalização propostos e obrigações legais de outras jurisdições. Alinhamento com um framework não é apresentado como certificação nem como conformidade legal automática.</w:t>
      </w:r>
    </w:p>
    <w:p>
      <w:pPr>
        <w:pStyle w:val="Heading2"/>
      </w:pPr>
      <w:r>
        <w:t>Módulo 1 — Ecossistema de governança de IA de Singapura</w:t>
      </w:r>
    </w:p>
    <w:p>
      <w:pPr>
        <w:spacing w:after="120"/>
      </w:pPr>
      <w:r>
        <w:t>Distinguir as funções do Model AI Governance Framework, do framework para IA generativa, do AI Verify e do Model AI Governance Framework for Agentic AI. Para cada fonte registrar versão/data, status, finalidade e limitações.</w:t>
      </w:r>
    </w:p>
    <w:p>
      <w:pPr>
        <w:spacing w:after="120"/>
      </w:pPr>
      <w:r>
        <w:t>**Evidência:** inventário de frameworks, registro de fontes/versões, nota de aplicabilidade e declaração de não equivalência.</w:t>
      </w:r>
    </w:p>
    <w:p>
      <w:pPr>
        <w:pStyle w:val="Heading2"/>
      </w:pPr>
      <w:r>
        <w:t>Módulo 2 — Governança organizacional e responsabilização</w:t>
      </w:r>
    </w:p>
    <w:p>
      <w:pPr>
        <w:spacing w:after="120"/>
      </w:pPr>
      <w:r>
        <w:t>Estabelecer estrutura de governança, executivo responsável, proprietário do sistema, proprietários de controles, inventário de IA, critérios de risco e autoridades de decisão.</w:t>
      </w:r>
    </w:p>
    <w:p>
      <w:pPr>
        <w:spacing w:after="120"/>
      </w:pPr>
      <w:r>
        <w:t>**Evidência:** carta de governança, RACI, política de IA, inventário de sistemas, decisões e exceções.</w:t>
      </w:r>
    </w:p>
    <w:p>
      <w:pPr>
        <w:pStyle w:val="Heading2"/>
      </w:pPr>
      <w:r>
        <w:t>Módulo 3 — Envolvimento humano significativo</w:t>
      </w:r>
    </w:p>
    <w:p>
      <w:pPr>
        <w:spacing w:after="120"/>
      </w:pPr>
      <w:r>
        <w:t>O envolvimento humano deve corresponder ao impacto e permitir intervenção real. Avaliar autoridade, competência, informação disponível, tempo para intervir e risco de viés de automação.</w:t>
      </w:r>
    </w:p>
    <w:p>
      <w:pPr>
        <w:spacing w:after="120"/>
      </w:pPr>
      <w:r>
        <w:t>**Evidência:** matriz de direitos de decisão, limites de aprovação, registros de override/rejeição e treinamento do revisor.</w:t>
      </w:r>
    </w:p>
    <w:p>
      <w:pPr>
        <w:pStyle w:val="Heading2"/>
      </w:pPr>
      <w:r>
        <w:t>Módulo 4 — Gestão operacional ao longo do ciclo de vida</w:t>
      </w:r>
    </w:p>
    <w:p>
      <w:pPr>
        <w:spacing w:after="120"/>
      </w:pPr>
      <w:r>
        <w:t>Controlar dados, validação, robustez, monitoramento, mudanças, incidentes e retirada. Definir critérios de aceitação, gatilhos de revalidação e capacidade de recuperação.</w:t>
      </w:r>
    </w:p>
    <w:p>
      <w:pPr>
        <w:spacing w:after="120"/>
      </w:pPr>
      <w:r>
        <w:t>**Evidência:** plano de ciclo de vida, linhagem/qualidade de dados, relatórios de teste, monitoramento, mudanças e incidentes.</w:t>
      </w:r>
    </w:p>
    <w:p>
      <w:pPr>
        <w:pStyle w:val="Heading2"/>
      </w:pPr>
      <w:r>
        <w:t>Módulo 5 — Interação e comunicação com partes interessadas</w:t>
      </w:r>
    </w:p>
    <w:p>
      <w:pPr>
        <w:spacing w:after="120"/>
      </w:pPr>
      <w:r>
        <w:t>Comunicar o uso de IA, seu papel e limitações de forma compreensível. Manter canais de feedback quando apropriado e evitar declarações que excedam a evidência.</w:t>
      </w:r>
    </w:p>
    <w:p>
      <w:pPr>
        <w:pStyle w:val="Heading2"/>
      </w:pPr>
      <w:r>
        <w:t>Módulo 6 — Governança de IA generativa</w:t>
      </w:r>
    </w:p>
    <w:p>
      <w:pPr>
        <w:spacing w:after="120"/>
      </w:pPr>
      <w:r>
        <w:t>Aplicar controles a dados, prompts, RAG, modelos/provedores, segurança, privacidade, procedência de conteúdo, testes e monitoramento. Avaliar alucinação/confabulação, vazamento de dados, conteúdo nocivo, robustez e mudanças do provedor.</w:t>
      </w:r>
    </w:p>
    <w:p>
      <w:pPr>
        <w:spacing w:after="120"/>
      </w:pPr>
      <w:r>
        <w:t>**Perguntas-chave:**</w:t>
      </w:r>
    </w:p>
    <w:p>
      <w:pPr>
        <w:pStyle w:val="ListBullet"/>
      </w:pPr>
      <w:r>
        <w:t>Quais fontes podem entrar no sistema?</w:t>
      </w:r>
    </w:p>
    <w:p>
      <w:pPr>
        <w:pStyle w:val="ListBullet"/>
      </w:pPr>
      <w:r>
        <w:t>Como dados sensíveis são restringidos?</w:t>
      </w:r>
    </w:p>
    <w:p>
      <w:pPr>
        <w:pStyle w:val="ListBullet"/>
      </w:pPr>
      <w:r>
        <w:t>Qual conjunto de avaliação demonstra desempenho aceitável?</w:t>
      </w:r>
    </w:p>
    <w:p>
      <w:pPr>
        <w:pStyle w:val="ListBullet"/>
      </w:pPr>
      <w:r>
        <w:t>Como mudanças de modelo/provedor são detectadas?</w:t>
      </w:r>
    </w:p>
    <w:p>
      <w:pPr>
        <w:pStyle w:val="ListBullet"/>
      </w:pPr>
      <w:r>
        <w:t>Qual saída exige transparência ou qualificação?</w:t>
      </w:r>
    </w:p>
    <w:p>
      <w:pPr>
        <w:pStyle w:val="Heading2"/>
      </w:pPr>
      <w:r>
        <w:t>Módulo 7 — AI Verify e garantia</w:t>
      </w:r>
    </w:p>
    <w:p>
      <w:pPr>
        <w:spacing w:after="120"/>
      </w:pPr>
      <w:r>
        <w:t>AI Verify é usado como mecanismo de testes e garantia. Não deve ser interpretado como prova universal de segurança, ausência de viés, conformidade legal ou certificação.</w:t>
      </w:r>
    </w:p>
    <w:p>
      <w:pPr>
        <w:spacing w:after="120"/>
      </w:pPr>
      <w:r>
        <w:t>**Fluxo:** definir alegações → selecionar verificações/testes → registrar condições e limitações → executar → analisar falhas → remediar → retestar após mudanças materiais.</w:t>
      </w:r>
    </w:p>
    <w:p>
      <w:pPr>
        <w:pStyle w:val="Heading2"/>
      </w:pPr>
      <w:r>
        <w:t>Módulo 8 — IA agêntica: avaliar e limitar riscos</w:t>
      </w:r>
    </w:p>
    <w:p>
      <w:pPr>
        <w:spacing w:after="120"/>
      </w:pPr>
      <w:r>
        <w:t>Registrar finalidade, autonomia, ferramentas/APIs, dados, ações, comunicações externas, execução de código, transações, sistemas externos, interações multiagente e reversibilidade.</w:t>
      </w:r>
    </w:p>
    <w:p>
      <w:pPr>
        <w:spacing w:after="120"/>
      </w:pPr>
      <w:r>
        <w:t>**Controles:** identidade separada, privilégio mínimo, listas de permissão/bloqueio, limites de transação/volume, segmentação e estado seguro diante de incerteza.</w:t>
      </w:r>
    </w:p>
    <w:p>
      <w:pPr>
        <w:pStyle w:val="Heading2"/>
      </w:pPr>
      <w:r>
        <w:t>Módulo 9 — IA agêntica: responsabilização humana</w:t>
      </w:r>
    </w:p>
    <w:p>
      <w:pPr>
        <w:spacing w:after="120"/>
      </w:pPr>
      <w:r>
        <w:t>Definir pontos de controle humanos significativos antes de ações de alto impacto ou irreversíveis, por exemplo: entrada em produção, nova ferramenta privilegiada, pagamento, mudança de configuração crítica, exclusão irreversível ou exceção de segurança.</w:t>
      </w:r>
    </w:p>
    <w:p>
      <w:pPr>
        <w:spacing w:after="120"/>
      </w:pPr>
      <w:r>
        <w:t>**Evidência:** catálogo de pontos de aprovação, identidade do aprovador, contexto, horário, ações rejeitadas e escalonamento.</w:t>
      </w:r>
    </w:p>
    <w:p>
      <w:pPr>
        <w:pStyle w:val="Heading2"/>
      </w:pPr>
      <w:r>
        <w:t>Módulo 10 — Controles técnicos e de processo para agentes</w:t>
      </w:r>
    </w:p>
    <w:p>
      <w:pPr>
        <w:pStyle w:val="ListBullet"/>
      </w:pPr>
      <w:r>
        <w:t>identidade autenticada do agente/serviço;</w:t>
      </w:r>
    </w:p>
    <w:p>
      <w:pPr>
        <w:pStyle w:val="ListBullet"/>
      </w:pPr>
      <w:r>
        <w:t>privilégio mínimo e credenciais limitadas;</w:t>
      </w:r>
    </w:p>
    <w:p>
      <w:pPr>
        <w:pStyle w:val="ListBullet"/>
      </w:pPr>
      <w:r>
        <w:t>ferramentas/APIs explicitamente autorizadas;</w:t>
      </w:r>
    </w:p>
    <w:p>
      <w:pPr>
        <w:pStyle w:val="ListBullet"/>
      </w:pPr>
      <w:r>
        <w:t>validação de entradas, saídas e ações;</w:t>
      </w:r>
    </w:p>
    <w:p>
      <w:pPr>
        <w:pStyle w:val="ListBullet"/>
      </w:pPr>
      <w:r>
        <w:t>proteção dos limites prompt/ferramenta/dados;</w:t>
      </w:r>
    </w:p>
    <w:p>
      <w:pPr>
        <w:pStyle w:val="ListBullet"/>
      </w:pPr>
      <w:r>
        <w:t>isolamento ou sandbox quando apropriado;</w:t>
      </w:r>
    </w:p>
    <w:p>
      <w:pPr>
        <w:pStyle w:val="ListBullet"/>
      </w:pPr>
      <w:r>
        <w:t>registro completo e procedência das ações;</w:t>
      </w:r>
    </w:p>
    <w:p>
      <w:pPr>
        <w:pStyle w:val="ListBullet"/>
      </w:pPr>
      <w:r>
        <w:t>monitoramento de anomalias;</w:t>
      </w:r>
    </w:p>
    <w:p>
      <w:pPr>
        <w:pStyle w:val="ListBullet"/>
      </w:pPr>
      <w:r>
        <w:t>limites de taxa/recursos;</w:t>
      </w:r>
    </w:p>
    <w:p>
      <w:pPr>
        <w:pStyle w:val="ListBullet"/>
      </w:pPr>
      <w:r>
        <w:t>mecanismo de parada e contenção;</w:t>
      </w:r>
    </w:p>
    <w:p>
      <w:pPr>
        <w:pStyle w:val="ListBullet"/>
      </w:pPr>
      <w:r>
        <w:t>inventário de dependências;</w:t>
      </w:r>
    </w:p>
    <w:p>
      <w:pPr>
        <w:pStyle w:val="ListBullet"/>
      </w:pPr>
      <w:r>
        <w:t>controle de terceiros;</w:t>
      </w:r>
    </w:p>
    <w:p>
      <w:pPr>
        <w:pStyle w:val="ListBullet"/>
      </w:pPr>
      <w:r>
        <w:t>mudanças e revalidação.</w:t>
      </w:r>
    </w:p>
    <w:p>
      <w:pPr>
        <w:pStyle w:val="Heading2"/>
      </w:pPr>
      <w:r>
        <w:t>Módulo 11 — Sistemas multiagente</w:t>
      </w:r>
    </w:p>
    <w:p>
      <w:pPr>
        <w:spacing w:after="120"/>
      </w:pPr>
      <w:r>
        <w:t>Documentar cadeias de delegação, permissões entre agentes, memória compartilhada, identidade, conflitos e responsabilização. Evitar propagação implícita de privilégios e preservar rastreabilidade ponta a ponta.</w:t>
      </w:r>
    </w:p>
    <w:p>
      <w:pPr>
        <w:pStyle w:val="Heading2"/>
      </w:pPr>
      <w:r>
        <w:t>Módulo 12 — Terceiros e cadeia de fornecimento</w:t>
      </w:r>
    </w:p>
    <w:p>
      <w:pPr>
        <w:spacing w:after="120"/>
      </w:pPr>
      <w:r>
        <w:t>Avaliar modelos, agentes, ferramentas e provedores externos. Contratar controles de segurança/privacidade, mudanças, incidentes, evidências e saída. Revalidar quando capacidades, APIs, modelos ou políticas do provedor mudarem.</w:t>
      </w:r>
    </w:p>
    <w:p>
      <w:pPr>
        <w:pStyle w:val="Heading2"/>
      </w:pPr>
      <w:r>
        <w:t>Módulo 13 — Viés de automação</w:t>
      </w:r>
    </w:p>
    <w:p>
      <w:pPr>
        <w:spacing w:after="120"/>
      </w:pPr>
      <w:r>
        <w:t>Medir situações em que usuários/revisores aceitam resultados sem julgamento independente. Analisar taxas de override/disagreement, criar verificações independentes e treinar quem exerce supervisão.</w:t>
      </w:r>
    </w:p>
    <w:p>
      <w:pPr>
        <w:pStyle w:val="Heading2"/>
      </w:pPr>
      <w:r>
        <w:t>Módulo 14 — Evidência e auditabilidade</w:t>
      </w:r>
    </w:p>
    <w:p>
      <w:pPr>
        <w:spacing w:after="120"/>
      </w:pPr>
      <w:r>
        <w:t>Para cada controle manter:</w:t>
      </w:r>
    </w:p>
    <w:p>
      <w:pPr>
        <w:spacing w:after="120"/>
      </w:pPr>
      <w:r>
        <w:t>**Conceito-fonte → interpretação organizacional → objetivo de controle → proprietário → implementação → evidência → método de teste → resultado → achado → remediação → risco residual.**</w:t>
      </w:r>
    </w:p>
    <w:p>
      <w:pPr>
        <w:pStyle w:val="Heading2"/>
      </w:pPr>
      <w:r>
        <w:t>Módulo 15 — Mapeamento entre frameworks sem falsa equivalência</w:t>
      </w:r>
    </w:p>
    <w:p>
      <w:pPr>
        <w:spacing w:after="120"/>
      </w:pPr>
      <w:r>
        <w:t>Relacionar controles ao Manual 46, EU AI Act, ISO/IEC 42001 e NIST AI RMF apenas quando houver relação defensável. Classificar como direta, parcial, de apoio ou contextual e registrar diferenças de escopo, atores, status jurídico e evidência.</w:t>
      </w:r>
    </w:p>
    <w:p>
      <w:pPr>
        <w:pStyle w:val="Heading2"/>
      </w:pPr>
      <w:r>
        <w:t>Módulo 16 — Roteiro empresarial</w:t>
      </w:r>
    </w:p>
    <w:p>
      <w:pPr>
        <w:pStyle w:val="Heading3"/>
      </w:pPr>
      <w:r>
        <w:t>Primeiros 30 dias</w:t>
      </w:r>
    </w:p>
    <w:p>
      <w:pPr>
        <w:pStyle w:val="ListBullet"/>
      </w:pPr>
      <w:r>
        <w:t>proprietário de governança e inventário;</w:t>
      </w:r>
    </w:p>
    <w:p>
      <w:pPr>
        <w:pStyle w:val="ListBullet"/>
      </w:pPr>
      <w:r>
        <w:t>classificação de casos de uso;</w:t>
      </w:r>
    </w:p>
    <w:p>
      <w:pPr>
        <w:pStyle w:val="ListBullet"/>
      </w:pPr>
      <w:r>
        <w:t>identificação dos agentes de maior risco;</w:t>
      </w:r>
    </w:p>
    <w:p>
      <w:pPr>
        <w:pStyle w:val="ListBullet"/>
      </w:pPr>
      <w:r>
        <w:t>pontos humanos significativos;</w:t>
      </w:r>
    </w:p>
    <w:p>
      <w:pPr>
        <w:pStyle w:val="ListBullet"/>
      </w:pPr>
      <w:r>
        <w:t>repositório de evidências.</w:t>
      </w:r>
    </w:p>
    <w:p>
      <w:pPr>
        <w:pStyle w:val="Heading3"/>
      </w:pPr>
      <w:r>
        <w:t>60 dias</w:t>
      </w:r>
    </w:p>
    <w:p>
      <w:pPr>
        <w:pStyle w:val="ListBullet"/>
      </w:pPr>
      <w:r>
        <w:t>controles do ciclo de vida;</w:t>
      </w:r>
    </w:p>
    <w:p>
      <w:pPr>
        <w:pStyle w:val="ListBullet"/>
      </w:pPr>
      <w:r>
        <w:t>revisões de acesso e terceiros;</w:t>
      </w:r>
    </w:p>
    <w:p>
      <w:pPr>
        <w:pStyle w:val="ListBullet"/>
      </w:pPr>
      <w:r>
        <w:t>programa de testes/garantia;</w:t>
      </w:r>
    </w:p>
    <w:p>
      <w:pPr>
        <w:pStyle w:val="ListBullet"/>
      </w:pPr>
      <w:r>
        <w:t>resposta a incidentes/contenção;</w:t>
      </w:r>
    </w:p>
    <w:p>
      <w:pPr>
        <w:pStyle w:val="ListBullet"/>
      </w:pPr>
      <w:r>
        <w:t>treinamento.</w:t>
      </w:r>
    </w:p>
    <w:p>
      <w:pPr>
        <w:pStyle w:val="Heading3"/>
      </w:pPr>
      <w:r>
        <w:t>90 dias</w:t>
      </w:r>
    </w:p>
    <w:p>
      <w:pPr>
        <w:pStyle w:val="ListBullet"/>
      </w:pPr>
      <w:r>
        <w:t>testes independentes conforme o risco;</w:t>
      </w:r>
    </w:p>
    <w:p>
      <w:pPr>
        <w:pStyle w:val="ListBullet"/>
      </w:pPr>
      <w:r>
        <w:t>revisão de permissões de agentes;</w:t>
      </w:r>
    </w:p>
    <w:p>
      <w:pPr>
        <w:pStyle w:val="ListBullet"/>
      </w:pPr>
      <w:r>
        <w:t>análise de viés de automação;</w:t>
      </w:r>
    </w:p>
    <w:p>
      <w:pPr>
        <w:pStyle w:val="ListBullet"/>
      </w:pPr>
      <w:r>
        <w:t>fechamento de achados;</w:t>
      </w:r>
    </w:p>
    <w:p>
      <w:pPr>
        <w:pStyle w:val="ListBullet"/>
      </w:pPr>
      <w:r>
        <w:t>painel de governança.</w:t>
      </w:r>
    </w:p>
    <w:p>
      <w:pPr>
        <w:pStyle w:val="Heading2"/>
      </w:pPr>
      <w:r>
        <w:t>Cenários práticos</w:t>
      </w:r>
    </w:p>
    <w:p>
      <w:pPr>
        <w:pStyle w:val="ListNumber"/>
      </w:pPr>
      <w:r>
        <w:t>assistente GenAI de atendimento com dados confidenciais;</w:t>
      </w:r>
    </w:p>
    <w:p>
      <w:pPr>
        <w:pStyle w:val="ListNumber"/>
      </w:pPr>
      <w:r>
        <w:t>agente financeiro com autoridade de pagamentos;</w:t>
      </w:r>
    </w:p>
    <w:p>
      <w:pPr>
        <w:pStyle w:val="ListNumber"/>
      </w:pPr>
      <w:r>
        <w:t>agente de recrutamento e viés de automação;</w:t>
      </w:r>
    </w:p>
    <w:p>
      <w:pPr>
        <w:pStyle w:val="ListNumber"/>
      </w:pPr>
      <w:r>
        <w:t>agente de programação de terceiro com acesso a repositórios/CI/CD;</w:t>
      </w:r>
    </w:p>
    <w:p>
      <w:pPr>
        <w:pStyle w:val="ListNumber"/>
      </w:pPr>
      <w:r>
        <w:t>operação de viagens multiagente;</w:t>
      </w:r>
    </w:p>
    <w:p>
      <w:pPr>
        <w:pStyle w:val="ListNumber"/>
      </w:pPr>
      <w:r>
        <w:t>chatbot público de orientação sem autoridade decisória;</w:t>
      </w:r>
    </w:p>
    <w:p>
      <w:pPr>
        <w:pStyle w:val="ListNumber"/>
      </w:pPr>
      <w:r>
        <w:t>exercício sobre alegações de AI Verify;</w:t>
      </w:r>
    </w:p>
    <w:p>
      <w:pPr>
        <w:pStyle w:val="ListNumber"/>
      </w:pPr>
      <w:r>
        <w:t>ampliação de capacidades após atualização de provedor;</w:t>
      </w:r>
    </w:p>
    <w:p>
      <w:pPr>
        <w:pStyle w:val="ListNumber"/>
      </w:pPr>
      <w:r>
        <w:t>revisão executiva de achados de agentes;</w:t>
      </w:r>
    </w:p>
    <w:p>
      <w:pPr>
        <w:pStyle w:val="ListNumber"/>
      </w:pPr>
      <w:r>
        <w:t>desafio de mapeamento entre frameworks.</w:t>
      </w:r>
    </w:p>
    <w:p>
      <w:pPr>
        <w:pStyle w:val="Heading2"/>
      </w:pPr>
      <w:r>
        <w:t>Domínios mínimos de controle</w:t>
      </w:r>
    </w:p>
    <w:p>
      <w:pPr>
        <w:pStyle w:val="ListBullet"/>
      </w:pPr>
      <w:r>
        <w:t>governança e responsabilização;</w:t>
      </w:r>
    </w:p>
    <w:p>
      <w:pPr>
        <w:pStyle w:val="ListBullet"/>
      </w:pPr>
      <w:r>
        <w:t>inventário e risco;</w:t>
      </w:r>
    </w:p>
    <w:p>
      <w:pPr>
        <w:pStyle w:val="ListBullet"/>
      </w:pPr>
      <w:r>
        <w:t>envolvimento humano;</w:t>
      </w:r>
    </w:p>
    <w:p>
      <w:pPr>
        <w:pStyle w:val="ListBullet"/>
      </w:pPr>
      <w:r>
        <w:t>ciclo de vida;</w:t>
      </w:r>
    </w:p>
    <w:p>
      <w:pPr>
        <w:pStyle w:val="ListBullet"/>
      </w:pPr>
      <w:r>
        <w:t>dados/RAG;</w:t>
      </w:r>
    </w:p>
    <w:p>
      <w:pPr>
        <w:pStyle w:val="ListBullet"/>
      </w:pPr>
      <w:r>
        <w:t>testes e garantia;</w:t>
      </w:r>
    </w:p>
    <w:p>
      <w:pPr>
        <w:pStyle w:val="ListBullet"/>
      </w:pPr>
      <w:r>
        <w:t>identidade de agentes;</w:t>
      </w:r>
    </w:p>
    <w:p>
      <w:pPr>
        <w:pStyle w:val="ListBullet"/>
      </w:pPr>
      <w:r>
        <w:t>autorização/privilégio mínimo;</w:t>
      </w:r>
    </w:p>
    <w:p>
      <w:pPr>
        <w:pStyle w:val="ListBullet"/>
      </w:pPr>
      <w:r>
        <w:t>limites de ferramentas/APIs;</w:t>
      </w:r>
    </w:p>
    <w:p>
      <w:pPr>
        <w:pStyle w:val="ListBullet"/>
      </w:pPr>
      <w:r>
        <w:t>procedência de ações;</w:t>
      </w:r>
    </w:p>
    <w:p>
      <w:pPr>
        <w:pStyle w:val="ListBullet"/>
      </w:pPr>
      <w:r>
        <w:t>multiagente;</w:t>
      </w:r>
    </w:p>
    <w:p>
      <w:pPr>
        <w:pStyle w:val="ListBullet"/>
      </w:pPr>
      <w:r>
        <w:t>terceiros;</w:t>
      </w:r>
    </w:p>
    <w:p>
      <w:pPr>
        <w:pStyle w:val="ListBullet"/>
      </w:pPr>
      <w:r>
        <w:t>monitoramento;</w:t>
      </w:r>
    </w:p>
    <w:p>
      <w:pPr>
        <w:pStyle w:val="ListBullet"/>
      </w:pPr>
      <w:r>
        <w:t>contenção/incidentes;</w:t>
      </w:r>
    </w:p>
    <w:p>
      <w:pPr>
        <w:pStyle w:val="ListBullet"/>
      </w:pPr>
      <w:r>
        <w:t>mudanças/revalidação;</w:t>
      </w:r>
    </w:p>
    <w:p>
      <w:pPr>
        <w:pStyle w:val="ListBullet"/>
      </w:pPr>
      <w:r>
        <w:t>transparência ao usuário;</w:t>
      </w:r>
    </w:p>
    <w:p>
      <w:pPr>
        <w:pStyle w:val="ListBullet"/>
      </w:pPr>
      <w:r>
        <w:t>não equivalência entre frameworks.</w:t>
      </w:r>
    </w:p>
    <w:p>
      <w:pPr>
        <w:pStyle w:val="Heading2"/>
      </w:pPr>
      <w:r>
        <w:t>Critério de conclusão</w:t>
      </w:r>
    </w:p>
    <w:p>
      <w:pPr>
        <w:spacing w:after="120"/>
      </w:pPr>
      <w:r>
        <w:t>A pessoa que concluir o Manual 48 deve conseguir transformar um conceito de governança de Singapura em um controle empresarial defensável, com proprietário, evidência, método de teste, tratamento de falhas e nota de limitação, sem afirmar certificação ou equivalência jurídica não sustentada.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