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Estado de revisión:</w:t>
      </w:r>
      <w:r>
        <w:t xml:space="preserve"> </w:t>
      </w:r>
      <w:r>
        <w:t xml:space="preserve">Borrador de traducción asistida por máquina. Requiere revisión humana de terminología, significado, enlaces, formato y vigencia técnica antes de marcarse como edición final.</w:t>
      </w:r>
    </w:p>
    <w:p>
      <w:pPr>
        <w:pStyle w:val="FirstParagraph"/>
      </w:pPr>
      <w:r>
        <w:t xml:space="preserve">RESPUESTA INCIENTE</w:t>
      </w:r>
    </w:p>
    <w:p>
      <w:pPr>
        <w:pStyle w:val="BodyText"/>
      </w:pPr>
      <w:r>
        <w:rPr>
          <w:iCs/>
          <w:i/>
        </w:rPr>
        <w:t xml:space="preserve">La continuidad de la competencia</w:t>
      </w:r>
    </w:p>
    <w:p>
      <w:pPr>
        <w:pStyle w:val="BodyText"/>
      </w:pPr>
      <w:r>
        <w:t xml:space="preserve">Manual de Gestor Práctica y Analista Junior</w:t>
      </w:r>
    </w:p>
    <w:p>
      <w:pPr>
        <w:pStyle w:val="BodyText"/>
      </w:pPr>
      <w:r>
        <w:t xml:space="preserve">TEN</w:t>
      </w:r>
      <w:r>
        <w:t xml:space="preserve"> </w:t>
      </w:r>
      <w:r>
        <w:rPr>
          <w:bCs/>
          <w:b/>
        </w:rPr>
        <w:t xml:space="preserve">Lo que este manual hace:</w:t>
      </w:r>
      <w:r>
        <w:t xml:space="preserve"> </w:t>
      </w:r>
      <w:r>
        <w:t xml:space="preserve">Muestra cómo prepararse para la perturbación, detectar y gestionar incidentes cibernéticos, continuar servicios críticos, restaurar la tecnología de forma segura, probar pruebas, utilizar herramientas de código abierto y crear habilidades de analista orientadas al trabajo. |</w:t>
      </w:r>
      <w:r>
        <w:t xml:space="preserve"> </w:t>
      </w:r>
      <w:r>
        <w:t xml:space="preserve">|. |</w:t>
      </w:r>
    </w:p>
    <w:p>
      <w:pPr>
        <w:pStyle w:val="BodyText"/>
      </w:pPr>
      <w:r>
        <w:rPr>
          <w:bCs/>
          <w:b/>
        </w:rPr>
        <w:t xml:space="preserve">Alberto (Al) Leiva</w:t>
      </w:r>
    </w:p>
    <w:p>
      <w:pPr>
        <w:pStyle w:val="BodyText"/>
      </w:pPr>
      <w:r>
        <w:t xml:space="preserve">Primera edición • Julio 2026</w:t>
      </w:r>
    </w:p>
    <w:bookmarkStart w:id="21" w:name="prefacio"/>
    <w:p>
      <w:pPr>
        <w:pStyle w:val="Heading1"/>
      </w:pPr>
      <w:r>
        <w:t xml:space="preserve">Prefacio</w:t>
      </w:r>
    </w:p>
    <w:p>
      <w:pPr>
        <w:pStyle w:val="FirstParagraph"/>
      </w:pPr>
      <w:r>
        <w:t xml:space="preserve">Los incidentes y las interrupciones no siguen un script conveniente. Un ciberataque puede convertirse en una crisis legal, de seguridad, cliente, financiera, operativa y de reputación. Buena resiliencia conecta la respuesta a incidentes, continuidad de las operaciones, recuperación en casos de desastre, liderazgo en crisis, comunicaciones, proveedores y mejora continua.</w:t>
      </w:r>
    </w:p>
    <w:p>
      <w:pPr>
        <w:pStyle w:val="BodyText"/>
      </w:pPr>
      <w:r>
        <w:t xml:space="preserve">Este manual utiliza lenguaje simple y productos de trabajo realistas. No es asesoramiento legal ni garantía. Las necesidades varían por organización, sector, contrato, país, regulador, tecnología y evento. Durante una emergencia real, siga la autoridad aprobada, mantenga la seguridad y las pruebas, e involucre a profesionales jurídicos, de privacidad, de recursos humanos, comunicaciones, seguros, encargados de hacer cumplir la ley y técnicos, según proceda.</w:t>
      </w:r>
    </w:p>
    <w:p>
      <w:pPr>
        <w:pStyle w:val="BodyText"/>
      </w:pPr>
      <w:r>
        <w:t xml:space="preserve">** Nota de información actual** La orientación oficial fue verificada el 14 de julio de 2026. La fundación responsable de incidentes es NIST SP 800-61 Rev. 3, finalizado el 3 de abril de 2025. El contenido de continuidad también utiliza NIST SP 800-34 Rev. 1 Update 1 y ISO 22301:2019 con la enmienda 1:2024. |</w:t>
      </w:r>
    </w:p>
    <w:p>
      <w:pPr>
        <w:pStyle w:val="BodyText"/>
      </w:pPr>
      <w:r>
        <w:t xml:space="preserve">|. |</w:t>
      </w:r>
    </w:p>
    <w:bookmarkStart w:id="20" w:name="cómo-usar-este-manual"/>
    <w:p>
      <w:pPr>
        <w:pStyle w:val="Heading2"/>
      </w:pPr>
      <w:r>
        <w:t xml:space="preserve">Cómo usar este manual</w:t>
      </w:r>
    </w:p>
    <w:p>
      <w:pPr>
        <w:numPr>
          <w:ilvl w:val="0"/>
          <w:numId w:val="1001"/>
        </w:numPr>
      </w:pPr>
      <w:r>
        <w:t xml:space="preserve">Gerentes: comiencen con los Capítulos 1–5, 7, 9–13, 19–25 y 27.</w:t>
      </w:r>
    </w:p>
    <w:p>
      <w:pPr>
        <w:numPr>
          <w:ilvl w:val="0"/>
          <w:numId w:val="1001"/>
        </w:numPr>
      </w:pPr>
      <w:r>
        <w:t xml:space="preserve">Analistas juniores: estudiar en orden y completar Capítulos 26–29 con datos sintéticos y laboratorios autorizados.</w:t>
      </w:r>
    </w:p>
    <w:p>
      <w:pPr>
        <w:numPr>
          <w:ilvl w:val="0"/>
          <w:numId w:val="1001"/>
        </w:numPr>
      </w:pPr>
      <w:r>
        <w:t xml:space="preserve">Respuestas técnicas: enfoque en los capítulos 5–18, 21–24 y 26.</w:t>
      </w:r>
    </w:p>
    <w:p>
      <w:pPr>
        <w:numPr>
          <w:ilvl w:val="0"/>
          <w:numId w:val="1001"/>
        </w:numPr>
      </w:pPr>
      <w:r>
        <w:t xml:space="preserve">Equipos de continuidad y recuperación: enfoque en los capítulos 3, 11, y 19-24.</w:t>
      </w:r>
    </w:p>
    <w:p>
      <w:pPr>
        <w:numPr>
          <w:ilvl w:val="0"/>
          <w:numId w:val="1001"/>
        </w:numPr>
      </w:pPr>
      <w:r>
        <w:t xml:space="preserve">Adaptar cada plan, umbral, contacto, requisito y ejercicio a la organización.</w:t>
      </w:r>
    </w:p>
    <w:bookmarkEnd w:id="20"/>
    <w:bookmarkEnd w:id="21"/>
    <w:bookmarkStart w:id="22" w:name="tabla-de-contenidos"/>
    <w:p>
      <w:pPr>
        <w:pStyle w:val="Heading1"/>
      </w:pPr>
      <w:r>
        <w:t xml:space="preserve">Tabla de contenidos</w:t>
      </w:r>
    </w:p>
    <w:p>
      <w:pPr>
        <w:pStyle w:val="FirstParagraph"/>
      </w:pPr>
      <w:r>
        <w:t xml:space="preserve">Este documento contiene una tabla de contenidos de Word nativa. La guía del capítulo en la siguiente página es una referencia rápida permanente.</w:t>
      </w:r>
    </w:p>
    <w:p>
      <w:pPr>
        <w:pStyle w:val="BodyText"/>
      </w:pPr>
      <w:hyperlink w:anchor="preface">
        <w:r>
          <w:rPr>
            <w:rStyle w:val="Hyperlink"/>
          </w:rPr>
          <w:t xml:space="preserve">Prefacio [2] 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Cómo utilizar este manual [2] 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Tabla de contenidos [3] (#table-of-contents)</w:t>
        </w:r>
      </w:hyperlink>
    </w:p>
    <w:p>
      <w:pPr>
        <w:pStyle w:val="BodyText"/>
      </w:pPr>
      <w:hyperlink w:anchor="chapter-guide">
        <w:r>
          <w:rPr>
            <w:rStyle w:val="Hyperlink"/>
          </w:rPr>
          <w:t xml:space="preserve">Guía de cambio [7](#chapter-guide)</w:t>
        </w:r>
      </w:hyperlink>
    </w:p>
    <w:p>
      <w:pPr>
        <w:pStyle w:val="BodyText"/>
      </w:pPr>
      <w:hyperlink w:anchor="X3f8f0b619f2a2b1acb6eb3caf4c082a462fd704">
        <w:r>
          <w:rPr>
            <w:rStyle w:val="Hyperlink"/>
          </w:rPr>
          <w:t xml:space="preserve">1. IR, Business Continuity, and Disaster Recovery Foundations [8](#ir-business-continuity-and-disaster-recovery-foundations)</w:t>
        </w:r>
      </w:hyperlink>
    </w:p>
    <w:p>
      <w:pPr>
        <w:pStyle w:val="BodyText"/>
      </w:pPr>
      <w:hyperlink w:anchor="governance-policy-and-roles">
        <w:r>
          <w:rPr>
            <w:rStyle w:val="Hyperlink"/>
          </w:rPr>
          <w:t xml:space="preserve">2. Gobernanza, política y funciones [9](#governance-policy-and-roles)</w:t>
        </w:r>
      </w:hyperlink>
    </w:p>
    <w:p>
      <w:pPr>
        <w:pStyle w:val="BodyText"/>
      </w:pPr>
      <w:hyperlink w:anchor="governance-essentials">
        <w:r>
          <w:rPr>
            <w:rStyle w:val="Hyperlink"/>
          </w:rPr>
          <w:t xml:space="preserve">2.1 Es esencial para la gobernanza [9](#governance-essentials)</w:t>
        </w:r>
      </w:hyperlink>
    </w:p>
    <w:p>
      <w:pPr>
        <w:pStyle w:val="BodyText"/>
      </w:pPr>
      <w:hyperlink w:anchor="X358447e4eb98936da06fbbb0314ca732ee24efc">
        <w:r>
          <w:rPr>
            <w:rStyle w:val="Hyperlink"/>
          </w:rPr>
          <w:t xml:space="preserve">3. Risk Assessment and Business Impact Analysis [10](#risk-assessment-and-business-impact-analysis)</w:t>
        </w:r>
      </w:hyperlink>
    </w:p>
    <w:p>
      <w:pPr>
        <w:pStyle w:val="BodyText"/>
      </w:pPr>
      <w:hyperlink w:anchor="bia-method">
        <w:r>
          <w:rPr>
            <w:rStyle w:val="Hyperlink"/>
          </w:rPr>
          <w:t xml:space="preserve">3.1 Método BIA [10](#bia-method)</w:t>
        </w:r>
      </w:hyperlink>
    </w:p>
    <w:p>
      <w:pPr>
        <w:pStyle w:val="BodyText"/>
      </w:pPr>
      <w:hyperlink w:anchor="current-nist-incident-response-model">
        <w:r>
          <w:rPr>
            <w:rStyle w:val="Hyperlink"/>
          </w:rPr>
          <w:t xml:space="preserve">4. Modelo actual de respuesta de incidentes NIST [12](#current-nist-incident-response-model)</w:t>
        </w:r>
      </w:hyperlink>
    </w:p>
    <w:p>
      <w:pPr>
        <w:pStyle w:val="BodyText"/>
      </w:pPr>
      <w:hyperlink w:anchor="practical-operating-sequence">
        <w:r>
          <w:rPr>
            <w:rStyle w:val="Hyperlink"/>
          </w:rPr>
          <w:t xml:space="preserve">4.1 Secuencia operacional práctica [12](#practical-operating-sequence)</w:t>
        </w:r>
      </w:hyperlink>
    </w:p>
    <w:p>
      <w:pPr>
        <w:pStyle w:val="BodyText"/>
      </w:pPr>
      <w:hyperlink w:anchor="preparation-and-readiness">
        <w:r>
          <w:rPr>
            <w:rStyle w:val="Hyperlink"/>
          </w:rPr>
          <w:t xml:space="preserve">5. Preparación y preparación [13](#preparation-and-readiness)</w:t>
        </w:r>
      </w:hyperlink>
    </w:p>
    <w:p>
      <w:pPr>
        <w:pStyle w:val="BodyText"/>
      </w:pPr>
      <w:hyperlink w:anchor="readiness-checklist">
        <w:r>
          <w:rPr>
            <w:rStyle w:val="Hyperlink"/>
          </w:rPr>
          <w:t xml:space="preserve">5.1 Lista de verificación para la lectura [13](#readiness-checklist)</w:t>
        </w:r>
      </w:hyperlink>
    </w:p>
    <w:p>
      <w:pPr>
        <w:pStyle w:val="BodyText"/>
      </w:pPr>
      <w:hyperlink w:anchor="playbook-design">
        <w:r>
          <w:rPr>
            <w:rStyle w:val="Hyperlink"/>
          </w:rPr>
          <w:t xml:space="preserve">5.2 Diseño de Playbook [13](#playbook-design)</w:t>
        </w:r>
      </w:hyperlink>
    </w:p>
    <w:p>
      <w:pPr>
        <w:pStyle w:val="BodyText"/>
      </w:pPr>
      <w:hyperlink w:anchor="detection-and-event-validation">
        <w:r>
          <w:rPr>
            <w:rStyle w:val="Hyperlink"/>
          </w:rPr>
          <w:t xml:space="preserve">6. Detección y validación de eventos [14](#detection-and-event-validation)</w:t>
        </w:r>
      </w:hyperlink>
    </w:p>
    <w:p>
      <w:pPr>
        <w:pStyle w:val="BodyText"/>
      </w:pPr>
      <w:hyperlink w:anchor="signal-sources">
        <w:r>
          <w:rPr>
            <w:rStyle w:val="Hyperlink"/>
          </w:rPr>
          <w:t xml:space="preserve">6.1 Fuentes de señal [14](#signal-sources)</w:t>
        </w:r>
      </w:hyperlink>
    </w:p>
    <w:p>
      <w:pPr>
        <w:pStyle w:val="BodyText"/>
      </w:pPr>
      <w:hyperlink w:anchor="validation-questions">
        <w:r>
          <w:rPr>
            <w:rStyle w:val="Hyperlink"/>
          </w:rPr>
          <w:t xml:space="preserve">6.2 Preguntas de validación [14](#validation-questions)</w:t>
        </w:r>
      </w:hyperlink>
    </w:p>
    <w:p>
      <w:pPr>
        <w:pStyle w:val="BodyText"/>
      </w:pPr>
      <w:hyperlink w:anchor="triage-severity-and-escalation">
        <w:r>
          <w:rPr>
            <w:rStyle w:val="Hyperlink"/>
          </w:rPr>
          <w:t xml:space="preserve">7. Triage, Severity, and Escalation [15](#triage-severity-and-escalation)</w:t>
        </w:r>
      </w:hyperlink>
    </w:p>
    <w:p>
      <w:pPr>
        <w:pStyle w:val="BodyText"/>
      </w:pPr>
      <w:hyperlink w:anchor="triage-output">
        <w:r>
          <w:rPr>
            <w:rStyle w:val="Hyperlink"/>
          </w:rPr>
          <w:t xml:space="preserve">7.1 Producción de triage [15](#triage-output)</w:t>
        </w:r>
      </w:hyperlink>
    </w:p>
    <w:p>
      <w:pPr>
        <w:pStyle w:val="BodyText"/>
      </w:pPr>
      <w:hyperlink w:anchor="investigation-and-scoping">
        <w:r>
          <w:rPr>
            <w:rStyle w:val="Hyperlink"/>
          </w:rPr>
          <w:t xml:space="preserve">8. Investigation and Scoping [16](#investigation-and-scoping)</w:t>
        </w:r>
      </w:hyperlink>
    </w:p>
    <w:p>
      <w:pPr>
        <w:pStyle w:val="BodyText"/>
      </w:pPr>
      <w:hyperlink w:anchor="investigation-method">
        <w:r>
          <w:rPr>
            <w:rStyle w:val="Hyperlink"/>
          </w:rPr>
          <w:t xml:space="preserve">8.1 Método de investigación [16](#investigation-method)</w:t>
        </w:r>
      </w:hyperlink>
    </w:p>
    <w:p>
      <w:pPr>
        <w:pStyle w:val="BodyText"/>
      </w:pPr>
      <w:hyperlink w:anchor="containment-strategy">
        <w:r>
          <w:rPr>
            <w:rStyle w:val="Hyperlink"/>
          </w:rPr>
          <w:t xml:space="preserve">9. Estrategia de Contención [17](#containment-strategy)</w:t>
        </w:r>
      </w:hyperlink>
    </w:p>
    <w:p>
      <w:pPr>
        <w:pStyle w:val="BodyText"/>
      </w:pPr>
      <w:hyperlink w:anchor="options">
        <w:r>
          <w:rPr>
            <w:rStyle w:val="Hyperlink"/>
          </w:rPr>
          <w:t xml:space="preserve">9.1 Opciones [17](#options)</w:t>
        </w:r>
      </w:hyperlink>
    </w:p>
    <w:p>
      <w:pPr>
        <w:pStyle w:val="BodyText"/>
      </w:pPr>
      <w:hyperlink w:anchor="decision-record">
        <w:r>
          <w:rPr>
            <w:rStyle w:val="Hyperlink"/>
          </w:rPr>
          <w:t xml:space="preserve">9.2 Registro de decisiones [17](#decision-record)</w:t>
        </w:r>
      </w:hyperlink>
    </w:p>
    <w:p>
      <w:pPr>
        <w:pStyle w:val="BodyText"/>
      </w:pPr>
      <w:hyperlink w:anchor="eradication-and-remediation">
        <w:r>
          <w:rPr>
            <w:rStyle w:val="Hyperlink"/>
          </w:rPr>
          <w:t xml:space="preserve">10. Erradicación y Remediación [18](#eradication-and-remediation)</w:t>
        </w:r>
      </w:hyperlink>
    </w:p>
    <w:p>
      <w:pPr>
        <w:pStyle w:val="BodyText"/>
      </w:pPr>
      <w:hyperlink w:anchor="eradication-work">
        <w:r>
          <w:rPr>
            <w:rStyle w:val="Hyperlink"/>
          </w:rPr>
          <w:t xml:space="preserve">10.1 Erradicación [18](#eradication-work)</w:t>
        </w:r>
      </w:hyperlink>
    </w:p>
    <w:p>
      <w:pPr>
        <w:pStyle w:val="BodyText"/>
      </w:pPr>
      <w:hyperlink w:anchor="recovery-and-return-to-service">
        <w:r>
          <w:rPr>
            <w:rStyle w:val="Hyperlink"/>
          </w:rPr>
          <w:t xml:space="preserve">11. Recuperación y regreso al servicio [19](#recovery-and-return-to-service)</w:t>
        </w:r>
      </w:hyperlink>
    </w:p>
    <w:p>
      <w:pPr>
        <w:pStyle w:val="BodyText"/>
      </w:pPr>
      <w:hyperlink w:anchor="recovery-gates">
        <w:r>
          <w:rPr>
            <w:rStyle w:val="Hyperlink"/>
          </w:rPr>
          <w:t xml:space="preserve">11.1 Puertas de recuperación [19](#recovery-gates)</w:t>
        </w:r>
      </w:hyperlink>
    </w:p>
    <w:p>
      <w:pPr>
        <w:pStyle w:val="BodyText"/>
      </w:pPr>
      <w:hyperlink w:anchor="recovery-evidence">
        <w:r>
          <w:rPr>
            <w:rStyle w:val="Hyperlink"/>
          </w:rPr>
          <w:t xml:space="preserve">11.2 Pruebas de recuperación [19](#recovery-evidence)</w:t>
        </w:r>
      </w:hyperlink>
    </w:p>
    <w:p>
      <w:pPr>
        <w:pStyle w:val="BodyText"/>
      </w:pPr>
      <w:hyperlink w:anchor="lessons-learned-and-improvement">
        <w:r>
          <w:rPr>
            <w:rStyle w:val="Hyperlink"/>
          </w:rPr>
          <w:t xml:space="preserve">12. Lecciones Aprendidas y Mejoras [20](#lessons-learned-and-improvement)</w:t>
        </w:r>
      </w:hyperlink>
    </w:p>
    <w:p>
      <w:pPr>
        <w:pStyle w:val="BodyText"/>
      </w:pPr>
      <w:hyperlink w:anchor="after-action-process">
        <w:r>
          <w:rPr>
            <w:rStyle w:val="Hyperlink"/>
          </w:rPr>
          <w:t xml:space="preserve">12.1 Proceso de acción posterior [20](#after-action-process)</w:t>
        </w:r>
      </w:hyperlink>
    </w:p>
    <w:p>
      <w:pPr>
        <w:pStyle w:val="BodyText"/>
      </w:pPr>
      <w:hyperlink w:anchor="X2742951c71a91fc11c5de431a1ebe6e515fe97d">
        <w:r>
          <w:rPr>
            <w:rStyle w:val="Hyperlink"/>
          </w:rPr>
          <w:t xml:space="preserve">13. Coordinación de comunicaciones, jurídicas y reglamentarias [21](#communication-legal-and-regulatory-coordination)</w:t>
        </w:r>
      </w:hyperlink>
    </w:p>
    <w:p>
      <w:pPr>
        <w:pStyle w:val="BodyText"/>
      </w:pPr>
      <w:hyperlink w:anchor="operating-rules">
        <w:r>
          <w:rPr>
            <w:rStyle w:val="Hyperlink"/>
          </w:rPr>
          <w:t xml:space="preserve">13.1 Reglas de funcionamiento [21](#operating-rules)</w:t>
        </w:r>
      </w:hyperlink>
    </w:p>
    <w:p>
      <w:pPr>
        <w:pStyle w:val="BodyText"/>
      </w:pPr>
      <w:hyperlink w:anchor="digital-evidence-and-forensic-readiness">
        <w:r>
          <w:rPr>
            <w:rStyle w:val="Hyperlink"/>
          </w:rPr>
          <w:t xml:space="preserve">14. Evidencia digital y preparación forense [22](#digital-evidence-and-forensic-readiness)</w:t>
        </w:r>
      </w:hyperlink>
    </w:p>
    <w:p>
      <w:pPr>
        <w:pStyle w:val="BodyText"/>
      </w:pPr>
      <w:hyperlink w:anchor="evidence-record">
        <w:r>
          <w:rPr>
            <w:rStyle w:val="Hyperlink"/>
          </w:rPr>
          <w:t xml:space="preserve">14.1 Evidencia [22](#evidence-record)</w:t>
        </w:r>
      </w:hyperlink>
    </w:p>
    <w:p>
      <w:pPr>
        <w:pStyle w:val="BodyText"/>
      </w:pPr>
      <w:hyperlink w:anchor="ransomware-and-destructive-attacks">
        <w:r>
          <w:rPr>
            <w:rStyle w:val="Hyperlink"/>
          </w:rPr>
          <w:t xml:space="preserve">15. Ataques Ransomware y Destructivos [23](#ransomware-and-destructive-attacks)</w:t>
        </w:r>
      </w:hyperlink>
    </w:p>
    <w:p>
      <w:pPr>
        <w:pStyle w:val="BodyText"/>
      </w:pPr>
      <w:hyperlink w:anchor="immediate-priorities">
        <w:r>
          <w:rPr>
            <w:rStyle w:val="Hyperlink"/>
          </w:rPr>
          <w:t xml:space="preserve">15.1 Prioridades inmediatas [23](#immediate-priorities)</w:t>
        </w:r>
      </w:hyperlink>
    </w:p>
    <w:p>
      <w:pPr>
        <w:pStyle w:val="BodyText"/>
      </w:pPr>
      <w:hyperlink w:anchor="payment-decision">
        <w:r>
          <w:rPr>
            <w:rStyle w:val="Hyperlink"/>
          </w:rPr>
          <w:t xml:space="preserve">15.2 Decisión de pago [23](#payment-decision)</w:t>
        </w:r>
      </w:hyperlink>
    </w:p>
    <w:p>
      <w:pPr>
        <w:pStyle w:val="BodyText"/>
      </w:pPr>
      <w:hyperlink w:anchor="cloud-and-saas-incident-response">
        <w:r>
          <w:rPr>
            <w:rStyle w:val="Hyperlink"/>
          </w:rPr>
          <w:t xml:space="preserve">16. Respuesta del incidente de Cloud and SaaS [24](#cloud-and-saas-incident-response)</w:t>
        </w:r>
      </w:hyperlink>
    </w:p>
    <w:p>
      <w:pPr>
        <w:pStyle w:val="BodyText"/>
      </w:pPr>
      <w:hyperlink w:anchor="cloud-investigation">
        <w:r>
          <w:rPr>
            <w:rStyle w:val="Hyperlink"/>
          </w:rPr>
          <w:t xml:space="preserve">16.1 Investigación en la nube [24](#cloud-investigation)</w:t>
        </w:r>
      </w:hyperlink>
    </w:p>
    <w:p>
      <w:pPr>
        <w:pStyle w:val="BodyText"/>
      </w:pPr>
      <w:hyperlink w:anchor="cloud-containment">
        <w:r>
          <w:rPr>
            <w:rStyle w:val="Hyperlink"/>
          </w:rPr>
          <w:t xml:space="preserve">16.2 Contención en la nube [24](#cloud-containment)</w:t>
        </w:r>
      </w:hyperlink>
    </w:p>
    <w:p>
      <w:pPr>
        <w:pStyle w:val="BodyText"/>
      </w:pPr>
      <w:hyperlink w:anchor="identity-and-privileged-access-incidents">
        <w:r>
          <w:rPr>
            <w:rStyle w:val="Hyperlink"/>
          </w:rPr>
          <w:t xml:space="preserve">17. Identidad y Acceso Privilegiado [25](#identity-and-privileged-access-incidents)</w:t>
        </w:r>
      </w:hyperlink>
    </w:p>
    <w:p>
      <w:pPr>
        <w:pStyle w:val="BodyText"/>
      </w:pPr>
      <w:hyperlink w:anchor="scope">
        <w:r>
          <w:rPr>
            <w:rStyle w:val="Hyperlink"/>
          </w:rPr>
          <w:t xml:space="preserve">17.1 Ámbito [25](#scope)</w:t>
        </w:r>
      </w:hyperlink>
    </w:p>
    <w:p>
      <w:pPr>
        <w:pStyle w:val="BodyText"/>
      </w:pPr>
      <w:hyperlink w:anchor="safe-recovery-order">
        <w:r>
          <w:rPr>
            <w:rStyle w:val="Hyperlink"/>
          </w:rPr>
          <w:t xml:space="preserve">17.2 Orden de recuperación segura [25](#safe-recovery-order)</w:t>
        </w:r>
      </w:hyperlink>
    </w:p>
    <w:p>
      <w:pPr>
        <w:pStyle w:val="BodyText"/>
      </w:pPr>
      <w:hyperlink w:anchor="third-party-and-supply-chain-incidents">
        <w:r>
          <w:rPr>
            <w:rStyle w:val="Hyperlink"/>
          </w:rPr>
          <w:t xml:space="preserve">18. Third-Party and Supply-Chain Incidents [26](#third-party-and-supply-chain-incidents)</w:t>
        </w:r>
      </w:hyperlink>
    </w:p>
    <w:p>
      <w:pPr>
        <w:pStyle w:val="BodyText"/>
      </w:pPr>
      <w:hyperlink w:anchor="prepare">
        <w:r>
          <w:rPr>
            <w:rStyle w:val="Hyperlink"/>
          </w:rPr>
          <w:t xml:space="preserve">18.1 Preparar [26](#prepare)</w:t>
        </w:r>
      </w:hyperlink>
    </w:p>
    <w:p>
      <w:pPr>
        <w:pStyle w:val="BodyText"/>
      </w:pPr>
      <w:hyperlink w:anchor="respond">
        <w:r>
          <w:rPr>
            <w:rStyle w:val="Hyperlink"/>
          </w:rPr>
          <w:t xml:space="preserve">18.2 Responder [26](#respond)</w:t>
        </w:r>
      </w:hyperlink>
    </w:p>
    <w:p>
      <w:pPr>
        <w:pStyle w:val="BodyText"/>
      </w:pPr>
      <w:hyperlink w:anchor="business-continuity-management-system">
        <w:r>
          <w:rPr>
            <w:rStyle w:val="Hyperlink"/>
          </w:rPr>
          <w:t xml:space="preserve">19. Business Continuity Management System [27](#business-continuity-management-system)</w:t>
        </w:r>
      </w:hyperlink>
    </w:p>
    <w:p>
      <w:pPr>
        <w:pStyle w:val="BodyText"/>
      </w:pPr>
      <w:hyperlink w:anchor="continuity-strategies-and-procedures">
        <w:r>
          <w:rPr>
            <w:rStyle w:val="Hyperlink"/>
          </w:rPr>
          <w:t xml:space="preserve">20. Estrategias y procedimientos de continuidad [28](#continuity-strategies-and-procedures)</w:t>
        </w:r>
      </w:hyperlink>
    </w:p>
    <w:p>
      <w:pPr>
        <w:pStyle w:val="BodyText"/>
      </w:pPr>
      <w:hyperlink w:anchor="continuity-procedure">
        <w:r>
          <w:rPr>
            <w:rStyle w:val="Hyperlink"/>
          </w:rPr>
          <w:t xml:space="preserve">20.1 Procedimiento de continuidad [28](#continuity-procedure)</w:t>
        </w:r>
      </w:hyperlink>
    </w:p>
    <w:p>
      <w:pPr>
        <w:pStyle w:val="BodyText"/>
      </w:pPr>
      <w:hyperlink w:anchor="disaster-recovery-planning">
        <w:r>
          <w:rPr>
            <w:rStyle w:val="Hyperlink"/>
          </w:rPr>
          <w:t xml:space="preserve">21. Planificación de la recuperación de desastres [29](#disaster-recovery-planning)</w:t>
        </w:r>
      </w:hyperlink>
    </w:p>
    <w:p>
      <w:pPr>
        <w:pStyle w:val="BodyText"/>
      </w:pPr>
      <w:hyperlink w:anchor="nist-sp-800-34-contingency-process">
        <w:r>
          <w:rPr>
            <w:rStyle w:val="Hyperlink"/>
          </w:rPr>
          <w:t xml:space="preserve">21.1 NIST SP 800-34 proceso de contingencia [29](#nist-sp-800-34-contingency-process)</w:t>
        </w:r>
      </w:hyperlink>
    </w:p>
    <w:p>
      <w:pPr>
        <w:pStyle w:val="BodyText"/>
      </w:pPr>
      <w:hyperlink w:anchor="dr-plan-content">
        <w:r>
          <w:rPr>
            <w:rStyle w:val="Hyperlink"/>
          </w:rPr>
          <w:t xml:space="preserve">21.2 Contenido del plan DR [29](#dr-plan-content)</w:t>
        </w:r>
      </w:hyperlink>
    </w:p>
    <w:p>
      <w:pPr>
        <w:pStyle w:val="BodyText"/>
      </w:pPr>
      <w:hyperlink w:anchor="backups-and-recovery-assurance">
        <w:r>
          <w:rPr>
            <w:rStyle w:val="Hyperlink"/>
          </w:rPr>
          <w:t xml:space="preserve">22. Backups and Recovery Assurance [30](#backups-and-recovery-assurance)</w:t>
        </w:r>
      </w:hyperlink>
    </w:p>
    <w:p>
      <w:pPr>
        <w:pStyle w:val="BodyText"/>
      </w:pPr>
      <w:hyperlink w:anchor="design">
        <w:r>
          <w:rPr>
            <w:rStyle w:val="Hyperlink"/>
          </w:rPr>
          <w:t xml:space="preserve">22.1 Diseño [30](#design)</w:t>
        </w:r>
      </w:hyperlink>
    </w:p>
    <w:p>
      <w:pPr>
        <w:pStyle w:val="BodyText"/>
      </w:pPr>
      <w:hyperlink w:anchor="restore-test">
        <w:r>
          <w:rPr>
            <w:rStyle w:val="Hyperlink"/>
          </w:rPr>
          <w:t xml:space="preserve">22.2 Prueba de restauración [30](#restore-test)</w:t>
        </w:r>
      </w:hyperlink>
    </w:p>
    <w:p>
      <w:pPr>
        <w:pStyle w:val="BodyText"/>
      </w:pPr>
      <w:hyperlink w:anchor="crisis-management-and-human-factors">
        <w:r>
          <w:rPr>
            <w:rStyle w:val="Hyperlink"/>
          </w:rPr>
          <w:t xml:space="preserve">23. Gestión de crisis y factores humanos [31](#crisis-management-and-human-factors)</w:t>
        </w:r>
      </w:hyperlink>
    </w:p>
    <w:p>
      <w:pPr>
        <w:pStyle w:val="BodyText"/>
      </w:pPr>
      <w:hyperlink w:anchor="leadership-rhythm">
        <w:r>
          <w:rPr>
            <w:rStyle w:val="Hyperlink"/>
          </w:rPr>
          <w:t xml:space="preserve">23.1 Ritmo de liderazgo [31](#leadership-rhythm)</w:t>
        </w:r>
      </w:hyperlink>
    </w:p>
    <w:p>
      <w:pPr>
        <w:pStyle w:val="BodyText"/>
      </w:pPr>
      <w:hyperlink w:anchor="exercises-training-and-plan-maintenance">
        <w:r>
          <w:rPr>
            <w:rStyle w:val="Hyperlink"/>
          </w:rPr>
          <w:t xml:space="preserve">24. Ejercicios, capacitación y mantenimiento del plan [32](#exercises-training-and-plan-maintenance)</w:t>
        </w:r>
      </w:hyperlink>
    </w:p>
    <w:p>
      <w:pPr>
        <w:pStyle w:val="BodyText"/>
      </w:pPr>
      <w:hyperlink w:anchor="after-action-evidence">
        <w:r>
          <w:rPr>
            <w:rStyle w:val="Hyperlink"/>
          </w:rPr>
          <w:t xml:space="preserve">24.1 Pruebas posteriores a la acción [32](#after-action-evidence)</w:t>
        </w:r>
      </w:hyperlink>
    </w:p>
    <w:p>
      <w:pPr>
        <w:pStyle w:val="BodyText"/>
      </w:pPr>
      <w:hyperlink w:anchor="X4f7fc951bf20331af014b830992409edf0a6bd7">
        <w:r>
          <w:rPr>
            <w:rStyle w:val="Hyperlink"/>
          </w:rPr>
          <w:t xml:space="preserve">25. Mapeo de cumplimiento, pruebas de evidencia y métricas [33](#compliance-mapping-evidence-testing-and-metrics)</w:t>
        </w:r>
      </w:hyperlink>
    </w:p>
    <w:p>
      <w:pPr>
        <w:pStyle w:val="BodyText"/>
      </w:pPr>
      <w:hyperlink w:anchor="evidence-test">
        <w:r>
          <w:rPr>
            <w:rStyle w:val="Hyperlink"/>
          </w:rPr>
          <w:t xml:space="preserve">25.1 Prueba de prueba [33](#evidence-test)</w:t>
        </w:r>
      </w:hyperlink>
    </w:p>
    <w:p>
      <w:pPr>
        <w:pStyle w:val="BodyText"/>
      </w:pPr>
      <w:hyperlink w:anchor="open-source-tools">
        <w:r>
          <w:rPr>
            <w:rStyle w:val="Hyperlink"/>
          </w:rPr>
          <w:t xml:space="preserve">26. Herramientas de código abierto [34](#open-source-tools)</w:t>
        </w:r>
      </w:hyperlink>
    </w:p>
    <w:p>
      <w:pPr>
        <w:pStyle w:val="BodyText"/>
      </w:pPr>
      <w:hyperlink w:anchor="thehive">
        <w:r>
          <w:rPr>
            <w:rStyle w:val="Hyperlink"/>
          </w:rPr>
          <w:t xml:space="preserve">26.1 TheHive [34](#thehive)</w:t>
        </w:r>
      </w:hyperlink>
    </w:p>
    <w:p>
      <w:pPr>
        <w:pStyle w:val="BodyText"/>
      </w:pPr>
      <w:hyperlink w:anchor="cortex">
        <w:r>
          <w:rPr>
            <w:rStyle w:val="Hyperlink"/>
          </w:rPr>
          <w:t xml:space="preserve">26.2 Cortex [34](#cortex)</w:t>
        </w:r>
      </w:hyperlink>
    </w:p>
    <w:p>
      <w:pPr>
        <w:pStyle w:val="BodyText"/>
      </w:pPr>
      <w:hyperlink w:anchor="misp">
        <w:r>
          <w:rPr>
            <w:rStyle w:val="Hyperlink"/>
          </w:rPr>
          <w:t xml:space="preserve">26.3 MISP [35](#misp)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26.4 Wazuh [35](#wazuh)</w:t>
        </w:r>
      </w:hyperlink>
    </w:p>
    <w:p>
      <w:pPr>
        <w:pStyle w:val="BodyText"/>
      </w:pPr>
      <w:hyperlink w:anchor="velociraptor">
        <w:r>
          <w:rPr>
            <w:rStyle w:val="Hyperlink"/>
          </w:rPr>
          <w:t xml:space="preserve">26.5 Velociraptor [35](#velociraptor)</w:t>
        </w:r>
      </w:hyperlink>
    </w:p>
    <w:p>
      <w:pPr>
        <w:pStyle w:val="BodyText"/>
      </w:pPr>
      <w:hyperlink w:anchor="volatility-3">
        <w:r>
          <w:rPr>
            <w:rStyle w:val="Hyperlink"/>
          </w:rPr>
          <w:t xml:space="preserve">26.6 Volatilidad 3 [35](#volatility-3)</w:t>
        </w:r>
      </w:hyperlink>
    </w:p>
    <w:p>
      <w:pPr>
        <w:pStyle w:val="BodyText"/>
      </w:pPr>
      <w:hyperlink w:anchor="autopsy">
        <w:r>
          <w:rPr>
            <w:rStyle w:val="Hyperlink"/>
          </w:rPr>
          <w:t xml:space="preserve">26.7 Autopsia [35](#autopsy)</w:t>
        </w:r>
      </w:hyperlink>
    </w:p>
    <w:p>
      <w:pPr>
        <w:pStyle w:val="BodyText"/>
      </w:pPr>
      <w:hyperlink w:anchor="timesketch">
        <w:r>
          <w:rPr>
            <w:rStyle w:val="Hyperlink"/>
          </w:rPr>
          <w:t xml:space="preserve">26.8 Timesketch [36](#timesketch)</w:t>
        </w:r>
      </w:hyperlink>
    </w:p>
    <w:p>
      <w:pPr>
        <w:pStyle w:val="BodyText"/>
      </w:pPr>
      <w:hyperlink w:anchor="plaso-log2timeline">
        <w:r>
          <w:rPr>
            <w:rStyle w:val="Hyperlink"/>
          </w:rPr>
          <w:t xml:space="preserve">26.9 Plaso / log2timeline [36](#plaso-log2timeline)</w:t>
        </w:r>
      </w:hyperlink>
    </w:p>
    <w:p>
      <w:pPr>
        <w:pStyle w:val="BodyText"/>
      </w:pPr>
      <w:hyperlink w:anchor="osquery">
        <w:r>
          <w:rPr>
            <w:rStyle w:val="Hyperlink"/>
          </w:rPr>
          <w:t xml:space="preserve">26.10 osquery [36](#osquery)</w:t>
        </w:r>
      </w:hyperlink>
    </w:p>
    <w:p>
      <w:pPr>
        <w:pStyle w:val="BodyText"/>
      </w:pPr>
      <w:hyperlink w:anchor="zeek">
        <w:r>
          <w:rPr>
            <w:rStyle w:val="Hyperlink"/>
          </w:rPr>
          <w:t xml:space="preserve">26.11 Zeek [36](#zeek)</w:t>
        </w:r>
      </w:hyperlink>
    </w:p>
    <w:p>
      <w:pPr>
        <w:pStyle w:val="BodyText"/>
      </w:pPr>
      <w:hyperlink w:anchor="suricata">
        <w:r>
          <w:rPr>
            <w:rStyle w:val="Hyperlink"/>
          </w:rPr>
          <w:t xml:space="preserve">26.12 Suricata [36](#suricata)</w:t>
        </w:r>
      </w:hyperlink>
    </w:p>
    <w:p>
      <w:pPr>
        <w:pStyle w:val="BodyText"/>
      </w:pPr>
      <w:hyperlink w:anchor="yara">
        <w:r>
          <w:rPr>
            <w:rStyle w:val="Hyperlink"/>
          </w:rPr>
          <w:t xml:space="preserve">26.13 YARA [37](#yara)</w:t>
        </w:r>
      </w:hyperlink>
    </w:p>
    <w:p>
      <w:pPr>
        <w:pStyle w:val="BodyText"/>
      </w:pPr>
      <w:hyperlink w:anchor="sigma">
        <w:r>
          <w:rPr>
            <w:rStyle w:val="Hyperlink"/>
          </w:rPr>
          <w:t xml:space="preserve">26.14 Sigma [37](#sigma)</w:t>
        </w:r>
      </w:hyperlink>
    </w:p>
    <w:p>
      <w:pPr>
        <w:pStyle w:val="BodyText"/>
      </w:pPr>
      <w:hyperlink w:anchor="dfir-iris">
        <w:r>
          <w:rPr>
            <w:rStyle w:val="Hyperlink"/>
          </w:rPr>
          <w:t xml:space="preserve">26.15 DFIR-IRIS [37](#dfir-iris)</w:t>
        </w:r>
      </w:hyperlink>
    </w:p>
    <w:p>
      <w:pPr>
        <w:pStyle w:val="BodyText"/>
      </w:pPr>
      <w:hyperlink w:anchor="grr-rapid-response">
        <w:r>
          <w:rPr>
            <w:rStyle w:val="Hyperlink"/>
          </w:rPr>
          <w:t xml:space="preserve">26.16 GRR Rapid Response [37](#grr-rapid-response)</w:t>
        </w:r>
      </w:hyperlink>
    </w:p>
    <w:p>
      <w:pPr>
        <w:pStyle w:val="BodyText"/>
      </w:pPr>
      <w:hyperlink w:anchor="shuffle">
        <w:r>
          <w:rPr>
            <w:rStyle w:val="Hyperlink"/>
          </w:rPr>
          <w:t xml:space="preserve">26.17 Shuffle [38](#shuffle)</w:t>
        </w:r>
      </w:hyperlink>
    </w:p>
    <w:p>
      <w:pPr>
        <w:pStyle w:val="BodyText"/>
      </w:pPr>
      <w:hyperlink w:anchor="opensearch">
        <w:r>
          <w:rPr>
            <w:rStyle w:val="Hyperlink"/>
          </w:rPr>
          <w:t xml:space="preserve">26.18 OpenSearch [38](#opensearch)</w:t>
        </w:r>
      </w:hyperlink>
    </w:p>
    <w:p>
      <w:pPr>
        <w:pStyle w:val="BodyText"/>
      </w:pPr>
      <w:hyperlink w:anchor="managers-resilience-playbook">
        <w:r>
          <w:rPr>
            <w:rStyle w:val="Hyperlink"/>
          </w:rPr>
          <w:t xml:space="preserve">27. Manual de resiliencia para gerentes [39](#managers-resilience-playbook)</w:t>
        </w:r>
      </w:hyperlink>
    </w:p>
    <w:p>
      <w:pPr>
        <w:pStyle w:val="BodyText"/>
      </w:pPr>
      <w:hyperlink w:anchor="executive-questions">
        <w:r>
          <w:rPr>
            <w:rStyle w:val="Hyperlink"/>
          </w:rPr>
          <w:t xml:space="preserve">27.1 Cuestiones ejecutivas [39](#executive-questions)</w:t>
        </w:r>
      </w:hyperlink>
    </w:p>
    <w:p>
      <w:pPr>
        <w:pStyle w:val="BodyText"/>
      </w:pPr>
      <w:hyperlink w:anchor="X86d744bd5a1cafcec74b120373f05f48ecf6632">
        <w:r>
          <w:rPr>
            <w:rStyle w:val="Hyperlink"/>
          </w:rPr>
          <w:t xml:space="preserve">28. Junior Analyst Career Guide and Portfolio Lab [40](#junior-analyst-career-guide-and-portfolio-lab)</w:t>
        </w:r>
      </w:hyperlink>
    </w:p>
    <w:p>
      <w:pPr>
        <w:pStyle w:val="BodyText"/>
      </w:pPr>
      <w:hyperlink w:anchor="common-roles">
        <w:r>
          <w:rPr>
            <w:rStyle w:val="Hyperlink"/>
          </w:rPr>
          <w:t xml:space="preserve">28.1 Funciones comunes [40](#common-roles)</w:t>
        </w:r>
      </w:hyperlink>
    </w:p>
    <w:p>
      <w:pPr>
        <w:pStyle w:val="BodyText"/>
      </w:pPr>
      <w:hyperlink w:anchor="typical-work">
        <w:r>
          <w:rPr>
            <w:rStyle w:val="Hyperlink"/>
          </w:rPr>
          <w:t xml:space="preserve">28.2 Trabajo típico [40](#typical-work)</w:t>
        </w:r>
      </w:hyperlink>
    </w:p>
    <w:p>
      <w:pPr>
        <w:pStyle w:val="BodyText"/>
      </w:pPr>
      <w:hyperlink w:anchor="fictional-portfolio-lab">
        <w:r>
          <w:rPr>
            <w:rStyle w:val="Hyperlink"/>
          </w:rPr>
          <w:t xml:space="preserve">28.3 Fictional portfolio lab [41](#fictional-portfolio-lab)</w:t>
        </w:r>
      </w:hyperlink>
    </w:p>
    <w:p>
      <w:pPr>
        <w:pStyle w:val="BodyText"/>
      </w:pPr>
      <w:hyperlink w:anchor="X9d3ff43c50199284aa04f305e752425f6b35670">
        <w:r>
          <w:rPr>
            <w:rStyle w:val="Hyperlink"/>
          </w:rPr>
          <w:t xml:space="preserve">29. Preparación del Plan de Treinta Días y la Entrevista [42](#thirty-day-plan-and-interview-preparation)</w:t>
        </w:r>
      </w:hyperlink>
    </w:p>
    <w:p>
      <w:pPr>
        <w:pStyle w:val="BodyText"/>
      </w:pPr>
      <w:hyperlink w:anchor="X49bc2aa5491fe4aabacb3d24768b1263ba4a718">
        <w:r>
          <w:rPr>
            <w:rStyle w:val="Hyperlink"/>
          </w:rPr>
          <w:t xml:space="preserve">29.2 ¿Cuál es la diferencia entre IR, BC y DR? [42](#what-is-the-difference-between-ir-bc-and-dr)</w:t>
        </w:r>
      </w:hyperlink>
    </w:p>
    <w:p>
      <w:pPr>
        <w:pStyle w:val="BodyText"/>
      </w:pPr>
      <w:hyperlink w:anchor="what-is-nist-sp-800-61-rev.-3">
        <w:r>
          <w:rPr>
            <w:rStyle w:val="Hyperlink"/>
          </w:rPr>
          <w:t xml:space="preserve">29.3 ¿Qué es NIST SP 800-61 Rev. 3? [42](#what-is-nist-sp-800-61-rev.-3)</w:t>
        </w:r>
      </w:hyperlink>
    </w:p>
    <w:p>
      <w:pPr>
        <w:pStyle w:val="BodyText"/>
      </w:pPr>
      <w:hyperlink w:anchor="rto-versus-rpo">
        <w:r>
          <w:rPr>
            <w:rStyle w:val="Hyperlink"/>
          </w:rPr>
          <w:t xml:space="preserve">29.4 RTO versus RPO? [42](#rto-versus-rpo)</w:t>
        </w:r>
      </w:hyperlink>
    </w:p>
    <w:p>
      <w:pPr>
        <w:pStyle w:val="BodyText"/>
      </w:pPr>
      <w:hyperlink w:anchor="how-do-you-triage-an-incident">
        <w:r>
          <w:rPr>
            <w:rStyle w:val="Hyperlink"/>
          </w:rPr>
          <w:t xml:space="preserve">29.5 ¿Cómo se recorta un incidente? [42](#how-do-you-triage-an-incident)</w:t>
        </w:r>
      </w:hyperlink>
    </w:p>
    <w:p>
      <w:pPr>
        <w:pStyle w:val="BodyText"/>
      </w:pPr>
      <w:hyperlink w:anchor="what-makes-evidence-reliable">
        <w:r>
          <w:rPr>
            <w:rStyle w:val="Hyperlink"/>
          </w:rPr>
          <w:t xml:space="preserve">29.6 ¿Qué hace la evidencia confiable? [42](#what-makes-evidence-reliable)</w:t>
        </w:r>
      </w:hyperlink>
    </w:p>
    <w:p>
      <w:pPr>
        <w:pStyle w:val="BodyText"/>
      </w:pPr>
      <w:hyperlink w:anchor="when-is-recovery-complete">
        <w:r>
          <w:rPr>
            <w:rStyle w:val="Hyperlink"/>
          </w:rPr>
          <w:t xml:space="preserve">29.7 ¿Cuándo se completa la recuperación? [42](#when-is-recovery-complete)</w:t>
        </w:r>
      </w:hyperlink>
    </w:p>
    <w:p>
      <w:pPr>
        <w:pStyle w:val="BodyText"/>
      </w:pPr>
      <w:hyperlink w:anchor="how-do-you-close-an-improvement">
        <w:r>
          <w:rPr>
            <w:rStyle w:val="Hyperlink"/>
          </w:rPr>
          <w:t xml:space="preserve">29.8 ¿Cómo se cierra una mejora? [42](#how-do-you-close-an-improvement)</w:t>
        </w:r>
      </w:hyperlink>
    </w:p>
    <w:p>
      <w:pPr>
        <w:pStyle w:val="BodyText"/>
      </w:pPr>
      <w:hyperlink w:anchor="what-should-a-junior-analyst-avoid">
        <w:r>
          <w:rPr>
            <w:rStyle w:val="Hyperlink"/>
          </w:rPr>
          <w:t xml:space="preserve">29.9 ¿Qué debe evitar un analista junior? [43](#what-should-a-junior-analyst-avoid)</w:t>
        </w:r>
      </w:hyperlink>
    </w:p>
    <w:p>
      <w:pPr>
        <w:pStyle w:val="BodyText"/>
      </w:pPr>
      <w:hyperlink w:anchor="questions-to-ask-the-employer">
        <w:r>
          <w:rPr>
            <w:rStyle w:val="Hyperlink"/>
          </w:rPr>
          <w:t xml:space="preserve">29.10 Preguntas para hacer al empleador [43](#questions-to-ask-the-employer)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30. Plantillas, Glosario, Índice y Referencias [44](#templates-glossary-index-and-references)</w:t>
        </w:r>
      </w:hyperlink>
    </w:p>
    <w:p>
      <w:pPr>
        <w:pStyle w:val="BodyText"/>
      </w:pPr>
      <w:hyperlink w:anchor="incident-case-record">
        <w:r>
          <w:rPr>
            <w:rStyle w:val="Hyperlink"/>
          </w:rPr>
          <w:t xml:space="preserve">30.1 Registro de casos de incidentes [44](#incident-case-record)</w:t>
        </w:r>
      </w:hyperlink>
    </w:p>
    <w:p>
      <w:pPr>
        <w:pStyle w:val="BodyText"/>
      </w:pPr>
      <w:hyperlink w:anchor="bia-and-continuity-record">
        <w:r>
          <w:rPr>
            <w:rStyle w:val="Hyperlink"/>
          </w:rPr>
          <w:t xml:space="preserve">30.2 AII y registro de continuidad [44](#bia-and-continuity-record)</w:t>
        </w:r>
      </w:hyperlink>
    </w:p>
    <w:p>
      <w:pPr>
        <w:pStyle w:val="BodyText"/>
      </w:pPr>
      <w:hyperlink w:anchor="evidence-and-chain-of-custody-record">
        <w:r>
          <w:rPr>
            <w:rStyle w:val="Hyperlink"/>
          </w:rPr>
          <w:t xml:space="preserve">30.3 Evidencia y registro de cadena de custodia [44] (#evidence-and-chain-of-custody-record)</w:t>
        </w:r>
      </w:hyperlink>
    </w:p>
    <w:p>
      <w:pPr>
        <w:pStyle w:val="BodyText"/>
      </w:pPr>
      <w:hyperlink w:anchor="exercise-and-corrective-action-record">
        <w:r>
          <w:rPr>
            <w:rStyle w:val="Hyperlink"/>
          </w:rPr>
          <w:t xml:space="preserve">30.4 Registro de ejercicio y acción correctiva [44](#exercise-and-corrective-action-record)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30.5 Glosario [45](#glossary)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30.6 Índice de asunto [45](#subject-index)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30.7 Referencias oficiales [46](#official-references)</w:t>
        </w:r>
      </w:hyperlink>
    </w:p>
    <w:p>
      <w:pPr>
        <w:pStyle w:val="BodyText"/>
      </w:pPr>
      <w:r>
        <w:t xml:space="preserve">Guía del Capítulo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Capítulo</w:t>
            </w:r>
          </w:p>
        </w:tc>
      </w:tr>
    </w:tbl>
    <w:p>
      <w:pPr>
        <w:pStyle w:val="BodyText"/>
      </w:pPr>
      <w:r>
        <w:t xml:space="preserve">← IR, Business Continuity, and Disaster Recovery Foundations</w:t>
      </w:r>
      <w:r>
        <w:t xml:space="preserve"> </w:t>
      </w:r>
      <w:r>
        <w:t xml:space="preserve">| 2 | Gobernanza, Política y Rols | 6</w:t>
      </w:r>
      <w:r>
        <w:t xml:space="preserve"> </w:t>
      </w:r>
      <w:r>
        <w:t xml:space="preserve">Silencioso 3 Evaluación de Riesgos y Análisis de Impacto Empresarial</w:t>
      </w:r>
      <w:r>
        <w:t xml:space="preserve"> </w:t>
      </w:r>
      <w:r>
        <w:t xml:space="preserve">| 4 | actual NIST Respuesta del incidente Modelo | 9 |</w:t>
      </w:r>
      <w:r>
        <w:t xml:space="preserve"> </w:t>
      </w:r>
      <w:r>
        <w:t xml:space="preserve">| 5 ← Preparación y Lecturas |</w:t>
      </w:r>
      <w:r>
        <w:t xml:space="preserve"> </w:t>
      </w:r>
      <w:r>
        <w:t xml:space="preserve">| 6 | Detección y Validación de Eventos</w:t>
      </w:r>
      <w:r>
        <w:t xml:space="preserve"> </w:t>
      </w:r>
      <w:r>
        <w:t xml:space="preserve">| 7 ← Triage, Severity, and Escalation |</w:t>
      </w:r>
      <w:r>
        <w:t xml:space="preserve"> </w:t>
      </w:r>
      <w:r>
        <w:t xml:space="preserve">| 8 Silenciosos de investigación y desarrollo |</w:t>
      </w:r>
      <w:r>
        <w:t xml:space="preserve"> </w:t>
      </w:r>
      <w:r>
        <w:t xml:space="preserve">Silenciosos 9 Silenciosos Estrategia de Contención</w:t>
      </w:r>
      <w:r>
        <w:t xml:space="preserve"> </w:t>
      </w:r>
      <w:r>
        <w:t xml:space="preserve">Silenciosos 10 Silenciosos Erradicación y Remediación</w:t>
      </w:r>
      <w:r>
        <w:t xml:space="preserve"> </w:t>
      </w:r>
      <w:r>
        <w:t xml:space="preserve">| 11 Silencioso de recuperación y regreso al servicio |</w:t>
      </w:r>
      <w:r>
        <w:t xml:space="preserve"> </w:t>
      </w:r>
      <w:r>
        <w:t xml:space="preserve">tención 12 lecciones aprendidas y mejoradas</w:t>
      </w:r>
      <w:r>
        <w:t xml:space="preserve"> </w:t>
      </w:r>
      <w:r>
        <w:t xml:space="preserve">| 13 | Comunicación, Coordinación Jurídica y Reguladora</w:t>
      </w:r>
      <w:r>
        <w:t xml:space="preserve"> </w:t>
      </w:r>
      <w:r>
        <w:t xml:space="preserve">| 14 | Evidencia Digital y Lecturas Forenses</w:t>
      </w:r>
      <w:r>
        <w:t xml:space="preserve"> </w:t>
      </w:r>
      <w:r>
        <w:t xml:space="preserve">| 15 | Ransomware and Destructive Attacks</w:t>
      </w:r>
      <w:r>
        <w:t xml:space="preserve"> </w:t>
      </w:r>
      <w:r>
        <w:t xml:space="preserve">| 16 | en la nube y SaaS Respuesta del incidente</w:t>
      </w:r>
      <w:r>
        <w:t xml:space="preserve"> </w:t>
      </w:r>
      <w:r>
        <w:t xml:space="preserve">TEN 17 | Identidad y Acceso Privilegiado Incidentes | 22 |</w:t>
      </w:r>
      <w:r>
        <w:t xml:space="preserve"> </w:t>
      </w:r>
      <w:r>
        <w:t xml:space="preserve">tención 18 Silenciosos Incidentes de Terceros y Cambios de Suministros</w:t>
      </w:r>
      <w:r>
        <w:t xml:space="preserve"> </w:t>
      </w:r>
      <w:r>
        <w:t xml:space="preserve">| 19 | Business Continuity Management System</w:t>
      </w:r>
      <w:r>
        <w:t xml:space="preserve"> </w:t>
      </w:r>
      <w:r>
        <w:t xml:space="preserve">| 20 | Estrategias y Procedimientos de Continuidad</w:t>
      </w:r>
      <w:r>
        <w:t xml:space="preserve"> </w:t>
      </w:r>
      <w:r>
        <w:t xml:space="preserve">| 21 | para la recuperación de desastres</w:t>
      </w:r>
      <w:r>
        <w:t xml:space="preserve"> </w:t>
      </w:r>
      <w:r>
        <w:t xml:space="preserve">Silencios y seguridad de la recuperación</w:t>
      </w:r>
      <w:r>
        <w:t xml:space="preserve"> </w:t>
      </w:r>
      <w:r>
        <w:t xml:space="preserve">Silencioso en la gestión de crisis y los factores humanos</w:t>
      </w:r>
      <w:r>
        <w:t xml:space="preserve"> </w:t>
      </w:r>
      <w:r>
        <w:t xml:space="preserve">| 24 | Ejercicios, Capacitación y Mantenimiento del Plan | 30</w:t>
      </w:r>
      <w:r>
        <w:t xml:space="preserve"> </w:t>
      </w:r>
      <w:r>
        <w:t xml:space="preserve">TENCIÓN 25 | Cumplimiento de Mapping, Pruebas de Evidencia y métricas</w:t>
      </w:r>
      <w:r>
        <w:t xml:space="preserve"> </w:t>
      </w:r>
      <w:r>
        <w:t xml:space="preserve">| 26 | Open-Source Herramientas | 32 |</w:t>
      </w:r>
      <w:r>
        <w:t xml:space="preserve"> </w:t>
      </w:r>
      <w:r>
        <w:t xml:space="preserve">Resilience Playbook de Resilience Manager Silencioso</w:t>
      </w:r>
      <w:r>
        <w:t xml:space="preserve"> </w:t>
      </w:r>
      <w:r>
        <w:t xml:space="preserve">| 28 | Junior Analyst Guía de Carreras y Portfolio Lab</w:t>
      </w:r>
      <w:r>
        <w:t xml:space="preserve"> </w:t>
      </w:r>
      <w:r>
        <w:t xml:space="preserve">| 29 | Plan de Treinta Días y Preparación de Entrevista</w:t>
      </w:r>
      <w:r>
        <w:t xml:space="preserve"> </w:t>
      </w:r>
      <w:r>
        <w:t xml:space="preserve">| 30 TENIDOS Plantillas, Glosario, Índice y Referencias | 42 |</w:t>
      </w:r>
    </w:p>
    <w:bookmarkEnd w:id="22"/>
    <w:bookmarkStart w:id="24" w:name="X3f8f0b619f2a2b1acb6eb3caf4c082a462fd704"/>
    <w:p>
      <w:pPr>
        <w:pStyle w:val="Heading1"/>
      </w:pPr>
      <w:r>
        <w:t xml:space="preserve">1. IR, Business Continuity, and Disaster Recovery Foundations</w:t>
      </w:r>
    </w:p>
    <w:p>
      <w:pPr>
        <w:pStyle w:val="FirstParagraph"/>
      </w:pPr>
      <w:r>
        <w:rPr>
          <w:iCs/>
          <w:i/>
        </w:rPr>
        <w:t xml:space="preserve">Resilience conecta la respuesta cibernética, operaciones críticas, restauración tecnológica y liderazgo.</w:t>
      </w:r>
    </w:p>
    <w:p>
      <w:pPr>
        <w:pStyle w:val="BodyText"/>
      </w:pPr>
      <w:r>
        <w:t xml:space="preserve">■img src=</w:t>
      </w:r>
      <w:r>
        <w:t xml:space="preserve">“</w:t>
      </w:r>
      <w:r>
        <w:t xml:space="preserve">media/image1.png</w:t>
      </w:r>
      <w:r>
        <w:t xml:space="preserve">”</w:t>
      </w:r>
      <w:r>
        <w:t xml:space="preserve"> </w:t>
      </w:r>
      <w:r>
        <w:t xml:space="preserve">estilo=</w:t>
      </w:r>
      <w:r>
        <w:t xml:space="preserve">“</w:t>
      </w:r>
      <w:r>
        <w:t xml:space="preserve">Ancho:6.15in; Altura:3.39605in</w:t>
      </w:r>
      <w:r>
        <w:t xml:space="preserve">”</w:t>
      </w:r>
      <w:r>
        <w:t xml:space="preserve"> </w:t>
      </w:r>
      <w:r>
        <w:t xml:space="preserve">alt=</w:t>
      </w:r>
      <w:r>
        <w:t xml:space="preserve">“</w:t>
      </w:r>
      <w:r>
        <w:t xml:space="preserve">Govern, Identificar y Proteger la preparación de soporte; Detectar, Responder y Recuperar incidentes de manija; las lecciones mejorar cada función.</w:t>
      </w:r>
      <w:r>
        <w:t xml:space="preserve">”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Gráfico 1 Ciclo integrado de resiliencia cibernética</w:t>
      </w:r>
    </w:p>
    <w:p>
      <w:pPr>
        <w:pStyle w:val="BodyText"/>
      </w:pPr>
      <w:r>
        <w:rPr>
          <w:bCs/>
          <w:b/>
        </w:rPr>
        <w:t xml:space="preserve">Capacidad</w:t>
      </w:r>
      <w:r>
        <w:t xml:space="preserve"> </w:t>
      </w:r>
      <w:r>
        <w:t xml:space="preserve">Silencioso ** Pregunta primaria**</w:t>
      </w:r>
      <w:r>
        <w:t xml:space="preserve"> </w:t>
      </w:r>
      <w:r>
        <w:t xml:space="preserve">|—————————————— La vida—————— |</w:t>
      </w:r>
      <w:r>
        <w:t xml:space="preserve"> </w:t>
      </w:r>
      <w:r>
        <w:t xml:space="preserve">Respuesta del incidente | ¿Cómo detectamos, conteniendo, eliminamos, recuperamos y aprendemos de incidentes cibernéticos? | Seguridad / Comandante del incidente</w:t>
      </w:r>
      <w:r>
        <w:t xml:space="preserve"> </w:t>
      </w:r>
      <w:r>
        <w:t xml:space="preserve">¿Cómo continuarán los productos y servicios críticos durante la interrupción? continuidad de las operaciones / propietarios de procesos</w:t>
      </w:r>
      <w:r>
        <w:t xml:space="preserve"> </w:t>
      </w:r>
      <w:r>
        <w:t xml:space="preserve">¿Cómo se restaurarán la tecnología y los datos a los objetivos aprobados? viv IT / sistema y propietarios de recuperación</w:t>
      </w:r>
      <w:r>
        <w:t xml:space="preserve"> </w:t>
      </w:r>
      <w:r>
        <w:t xml:space="preserve">¿Cómo los líderes tomarán decisiones de alto impacto y coordinarán a los interesados? equipo de crisis ejecutiva</w:t>
      </w:r>
      <w:r>
        <w:t xml:space="preserve"> </w:t>
      </w:r>
      <w:r>
        <w:t xml:space="preserve">| de emergencia / seguridad de la vida | ¿Cómo se protegerá a la gente durante el peligro físico? instalaciones / seguridad / autoridades públicas</w:t>
      </w:r>
    </w:p>
    <w:p>
      <w:pPr>
        <w:pStyle w:val="BodyText"/>
      </w:pPr>
      <w:r>
        <w:t xml:space="preserve">No confundan los planes** Deben coordinarse, pero tienen diferentes objetivos, autoridades, desencadenantes, equipos y pruebas. Un documento rara vez sirve a cada necesidad bien. |</w:t>
      </w:r>
      <w:r>
        <w:t xml:space="preserve"> </w:t>
      </w:r>
      <w:r>
        <w:t xml:space="preserve">Respuesta</w:t>
      </w:r>
    </w:p>
    <w:p>
      <w:pPr>
        <w:numPr>
          <w:ilvl w:val="0"/>
          <w:numId w:val="1002"/>
        </w:numPr>
        <w:pStyle w:val="Compact"/>
      </w:pPr>
      <w:r>
        <w:t xml:space="preserve">Gobernanza, política y funciones</w:t>
      </w:r>
    </w:p>
    <w:p>
      <w:pPr>
        <w:pStyle w:val="FirstParagraph"/>
      </w:pPr>
      <w:r>
        <w:rPr>
          <w:iCs/>
          <w:i/>
        </w:rPr>
        <w:t xml:space="preserve">La austeridad, los derechos de decisión, los contactos y los recursos deben existir antes de que comience la presión</w:t>
      </w:r>
      <w:r>
        <w:t xml:space="preserve">.</w:t>
      </w:r>
    </w:p>
    <w:bookmarkStart w:id="23" w:name="gobernanza-esencial"/>
    <w:p>
      <w:pPr>
        <w:pStyle w:val="Heading2"/>
      </w:pPr>
      <w:r>
        <w:t xml:space="preserve">2.1 Gobernanza esencial</w:t>
      </w:r>
    </w:p>
    <w:p>
      <w:pPr>
        <w:numPr>
          <w:ilvl w:val="0"/>
          <w:numId w:val="1003"/>
        </w:numPr>
      </w:pPr>
      <w:r>
        <w:t xml:space="preserve">Política, alcance, objetivos, autoridades, criterios de riesgo y recursos aprobados por el Ejecutivo.</w:t>
      </w:r>
    </w:p>
    <w:p>
      <w:pPr>
        <w:numPr>
          <w:ilvl w:val="0"/>
          <w:numId w:val="1003"/>
        </w:numPr>
      </w:pPr>
      <w:r>
        <w:t xml:space="preserve">Nombrado comandante de incidentes, líder técnico, líder de continuidad, líder de recuperación, líder de comunicaciones, contactos legales/privacy y suplentes.</w:t>
      </w:r>
    </w:p>
    <w:p>
      <w:pPr>
        <w:numPr>
          <w:ilvl w:val="0"/>
          <w:numId w:val="1003"/>
        </w:numPr>
      </w:pPr>
      <w:r>
        <w:t xml:space="preserve">umbrales de severidad y activación, rutas de escalada, autoridad de cambio de emergencia, autoridad de gasto y aceptación de riesgos comerciales.</w:t>
      </w:r>
    </w:p>
    <w:p>
      <w:pPr>
        <w:numPr>
          <w:ilvl w:val="0"/>
          <w:numId w:val="1003"/>
        </w:numPr>
      </w:pPr>
      <w:r>
        <w:t xml:space="preserve">Métodos de contacto seguros, comunicaciones fuera de banda, árboles de llamada, proveedores, aseguradores, reguladores y autoridades públicas.</w:t>
      </w:r>
    </w:p>
    <w:p>
      <w:pPr>
        <w:numPr>
          <w:ilvl w:val="0"/>
          <w:numId w:val="1003"/>
        </w:numPr>
      </w:pPr>
      <w:r>
        <w:t xml:space="preserve">Plan de propiedad, control de versiones, distribución, capacitación, ejercicio, revisión y calendario de mejora.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Comandante de incidentes</w:t>
            </w:r>
          </w:p>
        </w:tc>
      </w:tr>
    </w:tbl>
    <w:p>
      <w:pPr>
        <w:pStyle w:val="BodyText"/>
      </w:pPr>
      <w:r>
        <w:t xml:space="preserve">TENCIÓN Líder técnico permanente Investigación, alcance, contención, erradicación, criterios de recuperación</w:t>
      </w:r>
      <w:r>
        <w:t xml:space="preserve"> </w:t>
      </w:r>
      <w:r>
        <w:t xml:space="preserve">| Propietario de negocios | Impacto operacional, solución de trabajo, prioridad, aceptación de regreso al servicio |</w:t>
      </w:r>
      <w:r>
        <w:t xml:space="preserve"> </w:t>
      </w:r>
      <w:r>
        <w:t xml:space="preserve">← Continuidad / liderato de la RD | Procesos alternativos/sitio, secuencia de recuperación, conflictos de recursos</w:t>
      </w:r>
      <w:r>
        <w:t xml:space="preserve"> </w:t>
      </w:r>
      <w:r>
        <w:t xml:space="preserve">TEN Legal / privacy TENCIÓN Privilege, preservación, análisis de notificaciones, autoridades, contratos</w:t>
      </w:r>
      <w:r>
        <w:t xml:space="preserve"> </w:t>
      </w:r>
      <w:r>
        <w:t xml:space="preserve">| Comunicaciones | Empleados, clientes, socios, publico, medios de comunicación, aprobación de mensajes</w:t>
      </w:r>
      <w:r>
        <w:t xml:space="preserve"> </w:t>
      </w:r>
      <w:r>
        <w:t xml:space="preserve">← Scribe / evidencia custodia tención Timeline, decisions, evidence identity, custody, action log</w:t>
      </w:r>
      <w:r>
        <w:t xml:space="preserve"> </w:t>
      </w:r>
      <w:r>
        <w:t xml:space="preserve">| Equipo de crisis ejecutiva Seguridad, riesgo material, estrategia, recursos, postura externa |</w:t>
      </w:r>
    </w:p>
    <w:bookmarkEnd w:id="23"/>
    <w:bookmarkEnd w:id="24"/>
    <w:bookmarkStart w:id="26" w:name="Xd620c1024bec40786ea60cc5e79ebc284be10e8"/>
    <w:p>
      <w:pPr>
        <w:pStyle w:val="Heading1"/>
      </w:pPr>
      <w:r>
        <w:t xml:space="preserve">3. Evaluación de riesgos y análisis de impacto empresarial</w:t>
      </w:r>
    </w:p>
    <w:p>
      <w:pPr>
        <w:pStyle w:val="FirstParagraph"/>
      </w:pPr>
      <w:r>
        <w:rPr>
          <w:iCs/>
          <w:i/>
        </w:rPr>
        <w:t xml:space="preserve">Un análisis de impacto empresarial convierte la importancia vaga en requisitos de recuperación basados en el tiempo</w:t>
      </w:r>
      <w:r>
        <w:t xml:space="preserve">.</w:t>
      </w:r>
    </w:p>
    <w:p>
      <w:pPr>
        <w:pStyle w:val="BodyText"/>
      </w:pPr>
      <w:r>
        <w:t xml:space="preserve">“</w:t>
      </w:r>
      <w:r>
        <w:t xml:space="preserve">Estilo del anzuelo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Análisis</w:t>
      </w:r>
      <w:r>
        <w:t xml:space="preserve">”</w:t>
      </w:r>
      <w:r>
        <w:t xml:space="preserve"> </w:t>
      </w:r>
      <w:r>
        <w:t xml:space="preserve">= ancho:6.15in; altura:3.39605in” alt=</w:t>
      </w:r>
      <w:r>
        <w:t xml:space="preserve">“</w:t>
      </w:r>
      <w:r>
        <w:t xml:space="preserve">Analyze impactantes antes de elegir la tecnología o soluciones de continuidad.</w:t>
      </w:r>
      <w:r>
        <w:t xml:space="preserve">”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Figure 2. BIA reasoning chain</w:t>
      </w:r>
    </w:p>
    <w:bookmarkStart w:id="25" w:name="bia-method"/>
    <w:p>
      <w:pPr>
        <w:pStyle w:val="Heading2"/>
      </w:pPr>
      <w:r>
        <w:t xml:space="preserve">3.1 BIA method</w:t>
      </w:r>
    </w:p>
    <w:p>
      <w:pPr>
        <w:numPr>
          <w:ilvl w:val="0"/>
          <w:numId w:val="1004"/>
        </w:numPr>
      </w:pPr>
      <w:r>
        <w:t xml:space="preserve">Definir productos, servicios, procesos, propietarios, clientes y productos mínimo aceptables.</w:t>
      </w:r>
    </w:p>
    <w:p>
      <w:pPr>
        <w:numPr>
          <w:ilvl w:val="0"/>
          <w:numId w:val="1004"/>
        </w:numPr>
      </w:pPr>
      <w:r>
        <w:t xml:space="preserve">Estimar la seguridad, legal, cliente, financiero, operativo, privacidad, seguridad y el impacto de reputación a medida que aumenta la longitud de la perturbación.</w:t>
      </w:r>
    </w:p>
    <w:p>
      <w:pPr>
        <w:numPr>
          <w:ilvl w:val="0"/>
          <w:numId w:val="1004"/>
        </w:numPr>
      </w:pPr>
      <w:r>
        <w:t xml:space="preserve">Establecer el período máximo tolerable de perturbación (MTPD/MAO) y un objetivo de tiempo de recuperación (RTO) que se ajuste dentro de él.</w:t>
      </w:r>
    </w:p>
    <w:p>
      <w:pPr>
        <w:numPr>
          <w:ilvl w:val="0"/>
          <w:numId w:val="1004"/>
        </w:numPr>
      </w:pPr>
      <w:r>
        <w:t xml:space="preserve">Establecer el objetivo del punto de recuperación (RPO): la pérdida máxima de datos tolerables medida en el tiempo.</w:t>
      </w:r>
    </w:p>
    <w:p>
      <w:pPr>
        <w:numPr>
          <w:ilvl w:val="0"/>
          <w:numId w:val="1004"/>
        </w:numPr>
      </w:pPr>
      <w:r>
        <w:t xml:space="preserve">Identificar a personas, instalaciones, tecnología, datos, proveedores, servicios públicos, comunicaciones, registros y dependencias de corriente y corriente.</w:t>
      </w:r>
    </w:p>
    <w:p>
      <w:pPr>
        <w:numPr>
          <w:ilvl w:val="0"/>
          <w:numId w:val="1004"/>
        </w:numPr>
      </w:pPr>
      <w:r>
        <w:t xml:space="preserve">Validar supuestos con los propietarios de procesos y el liderazgo; resolver prioridades conflictivas.</w:t>
      </w:r>
    </w:p>
    <w:p>
      <w:pPr>
        <w:numPr>
          <w:ilvl w:val="0"/>
          <w:numId w:val="1004"/>
        </w:numPr>
      </w:pPr>
      <w:r>
        <w:t xml:space="preserve">Use resultados para seleccionar estrategias, niveles de recuperación, pruebas, inversiones y contenido del plan.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 Term**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MTPD / MAO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 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mínimo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tención dependencia tención Recurso otro proceso necesita para entregar su salida TENSI Identidad, DNS, región de la nube, personas, proveedor</w:t>
            </w:r>
          </w:p>
        </w:tc>
      </w:tr>
    </w:tbl>
    <w:p>
      <w:pPr>
        <w:pStyle w:val="BodyText"/>
      </w:pPr>
      <w:r>
        <w:t xml:space="preserve">Error común:** RTO y RPO son requisitos de negocio, no ajustes de producto de copia de seguridad. Pruebe si el servicio completo al final puede realmente satisfacerlos. |</w:t>
      </w:r>
      <w:r>
        <w:t xml:space="preserve"> </w:t>
      </w:r>
      <w:r>
        <w:t xml:space="preserve">|. |</w:t>
      </w:r>
    </w:p>
    <w:bookmarkEnd w:id="25"/>
    <w:bookmarkEnd w:id="26"/>
    <w:bookmarkStart w:id="28" w:name="X3406c20535cc1d6fb97eb7a8f62c6d42519cc53"/>
    <w:p>
      <w:pPr>
        <w:pStyle w:val="Heading1"/>
      </w:pPr>
      <w:r>
        <w:t xml:space="preserve">4. Actual NIST Modelo de respuesta de incidentes</w:t>
      </w:r>
    </w:p>
    <w:p>
      <w:pPr>
        <w:pStyle w:val="FirstParagraph"/>
      </w:pPr>
      <w:r>
        <w:rPr>
          <w:iCs/>
          <w:i/>
        </w:rPr>
        <w:t xml:space="preserve">NIST SP 800-61 Rev. 3 integra la respuesta de incidentes en las seis Funciones CSF 2.0.</w:t>
      </w:r>
    </w:p>
    <w:p>
      <w:pPr>
        <w:pStyle w:val="BodyText"/>
      </w:pPr>
      <w:r>
        <w:rPr>
          <w:bCs/>
          <w:b/>
        </w:rPr>
        <w:t xml:space="preserve">CSF Función</w:t>
      </w:r>
      <w:r>
        <w:t xml:space="preserve"> </w:t>
      </w:r>
      <w:r>
        <w:t xml:space="preserve">| ** Contribución de respuesta a los incidentes**</w:t>
      </w:r>
    </w:p>
    <w:p>
      <w:pPr>
        <w:pStyle w:val="BodyText"/>
      </w:pPr>
      <w:r>
        <w:t xml:space="preserve">|. |</w:t>
      </w:r>
      <w:r>
        <w:t xml:space="preserve"> </w:t>
      </w:r>
      <w:r>
        <w:t xml:space="preserve">tención Govern Silencioso política, funciones, autoridades, necesidades legales y contractuales, responsabilidades de proveedores, supervisión, mejora</w:t>
      </w:r>
      <w:r>
        <w:t xml:space="preserve"> </w:t>
      </w:r>
      <w:r>
        <w:t xml:space="preserve">tención Identificar activos, servicios, datos, dependencias, riesgos, vulnerabilidades, necesidades de mejora</w:t>
      </w:r>
      <w:r>
        <w:t xml:space="preserve"> </w:t>
      </w:r>
      <w:r>
        <w:t xml:space="preserve">Ø Proteger la identidad, configuración, conciencia, seguridad de datos, mantenimiento, resiliencia, tecnología de protección</w:t>
      </w:r>
      <w:r>
        <w:t xml:space="preserve"> </w:t>
      </w:r>
      <w:r>
        <w:t xml:space="preserve">← Detectar | Monitorización continua y análisis de eventos adversos</w:t>
      </w:r>
      <w:r>
        <w:t xml:space="preserve"> </w:t>
      </w:r>
      <w:r>
        <w:t xml:space="preserve">Respuesta a la respuesta Silencioso Gestión de incidentes, análisis, informes/comunicaciones, mitigación</w:t>
      </w:r>
      <w:r>
        <w:t xml:space="preserve"> </w:t>
      </w:r>
      <w:r>
        <w:t xml:space="preserve">viv Recuperar la ejecución del plan de recuperación, restauración, verificación y comunicación de recuperación</w:t>
      </w:r>
    </w:p>
    <w:p>
      <w:pPr>
        <w:pStyle w:val="BodyText"/>
      </w:pPr>
      <w:r>
        <w:t xml:space="preserve">Lo que cambió de Rev. 2:** El diagrama de preparación, detección/análisis más antiguo–contenimiento/eradicación/recuperación–post-incidente sigue siendo útil operacionalmente, pero el Rev. 3 supera a Rev. 2 y enmarca la respuesta como gestión del riesgo de ciberseguridad en toda la organización. |</w:t>
      </w:r>
      <w:r>
        <w:t xml:space="preserve"> </w:t>
      </w:r>
      <w:r>
        <w:t xml:space="preserve">Respuesta</w:t>
      </w:r>
    </w:p>
    <w:bookmarkStart w:id="27" w:name="secuencia-operativa-práctica"/>
    <w:p>
      <w:pPr>
        <w:pStyle w:val="Heading2"/>
      </w:pPr>
      <w:r>
        <w:t xml:space="preserve">4.1 Secuencia operativa práctica</w:t>
      </w:r>
    </w:p>
    <w:p>
      <w:pPr>
        <w:numPr>
          <w:ilvl w:val="0"/>
          <w:numId w:val="1005"/>
        </w:numPr>
      </w:pPr>
      <w:r>
        <w:t xml:space="preserve">Prepararse continuamente mediante la gobernanza, la identificación y la protección.</w:t>
      </w:r>
    </w:p>
    <w:p>
      <w:pPr>
        <w:numPr>
          <w:ilvl w:val="0"/>
          <w:numId w:val="1005"/>
        </w:numPr>
      </w:pPr>
      <w:r>
        <w:t xml:space="preserve">Detectar un posible evento adverso y validarlo.</w:t>
      </w:r>
    </w:p>
    <w:p>
      <w:pPr>
        <w:numPr>
          <w:ilvl w:val="0"/>
          <w:numId w:val="1005"/>
        </w:numPr>
      </w:pPr>
      <w:r>
        <w:t xml:space="preserve">Administrar, analizar, comunicar, contener y mitigar el incidente.</w:t>
      </w:r>
    </w:p>
    <w:p>
      <w:pPr>
        <w:numPr>
          <w:ilvl w:val="0"/>
          <w:numId w:val="1005"/>
        </w:numPr>
      </w:pPr>
      <w:r>
        <w:t xml:space="preserve">Restaurar con seguridad y comunicar recuperación.</w:t>
      </w:r>
    </w:p>
    <w:p>
      <w:pPr>
        <w:numPr>
          <w:ilvl w:val="0"/>
          <w:numId w:val="1005"/>
        </w:numPr>
      </w:pPr>
      <w:r>
        <w:t xml:space="preserve">Captar lecciones y mejorar las seis Funciones.</w:t>
      </w:r>
    </w:p>
    <w:bookmarkEnd w:id="27"/>
    <w:bookmarkEnd w:id="28"/>
    <w:bookmarkStart w:id="31" w:name="preparación-y-preparación"/>
    <w:p>
      <w:pPr>
        <w:pStyle w:val="Heading1"/>
      </w:pPr>
      <w:r>
        <w:t xml:space="preserve">5. Preparación y preparación</w:t>
      </w:r>
    </w:p>
    <w:p>
      <w:pPr>
        <w:pStyle w:val="FirstParagraph"/>
      </w:pPr>
      <w:r>
        <w:rPr>
          <w:iCs/>
          <w:i/>
        </w:rPr>
        <w:t xml:space="preserve">La preparación reduce la confusión, los fallos de acceso, la pérdida de evidencia y la improvisación peligrosa.</w:t>
      </w:r>
    </w:p>
    <w:bookmarkStart w:id="29" w:name="lista-de-verificación-de-la-luminosidad"/>
    <w:p>
      <w:pPr>
        <w:pStyle w:val="Heading2"/>
      </w:pPr>
      <w:r>
        <w:t xml:space="preserve">5.1 Lista de verificación de la luminosidad</w:t>
      </w:r>
    </w:p>
    <w:p>
      <w:pPr>
        <w:numPr>
          <w:ilvl w:val="0"/>
          <w:numId w:val="1006"/>
        </w:numPr>
      </w:pPr>
      <w:r>
        <w:t xml:space="preserve">Activo actual, identidad, datos, aplicación, proveedor, fuente de registro e inventarios de dependencia.</w:t>
      </w:r>
    </w:p>
    <w:p>
      <w:pPr>
        <w:numPr>
          <w:ilvl w:val="0"/>
          <w:numId w:val="1006"/>
        </w:numPr>
      </w:pPr>
      <w:r>
        <w:t xml:space="preserve">Planes protegidos, contactos sin conexión, diagramas, credenciales, kits de salto, herramientas forenses, dispositivos limpios, licencias y comunicaciones seguras.</w:t>
      </w:r>
    </w:p>
    <w:p>
      <w:pPr>
        <w:numPr>
          <w:ilvl w:val="0"/>
          <w:numId w:val="1006"/>
        </w:numPr>
      </w:pPr>
      <w:r>
        <w:t xml:space="preserve">Sincronización del tiempo central, registro suficiente, telemetría de endpoint/network/cloud, cobertura de detección, retención y acceso probado.</w:t>
      </w:r>
    </w:p>
    <w:p>
      <w:pPr>
        <w:numPr>
          <w:ilvl w:val="0"/>
          <w:numId w:val="1006"/>
        </w:numPr>
      </w:pPr>
      <w:r>
        <w:t xml:space="preserve">Acciones de contención aprobadas, cambios de emergencia, métodos de aislamiento, suspensión de cuentas, rotación de token/key, bloqueo de dominios y criterios de cierre del sistema.</w:t>
      </w:r>
    </w:p>
    <w:p>
      <w:pPr>
        <w:numPr>
          <w:ilvl w:val="0"/>
          <w:numId w:val="1006"/>
        </w:numPr>
      </w:pPr>
      <w:r>
        <w:t xml:space="preserve">Conservación de pruebas, privacidad, retención legal, cadena de custodia, aseguradora, cumplimiento de leyes y procedimientos de notificación.</w:t>
      </w:r>
    </w:p>
    <w:p>
      <w:pPr>
        <w:numPr>
          <w:ilvl w:val="0"/>
          <w:numId w:val="1006"/>
        </w:numPr>
      </w:pPr>
      <w:r>
        <w:t xml:space="preserve">Imágenes bien conocidas, proceso de construcción seguro, respaldos protegidos, orden de restauración, criterios de validación y aceptación empresarial.</w:t>
      </w:r>
    </w:p>
    <w:p>
      <w:pPr>
        <w:numPr>
          <w:ilvl w:val="0"/>
          <w:numId w:val="1006"/>
        </w:numPr>
      </w:pPr>
      <w:r>
        <w:t xml:space="preserve">Entrenamiento de roles, mesa de mesa y ejercicios técnicos, pruebas de call-tree y mejoras rastreadas.</w:t>
      </w:r>
    </w:p>
    <w:bookmarkEnd w:id="29"/>
    <w:bookmarkStart w:id="30" w:name="diseño-del-manual-de-respuesta"/>
    <w:p>
      <w:pPr>
        <w:pStyle w:val="Heading2"/>
      </w:pPr>
      <w:r>
        <w:t xml:space="preserve">5.2 Diseño del manual de respuesta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Silencioso Trigger</w:t>
            </w:r>
          </w:p>
        </w:tc>
      </w:tr>
    </w:tbl>
    <w:p>
      <w:pPr>
        <w:pStyle w:val="BodyText"/>
      </w:pPr>
      <w:r>
        <w:t xml:space="preserve">tención de objetivos Lo que debe ser protegido o aprendido</w:t>
      </w:r>
      <w:r>
        <w:t xml:space="preserve"> </w:t>
      </w:r>
      <w:r>
        <w:t xml:space="preserve">← Autoridad | Quién puede aprobar acciones disruptivas</w:t>
      </w:r>
      <w:r>
        <w:t xml:space="preserve"> </w:t>
      </w:r>
      <w:r>
        <w:t xml:space="preserve">tención Pasos Silenciosos Puntos de decisión, acciones, dependencias y alternativas seguras</w:t>
      </w:r>
      <w:r>
        <w:t xml:space="preserve"> </w:t>
      </w:r>
      <w:r>
        <w:t xml:space="preserve">← Evidencia voca Qué capturar antes y después de la acción</w:t>
      </w:r>
      <w:r>
        <w:t xml:space="preserve"> </w:t>
      </w:r>
      <w:r>
        <w:t xml:space="preserve">← Comunicación | Audiencia, canal, cadencia, hechos aprobados</w:t>
      </w:r>
      <w:r>
        <w:t xml:space="preserve"> </w:t>
      </w:r>
      <w:r>
        <w:t xml:space="preserve">← Recuperación Silencioso Criterios de entrada, validación, monitoreo, aceptación</w:t>
      </w:r>
      <w:r>
        <w:t xml:space="preserve"> </w:t>
      </w:r>
      <w:r>
        <w:t xml:space="preserve">← Mejoramiento Silencioso , revisión, propietario, retest</w:t>
      </w:r>
    </w:p>
    <w:bookmarkEnd w:id="30"/>
    <w:bookmarkEnd w:id="31"/>
    <w:bookmarkStart w:id="34" w:name="detección-y-validación-de-eventos"/>
    <w:p>
      <w:pPr>
        <w:pStyle w:val="Heading1"/>
      </w:pPr>
      <w:r>
        <w:t xml:space="preserve">6. Detección y validación de eventos</w:t>
      </w:r>
    </w:p>
    <w:p>
      <w:pPr>
        <w:pStyle w:val="FirstParagraph"/>
      </w:pPr>
      <w:r>
        <w:rPr>
          <w:iCs/>
          <w:i/>
        </w:rPr>
        <w:t xml:space="preserve">La detección combina tecnología, informes humanos, aviso externo y contexto.</w:t>
      </w:r>
    </w:p>
    <w:p>
      <w:pPr>
        <w:pStyle w:val="BodyText"/>
      </w:pPr>
      <w:r>
        <w:t xml:space="preserve">“</w:t>
      </w:r>
      <w:r>
        <w:t xml:space="preserve">La señal se convierte en un incidente sólo después de la validación y clasificación bajo criterios aprobados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Figura 3. Flujo de trabajo de detección por caso</w:t>
      </w:r>
    </w:p>
    <w:bookmarkStart w:id="32" w:name="signal-sources"/>
    <w:p>
      <w:pPr>
        <w:pStyle w:val="Heading2"/>
      </w:pPr>
      <w:r>
        <w:t xml:space="preserve">6.1 Signal sources</w:t>
      </w:r>
    </w:p>
    <w:p>
      <w:pPr>
        <w:numPr>
          <w:ilvl w:val="0"/>
          <w:numId w:val="1007"/>
        </w:numPr>
      </w:pPr>
      <w:r>
        <w:t xml:space="preserve">Endpoint, identidad, red, correo electrónico, nube, aplicación, base de datos, pérdida de datos, sistemas físicos, de vulnerabilidad y de inteligencia de amenazas.</w:t>
      </w:r>
    </w:p>
    <w:p>
      <w:pPr>
        <w:numPr>
          <w:ilvl w:val="0"/>
          <w:numId w:val="1007"/>
        </w:numPr>
      </w:pPr>
      <w:r>
        <w:t xml:space="preserve">Empleados, clientes, socios, investigadores, proveedores, reguladores, cumplimiento de la ley, aseguradores y proveedores de servicios gestionados.</w:t>
      </w:r>
    </w:p>
    <w:p>
      <w:pPr>
        <w:numPr>
          <w:ilvl w:val="0"/>
          <w:numId w:val="1007"/>
        </w:numPr>
      </w:pPr>
      <w:r>
        <w:t xml:space="preserve">Salud de servicio, fraude financiero, actividad de apoyo inusual, cambio de configuración, acción privilegiada y anomalías de calidad de datos.</w:t>
      </w:r>
    </w:p>
    <w:bookmarkEnd w:id="32"/>
    <w:bookmarkStart w:id="33" w:name="preguntas-de-validación"/>
    <w:p>
      <w:pPr>
        <w:pStyle w:val="Heading2"/>
      </w:pPr>
      <w:r>
        <w:t xml:space="preserve">6.2 Preguntas de validación</w:t>
      </w:r>
    </w:p>
    <w:p>
      <w:pPr>
        <w:numPr>
          <w:ilvl w:val="0"/>
          <w:numId w:val="1008"/>
        </w:numPr>
      </w:pPr>
      <w:r>
        <w:t xml:space="preserve">¿Qué generó exactamente la señal? ¿Es la fuente confiable y sincronizado el tiempo?</w:t>
      </w:r>
    </w:p>
    <w:p>
      <w:pPr>
        <w:numPr>
          <w:ilvl w:val="0"/>
          <w:numId w:val="1008"/>
        </w:numPr>
      </w:pPr>
      <w:r>
        <w:t xml:space="preserve">¿Podría explicarlo el mantenimiento, las pruebas, el comportamiento del usuario o la calidad de los datos?</w:t>
      </w:r>
    </w:p>
    <w:p>
      <w:pPr>
        <w:numPr>
          <w:ilvl w:val="0"/>
          <w:numId w:val="1008"/>
        </w:numPr>
      </w:pPr>
      <w:r>
        <w:t xml:space="preserve">¿Qué usuario, dispositivo, servicio, arrendatario, datos, región o proveedor está afectado?</w:t>
      </w:r>
    </w:p>
    <w:p>
      <w:pPr>
        <w:numPr>
          <w:ilvl w:val="0"/>
          <w:numId w:val="1008"/>
        </w:numPr>
      </w:pPr>
      <w:r>
        <w:t xml:space="preserve">¿Qué evidencia corroborante existe entre fuentes independientes?</w:t>
      </w:r>
    </w:p>
    <w:p>
      <w:pPr>
        <w:numPr>
          <w:ilvl w:val="0"/>
          <w:numId w:val="1008"/>
        </w:numPr>
      </w:pPr>
      <w:r>
        <w:t xml:space="preserve">¿La actividad continúa, difunde, privilegiada, expuesta externamente, destructiva o de seguridad relacionada?</w:t>
      </w:r>
    </w:p>
    <w:p>
      <w:pPr>
        <w:numPr>
          <w:ilvl w:val="0"/>
          <w:numId w:val="1008"/>
        </w:numPr>
      </w:pPr>
      <w:r>
        <w:t xml:space="preserve">¿Qué debe conservarse antes de que una acción de contención cambie las pruebas?</w:t>
      </w:r>
    </w:p>
    <w:bookmarkEnd w:id="33"/>
    <w:bookmarkEnd w:id="34"/>
    <w:bookmarkStart w:id="39" w:name="triage-severity-and-escalation"/>
    <w:p>
      <w:pPr>
        <w:pStyle w:val="Heading1"/>
      </w:pPr>
      <w:r>
        <w:t xml:space="preserve">7. Triage, Severity, and Escalation</w:t>
      </w:r>
    </w:p>
    <w:p>
      <w:pPr>
        <w:numPr>
          <w:ilvl w:val="0"/>
          <w:numId w:val="1009"/>
        </w:numPr>
        <w:pStyle w:val="Compact"/>
      </w:pPr>
      <w:r>
        <w:t xml:space="preserve">El juicio establece prioridad y inicia las vías correctas de autoridad, evidencia y comunicación.*</w:t>
      </w:r>
    </w:p>
    <w:p>
      <w:pPr>
        <w:pStyle w:val="FirstParagraph"/>
      </w:pPr>
      <w:r>
        <w:t xml:space="preserve">Silencioso ** Factor de perseverancia**</w:t>
      </w:r>
      <w:r>
        <w:t xml:space="preserve"> </w:t>
      </w:r>
      <w:r>
        <w:t xml:space="preserve">|… |</w:t>
      </w:r>
      <w:r>
        <w:t xml:space="preserve"> </w:t>
      </w:r>
      <w:r>
        <w:t xml:space="preserve">¿Qué productos, servicios, procesos, personas o resultados de seguridad son afectados? |</w:t>
      </w:r>
      <w:r>
        <w:t xml:space="preserve"> </w:t>
      </w:r>
      <w:r>
        <w:t xml:space="preserve">← Impacto de la información ¿Fue acceso a los datos, cambiado, destruido, expuesto, encriptado o no disponible?</w:t>
      </w:r>
      <w:r>
        <w:t xml:space="preserve"> </w:t>
      </w:r>
      <w:r>
        <w:t xml:space="preserve">viv Recoverability | ¿Puede el problema ser contenido y restaurado con las personas disponibles, el tiempo y los recursos?</w:t>
      </w:r>
      <w:r>
        <w:t xml:space="preserve"> </w:t>
      </w:r>
      <w:r>
        <w:t xml:space="preserve">← Amenaza / persistencia ¿Es el actor activo, privilegiado, destructivo, sofisticado o en movimiento lateralmente? |</w:t>
      </w:r>
      <w:r>
        <w:t xml:space="preserve"> </w:t>
      </w:r>
      <w:r>
        <w:t xml:space="preserve">¿Cuántos sistemas, identidades, ubicaciones, clientes o proveedores pueden compartir la exposición?</w:t>
      </w:r>
      <w:r>
        <w:t xml:space="preserve"> </w:t>
      </w:r>
      <w:r>
        <w:t xml:space="preserve">Silencioso Obligación / visibilidad ¿Se puede aplicar legal, contractual, regulador, asegurador, cliente o aviso público?</w:t>
      </w:r>
      <w:r>
        <w:t xml:space="preserve"> </w:t>
      </w:r>
      <w:r>
        <w:t xml:space="preserve">¿Qué hechos faltan, y podrían aumentar significativamente la gravedad?</w:t>
      </w:r>
    </w:p>
    <w:bookmarkStart w:id="35" w:name="producción-de-triaje"/>
    <w:p>
      <w:pPr>
        <w:pStyle w:val="Heading2"/>
      </w:pPr>
      <w:r>
        <w:t xml:space="preserve">7.1 Producción de triaje</w:t>
      </w:r>
    </w:p>
    <w:p>
      <w:pPr>
        <w:numPr>
          <w:ilvl w:val="0"/>
          <w:numId w:val="1010"/>
        </w:numPr>
      </w:pPr>
      <w:r>
        <w:t xml:space="preserve">identificador de casos, tiempo detectado, tiempo de inicio conocido, reportero, comandante, gravedad, estado y espacio de trabajo seguro.</w:t>
      </w:r>
    </w:p>
    <w:p>
      <w:pPr>
        <w:numPr>
          <w:ilvl w:val="0"/>
          <w:numId w:val="1010"/>
        </w:numPr>
      </w:pPr>
      <w:r>
        <w:t xml:space="preserve">Datos actuales separados de supuestos e hipótesis.</w:t>
      </w:r>
    </w:p>
    <w:p>
      <w:pPr>
        <w:numPr>
          <w:ilvl w:val="0"/>
          <w:numId w:val="1010"/>
        </w:numPr>
      </w:pPr>
      <w:r>
        <w:t xml:space="preserve">Poblaciones afectadas y potencialmente afectadas, impacto empresarial, evidencia preservada y protección inmediata.</w:t>
      </w:r>
    </w:p>
    <w:p>
      <w:pPr>
        <w:numPr>
          <w:ilvl w:val="0"/>
          <w:numId w:val="1010"/>
        </w:numPr>
      </w:pPr>
      <w:r>
        <w:t xml:space="preserve">Tareas, propietarios, plazos, próxima actualización, escalada y relojes de notificación.</w:t>
      </w:r>
    </w:p>
    <w:p>
      <w:pPr>
        <w:numPr>
          <w:ilvl w:val="0"/>
          <w:numId w:val="1010"/>
        </w:numPr>
      </w:pPr>
      <w:r>
        <w:t xml:space="preserve">Racionalidad para cambios de gravedad y decisiones importantes.</w:t>
      </w:r>
    </w:p>
    <w:p>
      <w:pPr>
        <w:numPr>
          <w:ilvl w:val="0"/>
          <w:numId w:val="1011"/>
        </w:numPr>
        <w:pStyle w:val="Compact"/>
      </w:pPr>
      <w:r>
        <w:t xml:space="preserve">Investigación y exploración</w:t>
      </w:r>
    </w:p>
    <w:p>
      <w:pPr>
        <w:pStyle w:val="FirstParagraph"/>
      </w:pPr>
      <w:r>
        <w:rPr>
          <w:iCs/>
          <w:i/>
        </w:rPr>
        <w:t xml:space="preserve">La investigación construye y prueba explicaciones mientras el ambiente y el atacante pueden estar cambiando.</w:t>
      </w:r>
    </w:p>
    <w:bookmarkEnd w:id="35"/>
    <w:bookmarkStart w:id="36" w:name="método-de-investigación"/>
    <w:p>
      <w:pPr>
        <w:pStyle w:val="Heading2"/>
      </w:pPr>
      <w:r>
        <w:t xml:space="preserve">8.1 Método de investigación</w:t>
      </w:r>
    </w:p>
    <w:p>
      <w:pPr>
        <w:numPr>
          <w:ilvl w:val="0"/>
          <w:numId w:val="1012"/>
        </w:numPr>
      </w:pPr>
      <w:r>
        <w:t xml:space="preserve">Escribe las preguntas iniciales: punto de entrada, identidad, acción, persistencia, privilegio, movimiento, datos, mando y control, impacto y acceso restante.</w:t>
      </w:r>
    </w:p>
    <w:p>
      <w:pPr>
        <w:numPr>
          <w:ilvl w:val="0"/>
          <w:numId w:val="1012"/>
        </w:numPr>
      </w:pPr>
      <w:r>
        <w:t xml:space="preserve">Crear una línea de tiempo y fuente récord de eventos, zona horaria, confianza y brechas.</w:t>
      </w:r>
    </w:p>
    <w:p>
      <w:pPr>
        <w:numPr>
          <w:ilvl w:val="0"/>
          <w:numId w:val="1012"/>
        </w:numPr>
      </w:pPr>
      <w:r>
        <w:t xml:space="preserve">Alcance de indicadores conocidos a identidades conexas, anfitriones, recursos en la nube, aplicaciones, datos y proveedores; no dependa de un indicador.</w:t>
      </w:r>
    </w:p>
    <w:p>
      <w:pPr>
        <w:numPr>
          <w:ilvl w:val="0"/>
          <w:numId w:val="1012"/>
        </w:numPr>
      </w:pPr>
      <w:r>
        <w:t xml:space="preserve">Preserve evidencia volátil antes de apagarse cuando sea segura, autorizada y útil.</w:t>
      </w:r>
    </w:p>
    <w:p>
      <w:pPr>
        <w:numPr>
          <w:ilvl w:val="0"/>
          <w:numId w:val="1012"/>
        </w:numPr>
      </w:pPr>
      <w:r>
        <w:t xml:space="preserve">Prueba las hipótesis competidoras y busca evidencia desconfirmante.</w:t>
      </w:r>
    </w:p>
    <w:p>
      <w:pPr>
        <w:numPr>
          <w:ilvl w:val="0"/>
          <w:numId w:val="1012"/>
        </w:numPr>
      </w:pPr>
      <w:r>
        <w:t xml:space="preserve">Método de recogida de documentos, consultas, hashes, versiones, limitaciones y conclusiones analistas.</w:t>
      </w:r>
    </w:p>
    <w:p>
      <w:pPr>
        <w:numPr>
          <w:ilvl w:val="0"/>
          <w:numId w:val="1012"/>
        </w:numPr>
      </w:pPr>
      <w:r>
        <w:t xml:space="preserve">Breves tomadores de decisiones con hechos, incertidumbre, efecto empresarial, opciones, y recomendó el próximo paso.</w:t>
      </w:r>
    </w:p>
    <w:p>
      <w:pPr>
        <w:pStyle w:val="FirstParagraph"/>
      </w:pPr>
      <w:r>
        <w:rPr>
          <w:bCs/>
          <w:b/>
        </w:rPr>
        <w:t xml:space="preserve">Pregunta</w:t>
      </w:r>
      <w:r>
        <w:t xml:space="preserve"> </w:t>
      </w:r>
      <w:r>
        <w:t xml:space="preserve">|… |</w:t>
      </w:r>
      <w:r>
        <w:t xml:space="preserve"> </w:t>
      </w:r>
      <w:r>
        <w:t xml:space="preserve">¿Cómo comenzó el acceso? ← Correo electrónico, identidad, punto final, web, VPN, nube, vulnerabilidad y registros de soporte |</w:t>
      </w:r>
      <w:r>
        <w:t xml:space="preserve"> </w:t>
      </w:r>
      <w:r>
        <w:t xml:space="preserve">¿Qué hizo el actor? proceso, comando, audit, archivo, registro, memoria, red y actividad en la nube</w:t>
      </w:r>
      <w:r>
        <w:t xml:space="preserve"> </w:t>
      </w:r>
      <w:r>
        <w:t xml:space="preserve">¿Qué fue accedido? tención Aplicación, base de datos, objeto, DLP, consulta, API y registros de acceso a archivos</w:t>
      </w:r>
      <w:r>
        <w:t xml:space="preserve"> </w:t>
      </w:r>
      <w:r>
        <w:t xml:space="preserve">¿Permanece la persistencia? cuentas, fichas, claves, tareas programadas, servicios, aplicaciones OAuth, funciones en la nube</w:t>
      </w:r>
      <w:r>
        <w:t xml:space="preserve"> </w:t>
      </w:r>
      <w:r>
        <w:t xml:space="preserve">¿Hasta dónde se extendió? gráfico de identidad, consultas de punto final, flujos de red, DNS, acceso remoto, herramientas compartidas</w:t>
      </w:r>
      <w:r>
        <w:t xml:space="preserve"> </w:t>
      </w:r>
      <w:r>
        <w:t xml:space="preserve">¿Qué se puede confiar? ← Comprobaciones de integridad, bases de referencia conocidas, telemetría independiente, reconstrucción de procedencia</w:t>
      </w:r>
    </w:p>
    <w:p>
      <w:pPr>
        <w:numPr>
          <w:ilvl w:val="0"/>
          <w:numId w:val="1013"/>
        </w:numPr>
        <w:pStyle w:val="Compact"/>
      </w:pPr>
      <w:r>
        <w:t xml:space="preserve">Estrategia de Contención</w:t>
      </w:r>
    </w:p>
    <w:p>
      <w:pPr>
        <w:pStyle w:val="FirstParagraph"/>
      </w:pPr>
      <w:r>
        <w:rPr>
          <w:iCs/>
          <w:i/>
        </w:rPr>
        <w:t xml:space="preserve">El mantenimiento limita el daño preservando la seguridad, las operaciones, las pruebas y las opciones de recuperación</w:t>
      </w:r>
      <w:r>
        <w:t xml:space="preserve">.</w:t>
      </w:r>
    </w:p>
    <w:p>
      <w:pPr>
        <w:pStyle w:val="BodyText"/>
      </w:pPr>
      <w:r>
        <w:t xml:space="preserve">“</w:t>
      </w:r>
      <w:r>
        <w:t xml:space="preserve">Escoge las acciones a través de objetivos explícitos, impactos, autoridad y verificación.</w:t>
      </w:r>
      <w:r>
        <w:t xml:space="preserve">”</w:t>
      </w:r>
      <w:r>
        <w:t xml:space="preserve"> </w:t>
      </w:r>
      <w:r>
        <w:t xml:space="preserve">/ Español</w:t>
      </w:r>
    </w:p>
    <w:p>
      <w:pPr>
        <w:pStyle w:val="BodyText"/>
      </w:pPr>
      <w:r>
        <w:t xml:space="preserve">Figure 4. Containment decision</w:t>
      </w:r>
    </w:p>
    <w:bookmarkEnd w:id="36"/>
    <w:bookmarkStart w:id="37" w:name="opciones"/>
    <w:p>
      <w:pPr>
        <w:pStyle w:val="Heading2"/>
      </w:pPr>
      <w:r>
        <w:t xml:space="preserve">9.1 Opciones</w:t>
      </w:r>
    </w:p>
    <w:p>
      <w:pPr>
        <w:numPr>
          <w:ilvl w:val="0"/>
          <w:numId w:val="1014"/>
        </w:numPr>
      </w:pPr>
      <w:r>
        <w:t xml:space="preserve">Punto final de aislamiento, red de segmentos, indicador de bloques, cuenta desactivada, sesiones de revocación, tokens/keys rotatorios, eliminar la exposición pública, detener la integración, restringir datos, detener el despliegue, desactivar o cerrar.</w:t>
      </w:r>
    </w:p>
    <w:p>
      <w:pPr>
        <w:numPr>
          <w:ilvl w:val="0"/>
          <w:numId w:val="1014"/>
        </w:numPr>
      </w:pPr>
      <w:r>
        <w:t xml:space="preserve">La contención a corto plazo puede ser rápida y temporal; la contención a largo plazo apoya una operación más segura hasta la erradicación.</w:t>
      </w:r>
    </w:p>
    <w:p>
      <w:pPr>
        <w:numPr>
          <w:ilvl w:val="0"/>
          <w:numId w:val="1014"/>
        </w:numPr>
      </w:pPr>
      <w:r>
        <w:t xml:space="preserve">Usar la acción organizada o coordinada cuando pasos aislados alertarían a un atacante o romperían el servicio crítico.</w:t>
      </w:r>
    </w:p>
    <w:bookmarkEnd w:id="37"/>
    <w:bookmarkStart w:id="38" w:name="decision-record"/>
    <w:p>
      <w:pPr>
        <w:pStyle w:val="Heading2"/>
      </w:pPr>
      <w:r>
        <w:t xml:space="preserve">9.2 Decision record</w:t>
      </w:r>
    </w:p>
    <w:p>
      <w:pPr>
        <w:numPr>
          <w:ilvl w:val="0"/>
          <w:numId w:val="1015"/>
        </w:numPr>
      </w:pPr>
      <w:r>
        <w:t xml:space="preserve">El objetivo y la amenaza son limitados.</w:t>
      </w:r>
    </w:p>
    <w:p>
      <w:pPr>
        <w:numPr>
          <w:ilvl w:val="0"/>
          <w:numId w:val="1015"/>
        </w:numPr>
      </w:pPr>
      <w:r>
        <w:t xml:space="preserve">Servicio de negocios afectado, seguridad, cliente, evidencia, privacidad y impacto de recuperación.</w:t>
      </w:r>
    </w:p>
    <w:p>
      <w:pPr>
        <w:numPr>
          <w:ilvl w:val="0"/>
          <w:numId w:val="1015"/>
        </w:numPr>
      </w:pPr>
      <w:r>
        <w:t xml:space="preserve">Alternativas consideradas y la razón seleccionada.</w:t>
      </w:r>
    </w:p>
    <w:p>
      <w:pPr>
        <w:numPr>
          <w:ilvl w:val="0"/>
          <w:numId w:val="1015"/>
        </w:numPr>
      </w:pPr>
      <w:r>
        <w:t xml:space="preserve">Aprover, ejecutor, tiempo, comandos/cambio de entrada, pruebas antes y después, devolución y verificación.</w:t>
      </w:r>
    </w:p>
    <w:p>
      <w:pPr>
        <w:numPr>
          <w:ilvl w:val="0"/>
          <w:numId w:val="1015"/>
        </w:numPr>
      </w:pPr>
      <w:r>
        <w:t xml:space="preserve">Exposición residual y siguiente punto de decisión.</w:t>
      </w:r>
    </w:p>
    <w:bookmarkEnd w:id="38"/>
    <w:bookmarkEnd w:id="39"/>
    <w:bookmarkStart w:id="41" w:name="erradicación-y-rehabilitación"/>
    <w:p>
      <w:pPr>
        <w:pStyle w:val="Heading1"/>
      </w:pPr>
      <w:r>
        <w:t xml:space="preserve">10. Erradicación y rehabilitación</w:t>
      </w:r>
    </w:p>
    <w:p>
      <w:pPr>
        <w:pStyle w:val="FirstParagraph"/>
      </w:pPr>
      <w:r>
        <w:rPr>
          <w:iCs/>
          <w:i/>
        </w:rPr>
        <w:t xml:space="preserve">La erradicación elimina la causa, el acceso de los atacantes, la persistencia, los cambios inseguros y las debilidades conexas</w:t>
      </w:r>
      <w:r>
        <w:t xml:space="preserve">.</w:t>
      </w:r>
    </w:p>
    <w:bookmarkStart w:id="40" w:name="erradicación"/>
    <w:p>
      <w:pPr>
        <w:pStyle w:val="Heading2"/>
      </w:pPr>
      <w:r>
        <w:t xml:space="preserve">10.1 Erradicación</w:t>
      </w:r>
    </w:p>
    <w:p>
      <w:pPr>
        <w:numPr>
          <w:ilvl w:val="0"/>
          <w:numId w:val="1016"/>
        </w:numPr>
      </w:pPr>
      <w:r>
        <w:t xml:space="preserve">Eliminar archivos maliciosos, procesos, tareas, servicios, cuentas, aplicaciones, reglas, caminos de acceso e infraestructura.</w:t>
      </w:r>
    </w:p>
    <w:p>
      <w:pPr>
        <w:numPr>
          <w:ilvl w:val="0"/>
          <w:numId w:val="1016"/>
        </w:numPr>
      </w:pPr>
      <w:r>
        <w:t xml:space="preserve">Revocar sesiones y fichas; rotar contraseñas expuestas, claves, certificados, secretos, códigos de recuperación y relaciones de confianza en un orden seguro.</w:t>
      </w:r>
    </w:p>
    <w:p>
      <w:pPr>
        <w:numPr>
          <w:ilvl w:val="0"/>
          <w:numId w:val="1016"/>
        </w:numPr>
      </w:pPr>
      <w:r>
        <w:t xml:space="preserve">Capturar o mitigar vulnerabilidades explotadas; endurecer la configuración; cerrar los servicios expuestos; corregir las vías de identidad y de red.</w:t>
      </w:r>
    </w:p>
    <w:p>
      <w:pPr>
        <w:numPr>
          <w:ilvl w:val="0"/>
          <w:numId w:val="1016"/>
        </w:numPr>
      </w:pPr>
      <w:r>
        <w:t xml:space="preserve">Reconstruido de fuentes de confianza cuando la integridad no puede ser demostrada.</w:t>
      </w:r>
    </w:p>
    <w:p>
      <w:pPr>
        <w:numPr>
          <w:ilvl w:val="0"/>
          <w:numId w:val="1016"/>
        </w:numPr>
      </w:pPr>
      <w:r>
        <w:t xml:space="preserve">Buscar toda la población potencial para la misma condición y validar ninguna persistencia alternativa permanece.</w:t>
      </w:r>
    </w:p>
    <w:p>
      <w:pPr>
        <w:numPr>
          <w:ilvl w:val="0"/>
          <w:numId w:val="1016"/>
        </w:numPr>
      </w:pPr>
      <w:r>
        <w:t xml:space="preserve">Preserve evidence and separate remediation from proof; record every change.</w:t>
      </w:r>
    </w:p>
    <w:p>
      <w:pPr>
        <w:pStyle w:val="FirstParagraph"/>
      </w:pPr>
      <w:r>
        <w:t xml:space="preserve">TEN</w:t>
      </w:r>
      <w:r>
        <w:t xml:space="preserve"> </w:t>
      </w:r>
      <w:r>
        <w:rPr>
          <w:bCs/>
          <w:b/>
        </w:rPr>
        <w:t xml:space="preserve">Causa principal contra punto de entrada:</w:t>
      </w:r>
      <w:r>
        <w:t xml:space="preserve"> </w:t>
      </w:r>
      <w:r>
        <w:t xml:space="preserve">El punto de entrada explica cómo comenzó este incidente. Las causas raíz pueden incluir procesos, diseño, propiedad, visibilidad, habilidades, incentivos o debilidades de control que le permitieron tener éxito o persistir. |</w:t>
      </w:r>
      <w:r>
        <w:t xml:space="preserve"> </w:t>
      </w:r>
      <w:r>
        <w:t xml:space="preserve">|. |</w:t>
      </w:r>
    </w:p>
    <w:bookmarkEnd w:id="40"/>
    <w:bookmarkEnd w:id="41"/>
    <w:bookmarkStart w:id="44" w:name="recuperación-y-regreso-al-servicio"/>
    <w:p>
      <w:pPr>
        <w:pStyle w:val="Heading1"/>
      </w:pPr>
      <w:r>
        <w:t xml:space="preserve">11. Recuperación y regreso al servicio</w:t>
      </w:r>
    </w:p>
    <w:p>
      <w:pPr>
        <w:pStyle w:val="FirstParagraph"/>
      </w:pPr>
      <w:r>
        <w:rPr>
          <w:iCs/>
          <w:i/>
        </w:rPr>
        <w:t xml:space="preserve">Recovery restaura el servicio crítico a través de pasos controlados, verificados y monitorizados.</w:t>
      </w:r>
    </w:p>
    <w:p>
      <w:pPr>
        <w:pStyle w:val="BodyText"/>
      </w:pPr>
      <w:r>
        <w:t xml:space="preserve">لimg src=</w:t>
      </w:r>
      <w:r>
        <w:t xml:space="preserve">“</w:t>
      </w:r>
      <w:r>
        <w:t xml:space="preserve">media/image5.png</w:t>
      </w:r>
      <w:r>
        <w:t xml:space="preserve">”</w:t>
      </w:r>
      <w:r>
        <w:t xml:space="preserve"> </w:t>
      </w:r>
      <w:r>
        <w:t xml:space="preserve">style=</w:t>
      </w:r>
      <w:r>
        <w:t xml:space="preserve">“</w:t>
      </w:r>
      <w:r>
        <w:t xml:space="preserve">width:6.15in;height:3.39605in</w:t>
      </w:r>
      <w:r>
        <w:t xml:space="preserve">”</w:t>
      </w:r>
      <w:r>
        <w:t xml:space="preserve"> </w:t>
      </w:r>
      <w:r>
        <w:t xml:space="preserve">alt=</w:t>
      </w:r>
      <w:r>
        <w:t xml:space="preserve">“</w:t>
      </w:r>
      <w:r>
        <w:t xml:space="preserve">La validación de la seguridad y la aceptación del negocio pertenecen dentro de la recuperación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Gráfico 5 Retorno al servicio</w:t>
      </w:r>
    </w:p>
    <w:bookmarkStart w:id="42" w:name="puertas-de-recuperación"/>
    <w:p>
      <w:pPr>
        <w:pStyle w:val="Heading2"/>
      </w:pPr>
      <w:r>
        <w:t xml:space="preserve">11.1 Puertas de recuperación</w:t>
      </w:r>
    </w:p>
    <w:p>
      <w:pPr>
        <w:numPr>
          <w:ilvl w:val="0"/>
          <w:numId w:val="1017"/>
        </w:numPr>
      </w:pPr>
      <w:r>
        <w:t xml:space="preserve">El mantenimiento es estable y la recuperación no volverá a conectarse a un compromiso activo.</w:t>
      </w:r>
    </w:p>
    <w:p>
      <w:pPr>
        <w:numPr>
          <w:ilvl w:val="0"/>
          <w:numId w:val="1017"/>
        </w:numPr>
      </w:pPr>
      <w:r>
        <w:t xml:space="preserve">Fuente de restauración, construcción de oleoductos, copias de seguridad, credenciales, dependencias y vías de administración.</w:t>
      </w:r>
    </w:p>
    <w:p>
      <w:pPr>
        <w:numPr>
          <w:ilvl w:val="0"/>
          <w:numId w:val="1017"/>
        </w:numPr>
      </w:pPr>
      <w:r>
        <w:t xml:space="preserve">Actualizaciones de seguridad necesarias, endurecimiento, rotación de identidad y monitoreo son activos.</w:t>
      </w:r>
    </w:p>
    <w:p>
      <w:pPr>
        <w:numPr>
          <w:ilvl w:val="0"/>
          <w:numId w:val="1017"/>
        </w:numPr>
      </w:pPr>
      <w:r>
        <w:t xml:space="preserve">Se prueba la integridad de los datos, integridad, integridad, función de aplicación, interfaces, capacidad y resultados RTO/RPO.</w:t>
      </w:r>
    </w:p>
    <w:p>
      <w:pPr>
        <w:numPr>
          <w:ilvl w:val="0"/>
          <w:numId w:val="1017"/>
        </w:numPr>
      </w:pPr>
      <w:r>
        <w:t xml:space="preserve">La reconexión es gradual; el aumento de la vigilancia tiene dueños claros y duración.</w:t>
      </w:r>
    </w:p>
    <w:p>
      <w:pPr>
        <w:numPr>
          <w:ilvl w:val="0"/>
          <w:numId w:val="1017"/>
        </w:numPr>
      </w:pPr>
      <w:r>
        <w:t xml:space="preserve">Los propietarios de empresas y técnicos aprueban el regreso al servicio, con excepciones y riesgos residuales registrados.</w:t>
      </w:r>
    </w:p>
    <w:bookmarkEnd w:id="42"/>
    <w:bookmarkStart w:id="43" w:name="pruebas-de-recuperación"/>
    <w:p>
      <w:pPr>
        <w:pStyle w:val="Heading2"/>
      </w:pPr>
      <w:r>
        <w:t xml:space="preserve">11.2 Pruebas de recuperación</w:t>
      </w:r>
    </w:p>
    <w:p>
      <w:pPr>
        <w:numPr>
          <w:ilvl w:val="0"/>
          <w:numId w:val="1018"/>
        </w:numPr>
      </w:pPr>
      <w:r>
        <w:t xml:space="preserve">Secuencia de recuperación y horarios reales.</w:t>
      </w:r>
    </w:p>
    <w:p>
      <w:pPr>
        <w:numPr>
          <w:ilvl w:val="0"/>
          <w:numId w:val="1018"/>
        </w:numPr>
      </w:pPr>
      <w:r>
        <w:t xml:space="preserve">Versiones restauradas, fuentes, hashes/configuración, punto de datos y estado de dependencia.</w:t>
      </w:r>
    </w:p>
    <w:p>
      <w:pPr>
        <w:numPr>
          <w:ilvl w:val="0"/>
          <w:numId w:val="1018"/>
        </w:numPr>
      </w:pPr>
      <w:r>
        <w:t xml:space="preserve">Resultados de seguridad, funcionalidad, conciliación de datos, rendimiento y aceptación de usuarios.</w:t>
      </w:r>
    </w:p>
    <w:p>
      <w:pPr>
        <w:numPr>
          <w:ilvl w:val="0"/>
          <w:numId w:val="1018"/>
        </w:numPr>
      </w:pPr>
      <w:r>
        <w:t xml:space="preserve">RTO/RPO logró o perdió, causa, impacto, trabajo y acción correctiva.</w:t>
      </w:r>
    </w:p>
    <w:p>
      <w:pPr>
        <w:numPr>
          <w:ilvl w:val="0"/>
          <w:numId w:val="1018"/>
        </w:numPr>
      </w:pPr>
      <w:r>
        <w:t xml:space="preserve">Mejores resultados de vigilancia y decisión de recurrencia.</w:t>
      </w:r>
    </w:p>
    <w:bookmarkEnd w:id="43"/>
    <w:bookmarkEnd w:id="44"/>
    <w:bookmarkStart w:id="47" w:name="enseñanzas-adquiridas-y-mejoras"/>
    <w:p>
      <w:pPr>
        <w:pStyle w:val="Heading1"/>
      </w:pPr>
      <w:r>
        <w:t xml:space="preserve">12. Enseñanzas adquiridas y mejoras</w:t>
      </w:r>
    </w:p>
    <w:p>
      <w:pPr>
        <w:pStyle w:val="FirstParagraph"/>
      </w:pPr>
      <w:r>
        <w:rPr>
          <w:iCs/>
          <w:i/>
        </w:rPr>
        <w:t xml:space="preserve">La mejora convierte la experiencia en sistemas más seguros y mejores decisiones.</w:t>
      </w:r>
    </w:p>
    <w:bookmarkStart w:id="45" w:name="after-action-process"/>
    <w:p>
      <w:pPr>
        <w:pStyle w:val="Heading2"/>
      </w:pPr>
      <w:r>
        <w:t xml:space="preserve">12.1 After-action process</w:t>
      </w:r>
    </w:p>
    <w:p>
      <w:pPr>
        <w:numPr>
          <w:ilvl w:val="0"/>
          <w:numId w:val="1019"/>
        </w:numPr>
      </w:pPr>
      <w:r>
        <w:t xml:space="preserve">Realizar una revisión intachable pero responsable lo suficientemente pronto como para reconstruir los hechos y las decisiones.</w:t>
      </w:r>
    </w:p>
    <w:p>
      <w:pPr>
        <w:numPr>
          <w:ilvl w:val="0"/>
          <w:numId w:val="1019"/>
        </w:numPr>
      </w:pPr>
      <w:r>
        <w:t xml:space="preserve">Construir el cronograma fáctico: señal, reconocimiento, escalada, decisiones, contención, erradicación, restauración, comunicación y cierre.</w:t>
      </w:r>
    </w:p>
    <w:p>
      <w:pPr>
        <w:numPr>
          <w:ilvl w:val="0"/>
          <w:numId w:val="1019"/>
        </w:numPr>
      </w:pPr>
      <w:r>
        <w:t xml:space="preserve">Compare el rendimiento esperado frente al rendimiento real de personas, planes, datos, herramientas, proveedores, comunicaciones y recuperación.</w:t>
      </w:r>
    </w:p>
    <w:p>
      <w:pPr>
        <w:numPr>
          <w:ilvl w:val="0"/>
          <w:numId w:val="1019"/>
        </w:numPr>
      </w:pPr>
      <w:r>
        <w:t xml:space="preserve">Identificar las condiciones de contribución y las causas sistémicas, no sólo los errores individuales.</w:t>
      </w:r>
    </w:p>
    <w:p>
      <w:pPr>
        <w:numPr>
          <w:ilvl w:val="0"/>
          <w:numId w:val="1019"/>
        </w:numPr>
      </w:pPr>
      <w:r>
        <w:t xml:space="preserve">Asignar acciones específicas, propietarios, recursos, fechas basadas en el riesgo, protección provisional y medidas de éxito.</w:t>
      </w:r>
    </w:p>
    <w:p>
      <w:pPr>
        <w:numPr>
          <w:ilvl w:val="0"/>
          <w:numId w:val="1019"/>
        </w:numPr>
      </w:pPr>
      <w:r>
        <w:t xml:space="preserve">Reprueba la capacidad fallida y las políticas de actualización, arquitectura, detecciones, libros de texto, contratos, capacitación, BIA, continuidad y planes de recuperación.</w:t>
      </w:r>
    </w:p>
    <w:p>
      <w:pPr>
        <w:pStyle w:val="FirstParagraph"/>
      </w:pPr>
      <w:r>
        <w:t xml:space="preserve">** Acción débil** Silencioso** |</w:t>
      </w:r>
    </w:p>
    <w:p>
      <w:pPr>
        <w:pStyle w:val="BodyText"/>
      </w:pPr>
      <w:r>
        <w:t xml:space="preserve">|… |</w:t>
      </w:r>
      <w:r>
        <w:t xml:space="preserve"> </w:t>
      </w:r>
      <w:r>
        <w:t xml:space="preserve">tención Mejorar la vigilancia | Añadir eventos de administración de proveedores de identidad al SIEM, alertar sobre nuevo papel privilegiado dentro de cinco minutos, y probar mensualmente |</w:t>
      </w:r>
      <w:r>
        <w:t xml:space="preserve"> </w:t>
      </w:r>
      <w:r>
        <w:t xml:space="preserve">| Personal de formación | Ejecutar un ejercicio específico para la verificación de la identidad de los usuarios de los servicios y medir el tratamiento de fallos</w:t>
      </w:r>
      <w:r>
        <w:t xml:space="preserve"> </w:t>
      </w:r>
      <w:r>
        <w:t xml:space="preserve">| para arreglar copias de seguridad Añadir copia diaria aislada para la base de datos Tier 1 y probar restaurar dentro de cuatro horas RTO trimestral |</w:t>
      </w:r>
      <w:r>
        <w:t xml:space="preserve"> </w:t>
      </w:r>
      <w:r>
        <w:t xml:space="preserve">tención Plan de actualización | Añadir llamado tomador de decisiones alternativo, contacto fuera de banda, y paso de activación probado</w:t>
      </w:r>
    </w:p>
    <w:p>
      <w:pPr>
        <w:numPr>
          <w:ilvl w:val="0"/>
          <w:numId w:val="1020"/>
        </w:numPr>
        <w:pStyle w:val="Compact"/>
      </w:pPr>
      <w:r>
        <w:t xml:space="preserve">Coordinación de las comunicaciones, jurídicas y reglamentarias</w:t>
      </w:r>
    </w:p>
    <w:p>
      <w:pPr>
        <w:numPr>
          <w:ilvl w:val="0"/>
          <w:numId w:val="1021"/>
        </w:numPr>
        <w:pStyle w:val="Compact"/>
      </w:pPr>
      <w:r>
        <w:t xml:space="preserve">La comunicación debe ser precisa, oportuna, autorizada, específica para el público y protegida.*</w:t>
      </w:r>
    </w:p>
    <w:bookmarkEnd w:id="45"/>
    <w:bookmarkStart w:id="46" w:name="reglas-de-funcionamiento"/>
    <w:p>
      <w:pPr>
        <w:pStyle w:val="Heading2"/>
      </w:pPr>
      <w:r>
        <w:t xml:space="preserve">13.1 Reglas de funcionamiento</w:t>
      </w:r>
    </w:p>
    <w:p>
      <w:pPr>
        <w:numPr>
          <w:ilvl w:val="0"/>
          <w:numId w:val="1022"/>
        </w:numPr>
      </w:pPr>
      <w:r>
        <w:t xml:space="preserve">Mantener una base de datos aprobada con tiempo, fuente, confianza, propietario y última actualización.</w:t>
      </w:r>
    </w:p>
    <w:p>
      <w:pPr>
        <w:numPr>
          <w:ilvl w:val="0"/>
          <w:numId w:val="1022"/>
        </w:numPr>
      </w:pPr>
      <w:r>
        <w:t xml:space="preserve">Estatus operativo separado, análisis legal, hipótesis técnicas y mensajes públicos.</w:t>
      </w:r>
    </w:p>
    <w:p>
      <w:pPr>
        <w:numPr>
          <w:ilvl w:val="0"/>
          <w:numId w:val="1022"/>
        </w:numPr>
      </w:pPr>
      <w:r>
        <w:t xml:space="preserve">Utilizar canales seguros apropiados para posibles compromisos y conservar los registros requeridos.</w:t>
      </w:r>
    </w:p>
    <w:p>
      <w:pPr>
        <w:numPr>
          <w:ilvl w:val="0"/>
          <w:numId w:val="1022"/>
        </w:numPr>
      </w:pPr>
      <w:r>
        <w:t xml:space="preserve">Decir lo que se conoce, se desconoce, se hace, necesita del público, y la próxima vez de actualización.</w:t>
      </w:r>
    </w:p>
    <w:p>
      <w:pPr>
        <w:numPr>
          <w:ilvl w:val="0"/>
          <w:numId w:val="1022"/>
        </w:numPr>
      </w:pPr>
      <w:r>
        <w:t xml:space="preserve">Rastrear los desencadenantes y relojes de notificación por ley, regulador, contrato, asegurador, cliente, empleado y jurisdicción.</w:t>
      </w:r>
    </w:p>
    <w:p>
      <w:pPr>
        <w:numPr>
          <w:ilvl w:val="0"/>
          <w:numId w:val="1022"/>
        </w:numPr>
      </w:pPr>
      <w:r>
        <w:t xml:space="preserve">Coordinar legal, privacidad, comunicaciones, recursos humanos, seguridad, ejecutivos, proveedores, aseguradores y autoridades públicas.</w:t>
      </w:r>
    </w:p>
    <w:p>
      <w:pPr>
        <w:numPr>
          <w:ilvl w:val="0"/>
          <w:numId w:val="1022"/>
        </w:numPr>
      </w:pPr>
      <w:r>
        <w:t xml:space="preserve">No especular, ocultar los hechos materiales, destruir los registros, o prometer el tiempo que los equipos no pueden soportar.</w:t>
      </w:r>
    </w:p>
    <w:p>
      <w:pPr>
        <w:pStyle w:val="FirstParagraph"/>
      </w:pPr>
      <w:r>
        <w:rPr>
          <w:bCs/>
          <w:b/>
        </w:rPr>
        <w:t xml:space="preserve">Audiencia</w:t>
      </w:r>
      <w:r>
        <w:t xml:space="preserve"> </w:t>
      </w:r>
      <w:r>
        <w:t xml:space="preserve">|… |</w:t>
      </w:r>
      <w:r>
        <w:t xml:space="preserve"> </w:t>
      </w:r>
      <w:r>
        <w:t xml:space="preserve">Respuestas a las personas detenidas</w:t>
      </w:r>
      <w:r>
        <w:t xml:space="preserve"> </w:t>
      </w:r>
      <w:r>
        <w:t xml:space="preserve">| Ejecutivos | Impacto empresarial, incertidumbre, opciones, recomendación, recursos, siguiente decisión</w:t>
      </w:r>
      <w:r>
        <w:t xml:space="preserve"> </w:t>
      </w:r>
      <w:r>
        <w:t xml:space="preserve">| Lo que sucedió, acciones seguras, soporte, canal de reportaje, tiempo de actualización |</w:t>
      </w:r>
      <w:r>
        <w:t xml:space="preserve"> </w:t>
      </w:r>
      <w:r>
        <w:t xml:space="preserve">| Clientes / partners | Servicio/datos afectados, acción protectora, soporte, actualizaciones verificadas |</w:t>
      </w:r>
      <w:r>
        <w:t xml:space="preserve"> </w:t>
      </w:r>
      <w:r>
        <w:t xml:space="preserve">Silencioso Regulador / autoridad | Datos obligatorios, tiempo, alcance, impacto, medidas, cooperación</w:t>
      </w:r>
      <w:r>
        <w:t xml:space="preserve"> </w:t>
      </w:r>
      <w:r>
        <w:t xml:space="preserve">| Public / media | Aprobado mensaje preciso, vocero, actualizaciones constantes</w:t>
      </w:r>
    </w:p>
    <w:p>
      <w:pPr>
        <w:pStyle w:val="BodyText"/>
      </w:pPr>
      <w:r>
        <w:t xml:space="preserve">** Nota legal:** Los derechos de notificación y preservación son específicos para los hechos y la jurisdicción. Involucrar a un abogado calificado temprano; no utilice este manual como una determinación legal. |</w:t>
      </w:r>
      <w:r>
        <w:t xml:space="preserve"> </w:t>
      </w:r>
      <w:r>
        <w:t xml:space="preserve">|. |</w:t>
      </w:r>
    </w:p>
    <w:bookmarkEnd w:id="46"/>
    <w:bookmarkEnd w:id="47"/>
    <w:bookmarkStart w:id="49" w:name="evidencia-digital-y-teoría-forense"/>
    <w:p>
      <w:pPr>
        <w:pStyle w:val="Heading1"/>
      </w:pPr>
      <w:r>
        <w:t xml:space="preserve">14. Evidencia digital y teoría forense</w:t>
      </w:r>
    </w:p>
    <w:p>
      <w:pPr>
        <w:pStyle w:val="FirstParagraph"/>
      </w:pPr>
      <w:r>
        <w:rPr>
          <w:iCs/>
          <w:i/>
        </w:rPr>
        <w:t xml:space="preserve">La preparación forense hace pruebas fiables, útiles, proporcionadas y disponibles cuando sea necesario.</w:t>
      </w:r>
    </w:p>
    <w:p>
      <w:pPr>
        <w:pStyle w:val="BodyText"/>
      </w:pPr>
      <w:r>
        <w:t xml:space="preserve">■img src=</w:t>
      </w:r>
      <w:r>
        <w:t xml:space="preserve">“</w:t>
      </w:r>
      <w:r>
        <w:t xml:space="preserve">media/image6.png</w:t>
      </w:r>
      <w:r>
        <w:t xml:space="preserve">”</w:t>
      </w:r>
      <w:r>
        <w:t xml:space="preserve"> </w:t>
      </w:r>
      <w:r>
        <w:t xml:space="preserve">estilo=</w:t>
      </w:r>
      <w:r>
        <w:t xml:space="preserve">“</w:t>
      </w:r>
      <w:r>
        <w:t xml:space="preserve">Ancho:6.15in; Altura:3.39605in</w:t>
      </w:r>
      <w:r>
        <w:t xml:space="preserve">”</w:t>
      </w:r>
      <w:r>
        <w:t xml:space="preserve"> </w:t>
      </w:r>
      <w:r>
        <w:t xml:space="preserve">alt=</w:t>
      </w:r>
      <w:r>
        <w:t xml:space="preserve">“</w:t>
      </w:r>
      <w:r>
        <w:t xml:space="preserve">Identidad documental, preservación, integridad, custodia, análisis y límites.</w:t>
      </w:r>
      <w:r>
        <w:t xml:space="preserve">”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Figura 6. Integridad y custodia de la evidencia</w:t>
      </w:r>
    </w:p>
    <w:bookmarkStart w:id="48" w:name="registro-de-evidencia"/>
    <w:p>
      <w:pPr>
        <w:pStyle w:val="Heading2"/>
      </w:pPr>
      <w:r>
        <w:t xml:space="preserve">14.1 Registro de evidencia</w:t>
      </w:r>
    </w:p>
    <w:p>
      <w:pPr>
        <w:numPr>
          <w:ilvl w:val="0"/>
          <w:numId w:val="1023"/>
        </w:numPr>
      </w:pPr>
      <w:r>
        <w:t xml:space="preserve">ID, descripción, sistema fuente/dispositivo/cuenta, colector, autoridad, zona hora/hora/hora, ubicación y razón.</w:t>
      </w:r>
    </w:p>
    <w:p>
      <w:pPr>
        <w:numPr>
          <w:ilvl w:val="0"/>
          <w:numId w:val="1023"/>
        </w:numPr>
      </w:pPr>
      <w:r>
        <w:t xml:space="preserve">Método de recogida, herramienta/versión, configuración, copia original y de trabajo, hash criptográfico cuando sea apropiado, y protección de almacenamiento.</w:t>
      </w:r>
    </w:p>
    <w:p>
      <w:pPr>
        <w:numPr>
          <w:ilvl w:val="0"/>
          <w:numId w:val="1023"/>
        </w:numPr>
      </w:pPr>
      <w:r>
        <w:t xml:space="preserve">Cada transferencia: de, a, fecha/hora, propósito, firmas o registro autenticado, y verificación de integridad.</w:t>
      </w:r>
    </w:p>
    <w:p>
      <w:pPr>
        <w:numPr>
          <w:ilvl w:val="0"/>
          <w:numId w:val="1023"/>
        </w:numPr>
      </w:pPr>
      <w:r>
        <w:t xml:space="preserve">Análisis de pasos, consultas, transformaciones, normalización del tiempo, capturas de pantalla/exportaciones, hallazgos, explicación alternativa y limitación.</w:t>
      </w:r>
    </w:p>
    <w:p>
      <w:pPr>
        <w:numPr>
          <w:ilvl w:val="0"/>
          <w:numId w:val="1023"/>
        </w:numPr>
      </w:pPr>
      <w:r>
        <w:t xml:space="preserve">Retención, retención legal, privacidad/minimización, registro de acceso, divulgación y eliminación aprobada.</w:t>
      </w:r>
    </w:p>
    <w:p>
      <w:pPr>
        <w:numPr>
          <w:ilvl w:val="0"/>
          <w:numId w:val="1023"/>
        </w:numPr>
      </w:pPr>
      <w:r>
        <w:t xml:space="preserve">La seguridad y la autoridad* No acceda a cuentas personales, intercepte comunicaciones, colecte ampliamente o realice acciones invasivas sin autoridad adecuada. Siga las normas legales, políticas, privacidad, empleo y pruebas. |</w:t>
      </w:r>
      <w:r>
        <w:t xml:space="preserve"> </w:t>
      </w:r>
      <w:r>
        <w:t xml:space="preserve">|. |</w:t>
      </w:r>
    </w:p>
    <w:bookmarkEnd w:id="48"/>
    <w:bookmarkEnd w:id="49"/>
    <w:bookmarkStart w:id="51" w:name="ataques-ransomware-y-destructivos"/>
    <w:p>
      <w:pPr>
        <w:pStyle w:val="Heading1"/>
      </w:pPr>
      <w:r>
        <w:t xml:space="preserve">15. Ataques Ransomware y Destructivos</w:t>
      </w:r>
    </w:p>
    <w:p>
      <w:pPr>
        <w:pStyle w:val="FirstParagraph"/>
      </w:pPr>
      <w:r>
        <w:rPr>
          <w:iCs/>
          <w:i/>
        </w:rPr>
        <w:t xml:space="preserve">El ransomware puede combinar el acceso, robo, extorsión, encriptación, destrucción y presión pública.</w:t>
      </w:r>
    </w:p>
    <w:p>
      <w:pPr>
        <w:pStyle w:val="BodyText"/>
      </w:pPr>
      <w:r>
        <w:t xml:space="preserve">Prioridades inmediatas</w:t>
      </w:r>
    </w:p>
    <w:p>
      <w:pPr>
        <w:numPr>
          <w:ilvl w:val="0"/>
          <w:numId w:val="1024"/>
        </w:numPr>
      </w:pPr>
      <w:r>
        <w:t xml:space="preserve">Proteger la vida y la seguridad; activar el liderazgo de incidentes y crisis.</w:t>
      </w:r>
    </w:p>
    <w:p>
      <w:pPr>
        <w:numPr>
          <w:ilvl w:val="0"/>
          <w:numId w:val="1024"/>
        </w:numPr>
      </w:pPr>
      <w:r>
        <w:t xml:space="preserve">Aislar los sistemas y las redes afectados de manera coordinada; preservar la evidencia antes de la salida de energía cuando sea segura y útil.</w:t>
      </w:r>
    </w:p>
    <w:p>
      <w:pPr>
        <w:numPr>
          <w:ilvl w:val="0"/>
          <w:numId w:val="1024"/>
        </w:numPr>
      </w:pPr>
      <w:r>
        <w:t xml:space="preserve">Infraestructura de identidad segura, vías administrativas, respaldos, hipervisores, consolas en la nube, herramientas remotas y sistemas de gestión.</w:t>
      </w:r>
    </w:p>
    <w:p>
      <w:pPr>
        <w:numPr>
          <w:ilvl w:val="0"/>
          <w:numId w:val="1024"/>
        </w:numPr>
      </w:pPr>
      <w:r>
        <w:t xml:space="preserve">Determinar el alcance, la actividad del actor, la persistencia, el acceso/exfiltración de datos, la encriptación, el impacto empresarial y la exposición del proveedor.</w:t>
      </w:r>
    </w:p>
    <w:p>
      <w:pPr>
        <w:numPr>
          <w:ilvl w:val="0"/>
          <w:numId w:val="1024"/>
        </w:numPr>
      </w:pPr>
      <w:r>
        <w:t xml:space="preserve">Usar comunicaciones fuera de banda y dispositivos secretos conocidos.</w:t>
      </w:r>
    </w:p>
    <w:p>
      <w:pPr>
        <w:numPr>
          <w:ilvl w:val="0"/>
          <w:numId w:val="1024"/>
        </w:numPr>
      </w:pPr>
      <w:r>
        <w:t xml:space="preserve">Contratar a un abogado, un asegurador, personal cualificado y autoridades competentes en virtud de procedimientos aprobados.</w:t>
      </w:r>
    </w:p>
    <w:p>
      <w:pPr>
        <w:numPr>
          <w:ilvl w:val="0"/>
          <w:numId w:val="1024"/>
        </w:numPr>
      </w:pPr>
      <w:r>
        <w:t xml:space="preserve">Priorizar la restauración de servicios críticos de confianza; validar copias de seguridad y no volver a conectarse a compromisos activos.</w:t>
      </w:r>
    </w:p>
    <w:bookmarkStart w:id="50" w:name="decisión-de-pago"/>
    <w:p>
      <w:pPr>
        <w:pStyle w:val="Heading2"/>
      </w:pPr>
      <w:r>
        <w:t xml:space="preserve">15.2 Decisión de pago</w:t>
      </w:r>
    </w:p>
    <w:p>
      <w:pPr>
        <w:numPr>
          <w:ilvl w:val="0"/>
          <w:numId w:val="1025"/>
        </w:numPr>
      </w:pPr>
      <w:r>
        <w:t xml:space="preserve">El pago es una decisión legal, de seguridad, ética, sanciones, negocios y riesgo para el liderazgo autorizado, no un analista junior.</w:t>
      </w:r>
    </w:p>
    <w:p>
      <w:pPr>
        <w:numPr>
          <w:ilvl w:val="0"/>
          <w:numId w:val="1025"/>
        </w:numPr>
      </w:pPr>
      <w:r>
        <w:t xml:space="preserve">El pago no garantiza desciframiento, eliminación, silencio o ausencia de ataques futuros.</w:t>
      </w:r>
    </w:p>
    <w:p>
      <w:pPr>
        <w:numPr>
          <w:ilvl w:val="0"/>
          <w:numId w:val="1025"/>
        </w:numPr>
      </w:pPr>
      <w:r>
        <w:t xml:space="preserve">Preserve facts, authorities, alternatives, insurer conditions, and decision rationale; use qualified counsel and public authorities as appropriate.</w:t>
      </w:r>
    </w:p>
    <w:bookmarkEnd w:id="50"/>
    <w:bookmarkEnd w:id="51"/>
    <w:bookmarkStart w:id="53" w:name="X3712415850d93956963e08c37a91e90291eefc3"/>
    <w:p>
      <w:pPr>
        <w:pStyle w:val="Heading1"/>
      </w:pPr>
      <w:r>
        <w:t xml:space="preserve">16. Respuesta del incidente de Cloud and SaaS</w:t>
      </w:r>
    </w:p>
    <w:p>
      <w:pPr>
        <w:pStyle w:val="FirstParagraph"/>
      </w:pPr>
      <w:r>
        <w:rPr>
          <w:iCs/>
          <w:i/>
        </w:rPr>
        <w:t xml:space="preserve">La respuesta en voz alta depende de la telemetría de proveedores, responsabilidad compartida, control de inquilinos y acceso de soporte.</w:t>
      </w:r>
    </w:p>
    <w:bookmarkStart w:id="52" w:name="investigación-en-la-nube"/>
    <w:p>
      <w:pPr>
        <w:pStyle w:val="Heading2"/>
      </w:pPr>
      <w:r>
        <w:t xml:space="preserve">16.1 Investigación en la nube</w:t>
      </w:r>
    </w:p>
    <w:p>
      <w:pPr>
        <w:numPr>
          <w:ilvl w:val="0"/>
          <w:numId w:val="1026"/>
        </w:numPr>
      </w:pPr>
      <w:r>
        <w:t xml:space="preserve">Auditoría, identidad, API, objeto, red, volumen de trabajo, base de datos, gestión clave, seguridad, facturación y registros de soporte antes de que expire la retención.</w:t>
      </w:r>
    </w:p>
    <w:p>
      <w:pPr>
        <w:numPr>
          <w:ilvl w:val="0"/>
          <w:numId w:val="1026"/>
        </w:numPr>
      </w:pPr>
      <w:r>
        <w:t xml:space="preserve">Identificar inquilino, suscripción/proyecto/cuenta, región, recurso, identidad, papel, token, clave, automatización, aplicación y acción del proveedor.</w:t>
      </w:r>
    </w:p>
    <w:p>
      <w:pPr>
        <w:numPr>
          <w:ilvl w:val="0"/>
          <w:numId w:val="1026"/>
        </w:numPr>
      </w:pPr>
      <w:r>
        <w:t xml:space="preserve">Revisar el plan de control y la actividad del plan de datos por separado.</w:t>
      </w:r>
    </w:p>
    <w:p>
      <w:pPr>
        <w:numPr>
          <w:ilvl w:val="0"/>
          <w:numId w:val="1026"/>
        </w:numPr>
      </w:pPr>
      <w:r>
        <w:t xml:space="preserve">Pruebas instantáneas o exportadoras usando métodos compatibles; tiempo de proveedor de registros, identificadores, hashes y limitaciones.</w:t>
      </w:r>
    </w:p>
    <w:p>
      <w:pPr>
        <w:numPr>
          <w:ilvl w:val="0"/>
          <w:numId w:val="1026"/>
        </w:numPr>
      </w:pPr>
      <w:r>
        <w:t xml:space="preserve">Escalada del proveedor de coordinación, solicitud legal, aviso de incidentes, subprocesador y derechos de responsabilidad compartida.</w:t>
      </w:r>
    </w:p>
    <w:p>
      <w:pPr>
        <w:pStyle w:val="FirstParagraph"/>
      </w:pPr>
      <w:r>
        <w:t xml:space="preserve">Contención en la nube</w:t>
      </w:r>
    </w:p>
    <w:p>
      <w:pPr>
        <w:numPr>
          <w:ilvl w:val="0"/>
          <w:numId w:val="1027"/>
        </w:numPr>
      </w:pPr>
      <w:r>
        <w:t xml:space="preserve">Revocar sesiones y fichas, desactivar identidades comprometidas, rotar secretos/keys, restringir políticas y redes, cargas de trabajo cuarentena, detener la automatización insegura y preservar las vías de recuperación.</w:t>
      </w:r>
    </w:p>
    <w:p>
      <w:pPr>
        <w:numPr>
          <w:ilvl w:val="0"/>
          <w:numId w:val="1027"/>
        </w:numPr>
      </w:pPr>
      <w:r>
        <w:t xml:space="preserve">Evite eliminar los recursos antes de que se entiendan las pruebas, la dependencia y las necesidades de devolución.</w:t>
      </w:r>
    </w:p>
    <w:p>
      <w:pPr>
        <w:numPr>
          <w:ilvl w:val="0"/>
          <w:numId w:val="1027"/>
        </w:numPr>
      </w:pPr>
      <w:r>
        <w:t xml:space="preserve">Validar la infraestructura como código, imágenes, oleoductos, federación de identidad, registro y base de referencia inquilino antes de la reconstrucción.</w:t>
      </w:r>
    </w:p>
    <w:bookmarkEnd w:id="52"/>
    <w:bookmarkEnd w:id="53"/>
    <w:bookmarkStart w:id="56" w:name="identidad-y-acceso-privilegiado"/>
    <w:p>
      <w:pPr>
        <w:pStyle w:val="Heading1"/>
      </w:pPr>
      <w:r>
        <w:t xml:space="preserve">17. Identidad y acceso privilegiado</w:t>
      </w:r>
    </w:p>
    <w:p>
      <w:pPr>
        <w:pStyle w:val="FirstParagraph"/>
      </w:pPr>
      <w:r>
        <w:rPr>
          <w:iCs/>
          <w:i/>
        </w:rPr>
        <w:t xml:space="preserve">El compromiso de la identidad puede cruzar puntos finales, servicios en la nube, proveedores y canales de recuperación.</w:t>
      </w:r>
    </w:p>
    <w:bookmarkStart w:id="54" w:name="scope"/>
    <w:p>
      <w:pPr>
        <w:pStyle w:val="Heading2"/>
      </w:pPr>
      <w:r>
        <w:t xml:space="preserve">17.1 Scope</w:t>
      </w:r>
    </w:p>
    <w:p>
      <w:pPr>
        <w:numPr>
          <w:ilvl w:val="0"/>
          <w:numId w:val="1028"/>
        </w:numPr>
      </w:pPr>
      <w:r>
        <w:t xml:space="preserve">Contraseña, método MFA, sesiones, fichas de actualización/acceso, claves API, subvenciones OAuth, directores de servicios, certificados, métodos de recuperación, acceso delegado y roles privilegiados.</w:t>
      </w:r>
    </w:p>
    <w:p>
      <w:pPr>
        <w:numPr>
          <w:ilvl w:val="0"/>
          <w:numId w:val="1028"/>
        </w:numPr>
      </w:pPr>
      <w:r>
        <w:t xml:space="preserve">Authentication success/failure, device, IP, location, impossible travel, registration, consent, role change, mailbox rule, application access, support reset, and audit-log change.</w:t>
      </w:r>
    </w:p>
    <w:p>
      <w:pPr>
        <w:numPr>
          <w:ilvl w:val="0"/>
          <w:numId w:val="1028"/>
        </w:numPr>
      </w:pPr>
      <w:r>
        <w:t xml:space="preserve">Identidades relacionadas, dispositivos compartidos, herramientas de administración, sistemas federados, mostrador de ayuda, proveedores y cuentas de cristal.</w:t>
      </w:r>
    </w:p>
    <w:bookmarkEnd w:id="54"/>
    <w:bookmarkStart w:id="55" w:name="orden-de-recuperación-segura"/>
    <w:p>
      <w:pPr>
        <w:pStyle w:val="Heading2"/>
      </w:pPr>
      <w:r>
        <w:t xml:space="preserve">17.2 Orden de recuperación segura</w:t>
      </w:r>
    </w:p>
    <w:p>
      <w:pPr>
        <w:numPr>
          <w:ilvl w:val="0"/>
          <w:numId w:val="1029"/>
        </w:numPr>
      </w:pPr>
      <w:r>
        <w:t xml:space="preserve">Acceso administrativo de confianza seguro y control de identidad.</w:t>
      </w:r>
    </w:p>
    <w:p>
      <w:pPr>
        <w:numPr>
          <w:ilvl w:val="0"/>
          <w:numId w:val="1029"/>
        </w:numPr>
      </w:pPr>
      <w:r>
        <w:t xml:space="preserve">Desactivar o restringir caminos comprometidos preservando las pruebas requeridas.</w:t>
      </w:r>
    </w:p>
    <w:p>
      <w:pPr>
        <w:numPr>
          <w:ilvl w:val="0"/>
          <w:numId w:val="1029"/>
        </w:numPr>
      </w:pPr>
      <w:r>
        <w:t xml:space="preserve">Revocar sesiones/tokens y eliminar factores no autorizados, roles, aplicaciones, reglas y métodos de recuperación.</w:t>
      </w:r>
    </w:p>
    <w:p>
      <w:pPr>
        <w:numPr>
          <w:ilvl w:val="0"/>
          <w:numId w:val="1029"/>
        </w:numPr>
      </w:pPr>
      <w:r>
        <w:t xml:space="preserve">Rotar secretos en orden de información sobre dependencia; verificar cuentas de servicio y automatización.</w:t>
      </w:r>
    </w:p>
    <w:p>
      <w:pPr>
        <w:numPr>
          <w:ilvl w:val="0"/>
          <w:numId w:val="1029"/>
        </w:numPr>
      </w:pPr>
      <w:r>
        <w:t xml:space="preserve">Restaurar el acceso de los usuarios mediante una fuerte prueba de identidad; monitorear la recurrencia.</w:t>
      </w:r>
    </w:p>
    <w:p>
      <w:pPr>
        <w:numPr>
          <w:ilvl w:val="0"/>
          <w:numId w:val="1029"/>
        </w:numPr>
      </w:pPr>
      <w:r>
        <w:t xml:space="preserve">Investigar cómo se evitaron los controles y probar el proceso corregido.</w:t>
      </w:r>
    </w:p>
    <w:bookmarkEnd w:id="55"/>
    <w:bookmarkEnd w:id="56"/>
    <w:bookmarkStart w:id="59" w:name="Xe6a7df214db97c17fcfdce6551801d7622cee5c"/>
    <w:p>
      <w:pPr>
        <w:pStyle w:val="Heading1"/>
      </w:pPr>
      <w:r>
        <w:t xml:space="preserve">18. Incidentes de terceros y de intercambio de suministros</w:t>
      </w:r>
    </w:p>
    <w:p>
      <w:pPr>
        <w:pStyle w:val="FirstParagraph"/>
      </w:pPr>
      <w:r>
        <w:rPr>
          <w:iCs/>
          <w:i/>
        </w:rPr>
        <w:t xml:space="preserve">Un incidente del proveedor requiere hechos compartidos, responsabilidades, relojes de notificación y decisiones de recuperación.</w:t>
      </w:r>
    </w:p>
    <w:bookmarkStart w:id="57" w:name="prepare"/>
    <w:p>
      <w:pPr>
        <w:pStyle w:val="Heading2"/>
      </w:pPr>
      <w:r>
        <w:t xml:space="preserve">18.1 Prepare</w:t>
      </w:r>
    </w:p>
    <w:p>
      <w:pPr>
        <w:numPr>
          <w:ilvl w:val="0"/>
          <w:numId w:val="1030"/>
        </w:numPr>
      </w:pPr>
      <w:r>
        <w:t xml:space="preserve">Mantener los servicios actuales de proveedores, propietarios, datos, acceso, integraciones, cuartas partes, contactos de incidentes, términos de contrato y alternativas.</w:t>
      </w:r>
    </w:p>
    <w:p>
      <w:pPr>
        <w:numPr>
          <w:ilvl w:val="0"/>
          <w:numId w:val="1030"/>
        </w:numPr>
      </w:pPr>
      <w:r>
        <w:t xml:space="preserve">Definir eventos reportables, tiempo de notificación y canal, datos mínimos, evidencia/cooperación, actualizaciones, contención, recuperación, comunicación pública y derechos posteriores al incidente.</w:t>
      </w:r>
    </w:p>
    <w:p>
      <w:pPr>
        <w:numPr>
          <w:ilvl w:val="0"/>
          <w:numId w:val="1030"/>
        </w:numPr>
      </w:pPr>
      <w:r>
        <w:t xml:space="preserve">Incluir proveedores críticos en ejercicios y pruebas de continuidad y salida.</w:t>
      </w:r>
    </w:p>
    <w:bookmarkEnd w:id="57"/>
    <w:bookmarkStart w:id="58" w:name="responder"/>
    <w:p>
      <w:pPr>
        <w:pStyle w:val="Heading2"/>
      </w:pPr>
      <w:r>
        <w:t xml:space="preserve">18.2 Responder</w:t>
      </w:r>
    </w:p>
    <w:p>
      <w:pPr>
        <w:numPr>
          <w:ilvl w:val="0"/>
          <w:numId w:val="1031"/>
        </w:numPr>
      </w:pPr>
      <w:r>
        <w:t xml:space="preserve">Confirme el producto afectado, versión, inquilino, región, datos, cuentas, integraciones, subprocesadores y periodo de tiempo.</w:t>
      </w:r>
    </w:p>
    <w:p>
      <w:pPr>
        <w:numPr>
          <w:ilvl w:val="0"/>
          <w:numId w:val="1031"/>
        </w:numPr>
      </w:pPr>
      <w:r>
        <w:t xml:space="preserve">Reclamaciones separadas del proveedor de los hechos respaldados independientemente e incertidumbre récord.</w:t>
      </w:r>
    </w:p>
    <w:p>
      <w:pPr>
        <w:numPr>
          <w:ilvl w:val="0"/>
          <w:numId w:val="1031"/>
        </w:numPr>
      </w:pPr>
      <w:r>
        <w:t xml:space="preserve">Proteger el acceso de la organización, claves, sesiones, integraciones, flujos de datos y clientes.</w:t>
      </w:r>
    </w:p>
    <w:p>
      <w:pPr>
        <w:numPr>
          <w:ilvl w:val="0"/>
          <w:numId w:val="1031"/>
        </w:numPr>
      </w:pPr>
      <w:r>
        <w:t xml:space="preserve">Coordinar proveedor, equipos internos, clientes, autoridades, aseguradoras y otros proveedores afectados.</w:t>
      </w:r>
    </w:p>
    <w:p>
      <w:pPr>
        <w:numPr>
          <w:ilvl w:val="0"/>
          <w:numId w:val="1031"/>
        </w:numPr>
      </w:pPr>
      <w:r>
        <w:t xml:space="preserve">Evaluar las opciones de riesgo, hallazgos, cumplimiento de contratos, concentración y salida/continuidad después de la recuperación.</w:t>
      </w:r>
    </w:p>
    <w:p>
      <w:pPr>
        <w:numPr>
          <w:ilvl w:val="0"/>
          <w:numId w:val="1032"/>
        </w:numPr>
        <w:pStyle w:val="Compact"/>
      </w:pPr>
      <w:r>
        <w:t xml:space="preserve">Sistema de Gestión de la Continuidad Empresarial</w:t>
      </w:r>
    </w:p>
    <w:p>
      <w:pPr>
        <w:pStyle w:val="FirstParagraph"/>
      </w:pPr>
      <w:r>
        <w:rPr>
          <w:iCs/>
          <w:i/>
        </w:rPr>
        <w:t xml:space="preserve">A BCMS hace de la continuidad una capacidad de gestión gobernada, medida y mejora.</w:t>
      </w:r>
    </w:p>
    <w:p>
      <w:pPr>
        <w:pStyle w:val="BodyText"/>
      </w:pPr>
      <w:r>
        <w:t xml:space="preserve">“</w:t>
      </w:r>
      <w:r>
        <w:t xml:space="preserve">Contexto, liderazgo, planificación, apoyo, operación, evaluación y trabajo de mejora como ciclo</w:t>
      </w:r>
      <w:r>
        <w:t xml:space="preserve">”</w:t>
      </w:r>
      <w:r>
        <w:t xml:space="preserve"> </w:t>
      </w:r>
      <w:r>
        <w:t xml:space="preserve">(Contexto, liderazgo, planificación, apoyo, operación, evaluación y trabajo de mejora como ciclo.” /</w:t>
      </w:r>
    </w:p>
    <w:p>
      <w:pPr>
        <w:pStyle w:val="BodyText"/>
      </w:pPr>
      <w:r>
        <w:t xml:space="preserve">Gráfico 7 Sistema de gestión de la continuidad de las operaciones</w:t>
      </w:r>
    </w:p>
    <w:p>
      <w:pPr>
        <w:pStyle w:val="BodyText"/>
      </w:pPr>
      <w:r>
        <w:rPr>
          <w:bCs/>
          <w:b/>
        </w:rPr>
        <w:t xml:space="preserve">ISO 22301 area</w:t>
      </w:r>
      <w:r>
        <w:t xml:space="preserve"> </w:t>
      </w:r>
      <w:r>
        <w:t xml:space="preserve">Silencioso ** Actividad práctica** |</w:t>
      </w:r>
    </w:p>
    <w:p>
      <w:pPr>
        <w:pStyle w:val="BodyText"/>
      </w:pPr>
      <w:r>
        <w:t xml:space="preserve">|… |</w:t>
      </w:r>
      <w:r>
        <w:t xml:space="preserve"> </w:t>
      </w:r>
      <w:r>
        <w:t xml:space="preserve">| Context TENIENDO CUESTIONES internas/externas, partes interesadas, alcance y necesidades de continuidad |</w:t>
      </w:r>
      <w:r>
        <w:t xml:space="preserve"> </w:t>
      </w:r>
      <w:r>
        <w:t xml:space="preserve">← Liderazgo permanente Política, roles, rendición de cuentas, integración y recursos</w:t>
      </w:r>
      <w:r>
        <w:t xml:space="preserve"> </w:t>
      </w:r>
      <w:r>
        <w:t xml:space="preserve">← Planificar los riesgos/oportunidades, objetivos, cambios previstos</w:t>
      </w:r>
      <w:r>
        <w:t xml:space="preserve"> </w:t>
      </w:r>
      <w:r>
        <w:t xml:space="preserve">← Apoyo a las personas, competencia, sensibilización, comunicación, información documentada</w:t>
      </w:r>
      <w:r>
        <w:t xml:space="preserve"> </w:t>
      </w:r>
      <w:r>
        <w:t xml:space="preserve">TENIDA Operación | BIA, evaluación de riesgos, estrategia, procedimientos, ejercicios, evaluación</w:t>
      </w:r>
      <w:r>
        <w:t xml:space="preserve"> </w:t>
      </w:r>
      <w:r>
        <w:t xml:space="preserve">Evaluación de la actuación profesional en la vida útil Vigilancia, medición, análisis, auditoría interna, examen de la gestión</w:t>
      </w:r>
      <w:r>
        <w:t xml:space="preserve"> </w:t>
      </w:r>
      <w:r>
        <w:t xml:space="preserve">← Mejoramiento Ø Noconformidad, acción correctiva y mejora continua</w:t>
      </w:r>
    </w:p>
    <w:p>
      <w:pPr>
        <w:pStyle w:val="BodyText"/>
      </w:pPr>
      <w:r>
        <w:t xml:space="preserve">tención</w:t>
      </w:r>
      <w:r>
        <w:t xml:space="preserve"> </w:t>
      </w:r>
      <w:r>
        <w:rPr>
          <w:bCs/>
          <w:b/>
        </w:rPr>
        <w:t xml:space="preserve">2024 enmienda climática:</w:t>
      </w:r>
      <w:r>
        <w:t xml:space="preserve"> </w:t>
      </w:r>
      <w:r>
        <w:t xml:space="preserve">ISO 22301:2019/Amd 1:2024 añade texto de acción climática a los requisitos de contexto del sistema de gestión. Las organizaciones deben considerar si el cambio climático es relevante y reconocer que las partes interesadas pueden tener requisitos relacionados con el clima. |</w:t>
      </w:r>
      <w:r>
        <w:t xml:space="preserve"> </w:t>
      </w:r>
      <w:r>
        <w:t xml:space="preserve">|. |</w:t>
      </w:r>
    </w:p>
    <w:bookmarkEnd w:id="58"/>
    <w:bookmarkEnd w:id="59"/>
    <w:bookmarkStart w:id="61" w:name="estrategias-y-procedimientos-continuos"/>
    <w:p>
      <w:pPr>
        <w:pStyle w:val="Heading1"/>
      </w:pPr>
      <w:r>
        <w:t xml:space="preserve">20. Estrategias y procedimientos continuos</w:t>
      </w:r>
    </w:p>
    <w:p>
      <w:pPr>
        <w:pStyle w:val="FirstParagraph"/>
      </w:pPr>
      <w:r>
        <w:rPr>
          <w:iCs/>
          <w:i/>
        </w:rPr>
        <w:t xml:space="preserve">Las estrategias de continuidad mantienen las actividades prioritarias en los niveles de impacto tolerable y mínimo de servicios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 ← Entrenamiento cruzado, alternancias, trabajo remoto, equipos divididos, soporte contratado TEN ¿Pueden los suplentes entrenados realizar el proceso? 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 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 Datos /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← Proveedor alternativo, capacidad reservada, inventario, sustitución ¿Puede la entrega alternativa dentro de la tolerancia?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Utilidades / 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tención Proceso Silencioso Priorización, servicio reducido, plan atrasado, trabajo manual alrededor</w:t>
            </w:r>
          </w:p>
        </w:tc>
      </w:tr>
    </w:tbl>
    <w:bookmarkStart w:id="60" w:name="procedimiento-de-continuidad"/>
    <w:p>
      <w:pPr>
        <w:pStyle w:val="Heading2"/>
      </w:pPr>
      <w:r>
        <w:t xml:space="preserve">20.1 Procedimiento de continuidad</w:t>
      </w:r>
    </w:p>
    <w:p>
      <w:pPr>
        <w:numPr>
          <w:ilvl w:val="0"/>
          <w:numId w:val="1033"/>
        </w:numPr>
      </w:pPr>
      <w:r>
        <w:t xml:space="preserve">Activación y autoridad.</w:t>
      </w:r>
    </w:p>
    <w:p>
      <w:pPr>
        <w:numPr>
          <w:ilvl w:val="0"/>
          <w:numId w:val="1033"/>
        </w:numPr>
      </w:pPr>
      <w:r>
        <w:t xml:space="preserve">Producción prioritaria, nivel mínimo de servicio, duración máxima y meta de recuperación.</w:t>
      </w:r>
    </w:p>
    <w:p>
      <w:pPr>
        <w:numPr>
          <w:ilvl w:val="0"/>
          <w:numId w:val="1033"/>
        </w:numPr>
      </w:pPr>
      <w:r>
        <w:t xml:space="preserve">Personas, contacto, ubicación, tecnología, información, proveedor y necesidades de seguridad.</w:t>
      </w:r>
    </w:p>
    <w:p>
      <w:pPr>
        <w:numPr>
          <w:ilvl w:val="0"/>
          <w:numId w:val="1033"/>
        </w:numPr>
      </w:pPr>
      <w:r>
        <w:t xml:space="preserve">Trabajo paso a paso con controles, aprobaciones, registros, privacidad, reconciliación y recuperación atrasada.</w:t>
      </w:r>
    </w:p>
    <w:p>
      <w:pPr>
        <w:numPr>
          <w:ilvl w:val="0"/>
          <w:numId w:val="1033"/>
        </w:numPr>
      </w:pPr>
      <w:r>
        <w:t xml:space="preserve">Comunicación de cliente/empleado y ritmo de estado.</w:t>
      </w:r>
    </w:p>
    <w:p>
      <w:pPr>
        <w:numPr>
          <w:ilvl w:val="0"/>
          <w:numId w:val="1033"/>
        </w:numPr>
      </w:pPr>
      <w:r>
        <w:t xml:space="preserve">Criterios de regreso a lo normal, validación, aceptación del propietario y revisión posterior a la acción.</w:t>
      </w:r>
    </w:p>
    <w:bookmarkEnd w:id="60"/>
    <w:bookmarkEnd w:id="61"/>
    <w:bookmarkStart w:id="64" w:name="Xa3e3f8df69fa16231745c68f9784d3e5618b975"/>
    <w:p>
      <w:pPr>
        <w:pStyle w:val="Heading1"/>
      </w:pPr>
      <w:r>
        <w:t xml:space="preserve">21. Planificación de la recuperación de desastres</w:t>
      </w:r>
    </w:p>
    <w:p>
      <w:pPr>
        <w:pStyle w:val="FirstParagraph"/>
      </w:pPr>
      <w:r>
        <w:rPr>
          <w:iCs/>
          <w:i/>
        </w:rPr>
        <w:t xml:space="preserve">Un plan de recuperación de desastres restaura la tecnología en orden de prioridad empresarial</w:t>
      </w:r>
      <w:r>
        <w:t xml:space="preserve">.</w:t>
      </w:r>
    </w:p>
    <w:bookmarkStart w:id="62" w:name="nist-sp-800-34-proceso-de-contingencia"/>
    <w:p>
      <w:pPr>
        <w:pStyle w:val="Heading2"/>
      </w:pPr>
      <w:r>
        <w:t xml:space="preserve">21.1 NIST SP 800-34 proceso de contingencia</w:t>
      </w:r>
    </w:p>
    <w:p>
      <w:pPr>
        <w:numPr>
          <w:ilvl w:val="0"/>
          <w:numId w:val="1034"/>
        </w:numPr>
      </w:pPr>
      <w:r>
        <w:t xml:space="preserve">Elaborar la declaración de política de planificación para imprevistos.</w:t>
      </w:r>
    </w:p>
    <w:p>
      <w:pPr>
        <w:numPr>
          <w:ilvl w:val="0"/>
          <w:numId w:val="1034"/>
        </w:numPr>
      </w:pPr>
      <w:r>
        <w:t xml:space="preserve">Realizar el análisis de impacto empresarial.</w:t>
      </w:r>
    </w:p>
    <w:p>
      <w:pPr>
        <w:numPr>
          <w:ilvl w:val="0"/>
          <w:numId w:val="1034"/>
        </w:numPr>
      </w:pPr>
      <w:r>
        <w:t xml:space="preserve">Identificar controles preventivos.</w:t>
      </w:r>
    </w:p>
    <w:p>
      <w:pPr>
        <w:numPr>
          <w:ilvl w:val="0"/>
          <w:numId w:val="1034"/>
        </w:numPr>
      </w:pPr>
      <w:r>
        <w:t xml:space="preserve">Cree estrategias de contingencia.</w:t>
      </w:r>
    </w:p>
    <w:p>
      <w:pPr>
        <w:numPr>
          <w:ilvl w:val="0"/>
          <w:numId w:val="1034"/>
        </w:numPr>
      </w:pPr>
      <w:r>
        <w:t xml:space="preserve">Elaborar el plan de contingencia del sistema de información.</w:t>
      </w:r>
    </w:p>
    <w:p>
      <w:pPr>
        <w:numPr>
          <w:ilvl w:val="0"/>
          <w:numId w:val="1034"/>
        </w:numPr>
      </w:pPr>
      <w:r>
        <w:t xml:space="preserve">Asegurar las pruebas, entrenamiento y ejercicios del plan.</w:t>
      </w:r>
    </w:p>
    <w:p>
      <w:pPr>
        <w:numPr>
          <w:ilvl w:val="0"/>
          <w:numId w:val="1034"/>
        </w:numPr>
      </w:pPr>
      <w:r>
        <w:t xml:space="preserve">Asegurar el mantenimiento del plan.</w:t>
      </w:r>
    </w:p>
    <w:bookmarkEnd w:id="62"/>
    <w:bookmarkStart w:id="63" w:name="dr-plan-content"/>
    <w:p>
      <w:pPr>
        <w:pStyle w:val="Heading2"/>
      </w:pPr>
      <w:r>
        <w:t xml:space="preserve">21.2 DR plan content</w:t>
      </w:r>
    </w:p>
    <w:p>
      <w:pPr>
        <w:numPr>
          <w:ilvl w:val="0"/>
          <w:numId w:val="1035"/>
        </w:numPr>
      </w:pPr>
      <w:r>
        <w:t xml:space="preserve">Alcance, suposiciones, activación, autoridades, contactos, proveedores, sitios, arquitecturas, dependencias y niveles de recuperación.</w:t>
      </w:r>
    </w:p>
    <w:p>
      <w:pPr>
        <w:numPr>
          <w:ilvl w:val="0"/>
          <w:numId w:val="1035"/>
        </w:numPr>
      </w:pPr>
      <w:r>
        <w:t xml:space="preserve">Evaluación de daños, declaración, fallo, restauración, reconstrucción, validación, reconexión, retorno a la primaria y cierre.</w:t>
      </w:r>
    </w:p>
    <w:p>
      <w:pPr>
        <w:numPr>
          <w:ilvl w:val="0"/>
          <w:numId w:val="1035"/>
        </w:numPr>
      </w:pPr>
      <w:r>
        <w:t xml:space="preserve">Manuales de sistema por sistema con prerrequisitos, credenciales, administración limpia, puntos de datos, interfaces, seguridad, pruebas y retroceso.</w:t>
      </w:r>
    </w:p>
    <w:p>
      <w:pPr>
        <w:numPr>
          <w:ilvl w:val="0"/>
          <w:numId w:val="1035"/>
        </w:numPr>
      </w:pPr>
      <w:r>
        <w:t xml:space="preserve">Conflictos de recursos, capacidad, licencias, logística, comunicaciones y trabajos manuales.</w:t>
      </w:r>
    </w:p>
    <w:p>
      <w:pPr>
        <w:numPr>
          <w:ilvl w:val="0"/>
          <w:numId w:val="1035"/>
        </w:numPr>
      </w:pPr>
      <w:r>
        <w:t xml:space="preserve">Actual RTO/RPO, excepciones, aceptación y pruebas de mejora.</w:t>
      </w:r>
    </w:p>
    <w:bookmarkEnd w:id="63"/>
    <w:bookmarkEnd w:id="64"/>
    <w:bookmarkStart w:id="67" w:name="backups-and-recovery-assurance"/>
    <w:p>
      <w:pPr>
        <w:pStyle w:val="Heading1"/>
      </w:pPr>
      <w:r>
        <w:t xml:space="preserve">22. Backups and Recovery Assurance</w:t>
      </w:r>
    </w:p>
    <w:p>
      <w:pPr>
        <w:pStyle w:val="FirstParagraph"/>
      </w:pPr>
      <w:r>
        <w:rPr>
          <w:iCs/>
          <w:i/>
        </w:rPr>
        <w:t xml:space="preserve">Los fondos requieren alcance protegido, separación, monitoreo, pruebas de restauración y administración confiable.</w:t>
      </w:r>
    </w:p>
    <w:p>
      <w:pPr>
        <w:pStyle w:val="BodyText"/>
      </w:pPr>
      <w:r>
        <w:t xml:space="preserve">“</w:t>
      </w:r>
      <w:r>
        <w:t xml:space="preserve">El éxito de la copia no es prueba de recuperación; test de servicios completos e integridad de datos.</w:t>
      </w:r>
      <w:r>
        <w:t xml:space="preserve">”</w:t>
      </w:r>
      <w:r>
        <w:t xml:space="preserve"> </w:t>
      </w:r>
      <w:r>
        <w:t xml:space="preserve">/ Español</w:t>
      </w:r>
    </w:p>
    <w:p>
      <w:pPr>
        <w:pStyle w:val="BodyText"/>
      </w:pPr>
      <w:r>
        <w:t xml:space="preserve">Figure 8. Backup-to-recovery assurance</w:t>
      </w:r>
    </w:p>
    <w:bookmarkStart w:id="65" w:name="design"/>
    <w:p>
      <w:pPr>
        <w:pStyle w:val="Heading2"/>
      </w:pPr>
      <w:r>
        <w:t xml:space="preserve">22.1 Design</w:t>
      </w:r>
    </w:p>
    <w:p>
      <w:pPr>
        <w:numPr>
          <w:ilvl w:val="0"/>
          <w:numId w:val="1036"/>
        </w:numPr>
      </w:pPr>
      <w:r>
        <w:t xml:space="preserve">Mapa de sistemas críticos, configuraciones, identidad, claves, código, datos de SaaS, registros y dependencias a objetivos de BIA.</w:t>
      </w:r>
    </w:p>
    <w:p>
      <w:pPr>
        <w:numPr>
          <w:ilvl w:val="0"/>
          <w:numId w:val="1036"/>
        </w:numPr>
      </w:pPr>
      <w:r>
        <w:t xml:space="preserve">Utilice múltiples copias protegidas con separación adecuada, control de inmutabilidad/offline, encriptación, segregación de acceso, monitoreo y retención.</w:t>
      </w:r>
    </w:p>
    <w:p>
      <w:pPr>
        <w:numPr>
          <w:ilvl w:val="0"/>
          <w:numId w:val="1036"/>
        </w:numPr>
      </w:pPr>
      <w:r>
        <w:t xml:space="preserve">Proteger consolas de respaldo, cuentas de servicio, eliminación, replicación, catálogos, credenciales de recuperación y redes de gestión.</w:t>
      </w:r>
    </w:p>
    <w:p>
      <w:pPr>
        <w:numPr>
          <w:ilvl w:val="0"/>
          <w:numId w:val="1036"/>
        </w:numPr>
      </w:pPr>
      <w:r>
        <w:t xml:space="preserve">Evite replicar la corrupción o los cambios de atacante sin puntos de recuperación histórica utilizables.</w:t>
      </w:r>
    </w:p>
    <w:bookmarkEnd w:id="65"/>
    <w:bookmarkStart w:id="66" w:name="restore-test"/>
    <w:p>
      <w:pPr>
        <w:pStyle w:val="Heading2"/>
      </w:pPr>
      <w:r>
        <w:t xml:space="preserve">22.2 Restore test</w:t>
      </w:r>
    </w:p>
    <w:p>
      <w:pPr>
        <w:numPr>
          <w:ilvl w:val="0"/>
          <w:numId w:val="1037"/>
        </w:numPr>
      </w:pPr>
      <w:r>
        <w:t xml:space="preserve">Seleccione un sistema representativo y un punto de recuperación bajo un escenario aprobado.</w:t>
      </w:r>
    </w:p>
    <w:p>
      <w:pPr>
        <w:numPr>
          <w:ilvl w:val="0"/>
          <w:numId w:val="1037"/>
        </w:numPr>
      </w:pPr>
      <w:r>
        <w:t xml:space="preserve">Utilizar personas autorizadas, administración limpia, cuaderno documentado y restauración aislada cuando proceda.</w:t>
      </w:r>
    </w:p>
    <w:p>
      <w:pPr>
        <w:numPr>
          <w:ilvl w:val="0"/>
          <w:numId w:val="1037"/>
        </w:numPr>
      </w:pPr>
      <w:r>
        <w:t xml:space="preserve">Medir tiempo real y pérdida de datos; validar la integridad, integridad, seguridad, interfaces, rendimiento y uso de negocios.</w:t>
      </w:r>
    </w:p>
    <w:p>
      <w:pPr>
        <w:numPr>
          <w:ilvl w:val="0"/>
          <w:numId w:val="1037"/>
        </w:numPr>
      </w:pPr>
      <w:r>
        <w:t xml:space="preserve">Insuficiencias récord y soluciones de trabajo; correcto y retestante.</w:t>
      </w:r>
    </w:p>
    <w:p>
      <w:pPr>
        <w:numPr>
          <w:ilvl w:val="0"/>
          <w:numId w:val="1037"/>
        </w:numPr>
      </w:pPr>
      <w:r>
        <w:t xml:space="preserve">Informe si el servicio completo, no sólo un archivo, se refiere a RTO, RPO y requisitos mínimos de servicio.</w:t>
      </w:r>
    </w:p>
    <w:bookmarkEnd w:id="66"/>
    <w:bookmarkEnd w:id="67"/>
    <w:bookmarkStart w:id="69" w:name="gestión-de-crisis-y-factores-humanos"/>
    <w:p>
      <w:pPr>
        <w:pStyle w:val="Heading1"/>
      </w:pPr>
      <w:r>
        <w:t xml:space="preserve">23. Gestión de crisis y factores humanos</w:t>
      </w:r>
    </w:p>
    <w:p>
      <w:pPr>
        <w:pStyle w:val="FirstParagraph"/>
      </w:pPr>
      <w:r>
        <w:rPr>
          <w:iCs/>
          <w:i/>
        </w:rPr>
        <w:t xml:space="preserve">La gestión de la crisis coordina decisiones de alto impacto cuando la información es incompleta y importa el tiempo.</w:t>
      </w:r>
    </w:p>
    <w:bookmarkStart w:id="68" w:name="liderazgo"/>
    <w:p>
      <w:pPr>
        <w:pStyle w:val="Heading2"/>
      </w:pPr>
      <w:r>
        <w:t xml:space="preserve">23.1 Liderazgo</w:t>
      </w:r>
    </w:p>
    <w:p>
      <w:pPr>
        <w:numPr>
          <w:ilvl w:val="0"/>
          <w:numId w:val="1038"/>
        </w:numPr>
      </w:pPr>
      <w:r>
        <w:t xml:space="preserve">Establecer objetivos de seguridad, servicio, legal, cliente, evidencia y recuperación en orden prioritario.</w:t>
      </w:r>
    </w:p>
    <w:p>
      <w:pPr>
        <w:numPr>
          <w:ilvl w:val="0"/>
          <w:numId w:val="1038"/>
        </w:numPr>
      </w:pPr>
      <w:r>
        <w:t xml:space="preserve">Mantener un cuadro operativo común: hechos, incertidumbre, efectos empresariales, decisiones, acciones, recursos y próxima actualización.</w:t>
      </w:r>
    </w:p>
    <w:p>
      <w:pPr>
        <w:numPr>
          <w:ilvl w:val="0"/>
          <w:numId w:val="1038"/>
        </w:numPr>
      </w:pPr>
      <w:r>
        <w:t xml:space="preserve">Assign one decision owner and one action owner; record rationale and time.</w:t>
      </w:r>
    </w:p>
    <w:p>
      <w:pPr>
        <w:numPr>
          <w:ilvl w:val="0"/>
          <w:numId w:val="1038"/>
        </w:numPr>
      </w:pPr>
      <w:r>
        <w:t xml:space="preserve">Usar breves reuniones informativas y canales protegidos; controlar los rumores y las instrucciones contradictorias.</w:t>
      </w:r>
    </w:p>
    <w:p>
      <w:pPr>
        <w:numPr>
          <w:ilvl w:val="0"/>
          <w:numId w:val="1038"/>
        </w:numPr>
      </w:pPr>
      <w:r>
        <w:t xml:space="preserve">Cuidado con la fatiga, cambio de turno, sesgo cognitivo, estrés, seguridad personal y necesidades familiares.</w:t>
      </w:r>
    </w:p>
    <w:p>
      <w:pPr>
        <w:numPr>
          <w:ilvl w:val="0"/>
          <w:numId w:val="1038"/>
        </w:numPr>
      </w:pPr>
      <w:r>
        <w:t xml:space="preserve">Alivio del plan, comida, descanso, transporte, accesibilidad, apoyo mental-salud y respetuosos beneficios.</w:t>
      </w:r>
    </w:p>
    <w:p>
      <w:pPr>
        <w:pStyle w:val="FirstParagraph"/>
      </w:pPr>
      <w:r>
        <w:rPr>
          <w:bCs/>
          <w:b/>
        </w:rPr>
        <w:t xml:space="preserve">Elemento de sufrimiento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|… |</w:t>
      </w:r>
      <w:r>
        <w:t xml:space="preserve"> </w:t>
      </w:r>
      <w:r>
        <w:t xml:space="preserve">¿Qué ha cambiado desde la última actualización?</w:t>
      </w:r>
      <w:r>
        <w:t xml:space="preserve"> </w:t>
      </w:r>
      <w:r>
        <w:t xml:space="preserve">¿Quién o qué es afectado ahora y con el tiempo?</w:t>
      </w:r>
      <w:r>
        <w:t xml:space="preserve"> </w:t>
      </w:r>
      <w:r>
        <w:t xml:space="preserve">¿Qué hecho perdido podría cambiar la decisión?</w:t>
      </w:r>
      <w:r>
        <w:t xml:space="preserve"> </w:t>
      </w:r>
      <w:r>
        <w:t xml:space="preserve">tención Objetivos | ¿Qué resultados importan en el próximo período operativo?</w:t>
      </w:r>
      <w:r>
        <w:t xml:space="preserve"> </w:t>
      </w:r>
      <w:r>
        <w:t xml:space="preserve">Silencioso ¿Cuáles son los beneficios, los daños, las dependencias y la reversibilidad?</w:t>
      </w:r>
      <w:r>
        <w:t xml:space="preserve"> </w:t>
      </w:r>
      <w:r>
        <w:t xml:space="preserve">TENCIÓN ANTERIOR ¿Quién decide por cuándo?</w:t>
      </w:r>
      <w:r>
        <w:t xml:space="preserve"> </w:t>
      </w:r>
      <w:r>
        <w:t xml:space="preserve">¿Quién hace qué, por cuándo, con qué evidencia?</w:t>
      </w:r>
      <w:r>
        <w:t xml:space="preserve"> </w:t>
      </w:r>
      <w:r>
        <w:t xml:space="preserve">← Comunicación | ¿Quién necesita qué mensaje verificado y cuándo? |</w:t>
      </w:r>
    </w:p>
    <w:bookmarkEnd w:id="68"/>
    <w:bookmarkEnd w:id="69"/>
    <w:bookmarkStart w:id="71" w:name="X6382c054e6344f1f902c984ff8e7d9448d238a1"/>
    <w:p>
      <w:pPr>
        <w:pStyle w:val="Heading1"/>
      </w:pPr>
      <w:r>
        <w:t xml:space="preserve">24. Ejercicios, entrenamiento y mantenimiento de planes</w:t>
      </w:r>
    </w:p>
    <w:p>
      <w:pPr>
        <w:pStyle w:val="FirstParagraph"/>
      </w:pPr>
      <w:r>
        <w:rPr>
          <w:iCs/>
          <w:i/>
        </w:rPr>
        <w:t xml:space="preserve">Los ejercicios deben evaluar la capacidad, no recompensar un rendimiento ensayado.</w:t>
      </w:r>
    </w:p>
    <w:p>
      <w:pPr>
        <w:pStyle w:val="BodyText"/>
      </w:pPr>
      <w:r>
        <w:t xml:space="preserve">יimg src=</w:t>
      </w:r>
      <w:r>
        <w:t xml:space="preserve">“</w:t>
      </w:r>
      <w:r>
        <w:t xml:space="preserve">media/image9.png</w:t>
      </w:r>
      <w:r>
        <w:t xml:space="preserve">”</w:t>
      </w:r>
      <w:r>
        <w:t xml:space="preserve"> </w:t>
      </w:r>
      <w:r>
        <w:t xml:space="preserve">style=</w:t>
      </w:r>
      <w:r>
        <w:t xml:space="preserve">“</w:t>
      </w:r>
      <w:r>
        <w:t xml:space="preserve">width:6.15in;height:3.39605in</w:t>
      </w:r>
      <w:r>
        <w:t xml:space="preserve">”</w:t>
      </w:r>
      <w:r>
        <w:t xml:space="preserve"> </w:t>
      </w:r>
      <w:r>
        <w:t xml:space="preserve">alt=</w:t>
      </w:r>
      <w:r>
        <w:t xml:space="preserve">“</w:t>
      </w:r>
      <w:r>
        <w:t xml:space="preserve">Definir objetivos y capturar evidencia observable antes de asignar acción correctiva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Gráfico 9 Ciclo de ejercicio y mejora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ejercicio</w:t>
            </w:r>
          </w:p>
        </w:tc>
      </w:tr>
    </w:tbl>
    <w:p>
      <w:pPr>
        <w:pStyle w:val="BodyText"/>
      </w:pPr>
      <w:r>
        <w:t xml:space="preserve">← Lista de verificación / prueba de acceso ← Validar registros, contactos, acceso y sencillos pasos ←</w:t>
      </w:r>
      <w:r>
        <w:t xml:space="preserve"> </w:t>
      </w:r>
      <w:r>
        <w:t xml:space="preserve">tención Tabletop ← Discuss decisions, roles, información y coordinación usando un escenario |</w:t>
      </w:r>
      <w:r>
        <w:t xml:space="preserve"> </w:t>
      </w:r>
      <w:r>
        <w:t xml:space="preserve">← Simulación | Opera equipos y comunicaciones en un entorno controlado realista</w:t>
      </w:r>
      <w:r>
        <w:t xml:space="preserve"> </w:t>
      </w:r>
      <w:r>
        <w:t xml:space="preserve">| Prueba de recuperación técnica | Restaurar, reconstruir, fallar, validar y medir la tecnología</w:t>
      </w:r>
      <w:r>
        <w:t xml:space="preserve"> </w:t>
      </w:r>
      <w:r>
        <w:t xml:space="preserve">| Prueba de paralelo | Corre capacidad de recuperación sin reemplazar la producción</w:t>
      </w:r>
      <w:r>
        <w:t xml:space="preserve"> </w:t>
      </w:r>
      <w:r>
        <w:t xml:space="preserve">tención Interrupción completa ← Cambio de servicio real bajo una autoridad controlada firmemente; mayor riesgo</w:t>
      </w:r>
      <w:r>
        <w:t xml:space="preserve"> </w:t>
      </w:r>
      <w:r>
        <w:t xml:space="preserve">← Ejercicio de equipo púrpura TENENCIA Ataque, detección, respuesta y mejora de forma colaborativa</w:t>
      </w:r>
    </w:p>
    <w:bookmarkStart w:id="70" w:name="after-action-evidence"/>
    <w:p>
      <w:pPr>
        <w:pStyle w:val="Heading2"/>
      </w:pPr>
      <w:r>
        <w:t xml:space="preserve">24.1 After-action evidence</w:t>
      </w:r>
    </w:p>
    <w:p>
      <w:pPr>
        <w:numPr>
          <w:ilvl w:val="0"/>
          <w:numId w:val="1039"/>
        </w:numPr>
      </w:pPr>
      <w:r>
        <w:t xml:space="preserve">Objetivo y capacidad probada, escenario, hipótesis, participantes, observadores, reglas y controles de seguridad.</w:t>
      </w:r>
    </w:p>
    <w:p>
      <w:pPr>
        <w:numPr>
          <w:ilvl w:val="0"/>
          <w:numId w:val="1039"/>
        </w:numPr>
      </w:pPr>
      <w:r>
        <w:t xml:space="preserve">Medidas esperadas y criterios de éxito mensurables.</w:t>
      </w:r>
    </w:p>
    <w:p>
      <w:pPr>
        <w:numPr>
          <w:ilvl w:val="0"/>
          <w:numId w:val="1039"/>
        </w:numPr>
      </w:pPr>
      <w:r>
        <w:t xml:space="preserve">Plazo real, decisiones, comunicaciones, uso de herramientas/plan, resultados de recuperación y limitaciones.</w:t>
      </w:r>
    </w:p>
    <w:p>
      <w:pPr>
        <w:numPr>
          <w:ilvl w:val="0"/>
          <w:numId w:val="1039"/>
        </w:numPr>
      </w:pPr>
      <w:r>
        <w:t xml:space="preserve">Fortalezas, lagunas, causas profundas y que aportan, riesgo, propietarios, fechas, controles provisionales y pruebas.</w:t>
      </w:r>
    </w:p>
    <w:bookmarkEnd w:id="70"/>
    <w:bookmarkEnd w:id="71"/>
    <w:bookmarkStart w:id="73" w:name="X06e1f64b328142e3e9f159b496df6fc5ef3a4d7"/>
    <w:p>
      <w:pPr>
        <w:pStyle w:val="Heading1"/>
      </w:pPr>
      <w:r>
        <w:t xml:space="preserve">25. Mapping de Cumplimiento, Testing de Evidencia y Métricas</w:t>
      </w:r>
    </w:p>
    <w:p>
      <w:pPr>
        <w:pStyle w:val="FirstParagraph"/>
      </w:pPr>
      <w:r>
        <w:rPr>
          <w:iCs/>
          <w:i/>
        </w:rPr>
        <w:t xml:space="preserve">Frameworks superpone, pero la evidencia debe ser probada contra el requisito exacto aplicable.</w:t>
      </w:r>
    </w:p>
    <w:p>
      <w:pPr>
        <w:pStyle w:val="BodyText"/>
      </w:pPr>
      <w:r>
        <w:rPr>
          <w:bCs/>
          <w:b/>
        </w:rPr>
        <w:t xml:space="preserve">Fuente</w:t>
      </w:r>
      <w:r>
        <w:t xml:space="preserve"> </w:t>
      </w:r>
      <w:r>
        <w:t xml:space="preserve">|. |</w:t>
      </w:r>
      <w:r>
        <w:t xml:space="preserve"> </w:t>
      </w:r>
      <w:r>
        <w:t xml:space="preserve">| NIST SP 800-61 Rev. 3 | CSF Comunidad Perfil para respuesta a incidentes a nivel de toda la organización</w:t>
      </w:r>
      <w:r>
        <w:t xml:space="preserve"> </w:t>
      </w:r>
      <w:r>
        <w:t xml:space="preserve">| NIST SP 800-34 Rev. 1 Update 1 ← Proceso de planificación de contingencias del sistema de información federal TEN Older pero actual NIST final; adaptarse fuera del uso federal |</w:t>
      </w:r>
      <w:r>
        <w:t xml:space="preserve"> </w:t>
      </w:r>
      <w:r>
        <w:t xml:space="preserve">| ISO 22301:2019 + Amd 1:2024 | Requisitos para un sistema de gestión de la continuidad de las operaciones</w:t>
      </w:r>
      <w:r>
        <w:t xml:space="preserve"> </w:t>
      </w:r>
      <w:r>
        <w:t xml:space="preserve">confidencialidad ISO 22313:2020 guía permanente para usar ISO 22301 | no es la certificación</w:t>
      </w:r>
      <w:r>
        <w:t xml:space="preserve"> </w:t>
      </w:r>
      <w:r>
        <w:t xml:space="preserve">| SOC 2 | Disponibilidad, seguridad, confidencialidad, privacidad, compromisos de procesamiento y controles | Revisión exacta informe alcance, período, pruebas, excepciones |</w:t>
      </w:r>
      <w:r>
        <w:t xml:space="preserve"> </w:t>
      </w:r>
      <w:r>
        <w:t xml:space="preserve">| ISO/IEC 27001:2022 | Gestión de incidentes, preparación de continuidad, copia de seguridad, registro de datos, proveedores</w:t>
      </w:r>
      <w:r>
        <w:t xml:space="preserve"> </w:t>
      </w:r>
      <w:r>
        <w:t xml:space="preserve">TEN PCI DSS v4.0.1 ANTE Respuesta de incidentes, pruebas, proveedores de servicios, respaldos y controles relacionados con la recuperación TEN Validate exact cardholder-data environment scope ANTE</w:t>
      </w:r>
      <w:r>
        <w:t xml:space="preserve"> </w:t>
      </w:r>
      <w:r>
        <w:t xml:space="preserve">| HIPAA | Plan de Contingencia, procedimientos de incidentes, backup, DR, operación de emergencia | La aplicabilidad y la implementación legales requieren análisis específico de hechos</w:t>
      </w:r>
      <w:r>
        <w:t xml:space="preserve"> </w:t>
      </w:r>
      <w:r>
        <w:t xml:space="preserve">TEN GDPR | Seguridad, evaluación de incumplimiento/notificación, cooperación con los procesadores, resiliencia/restoración TENIDOS Funciones legales, riesgo, tiempo, jurisdicción requieren asesoramiento ANTERI</w:t>
      </w:r>
    </w:p>
    <w:bookmarkStart w:id="72" w:name="test-de-evidencia"/>
    <w:p>
      <w:pPr>
        <w:pStyle w:val="Heading2"/>
      </w:pPr>
      <w:r>
        <w:t xml:space="preserve">25.1 Test de evidencia</w:t>
      </w:r>
    </w:p>
    <w:p>
      <w:pPr>
        <w:numPr>
          <w:ilvl w:val="0"/>
          <w:numId w:val="1040"/>
        </w:numPr>
      </w:pPr>
      <w:r>
        <w:t xml:space="preserve">Definir criterios, alcance, período, sistemas, procesos, proveedores y exclusiones.</w:t>
      </w:r>
    </w:p>
    <w:p>
      <w:pPr>
        <w:numPr>
          <w:ilvl w:val="0"/>
          <w:numId w:val="1040"/>
        </w:numPr>
      </w:pPr>
      <w:r>
        <w:t xml:space="preserve">Validar la población completa: incidentes, alertas, planes, pruebas, recuperaciones, proveedores, respaldos, sistemas o acciones.</w:t>
      </w:r>
    </w:p>
    <w:p>
      <w:pPr>
        <w:numPr>
          <w:ilvl w:val="0"/>
          <w:numId w:val="1040"/>
        </w:numPr>
      </w:pPr>
      <w:r>
        <w:t xml:space="preserve">Inspeccione el diseño y las pruebas operativas; la investigación por sí sola es débil.</w:t>
      </w:r>
    </w:p>
    <w:p>
      <w:pPr>
        <w:numPr>
          <w:ilvl w:val="0"/>
          <w:numId w:val="1040"/>
        </w:numPr>
      </w:pPr>
      <w:r>
        <w:t xml:space="preserve">Muestra defensivamente o prueba a toda la población; método de registro y limitaciones.</w:t>
      </w:r>
    </w:p>
    <w:p>
      <w:pPr>
        <w:numPr>
          <w:ilvl w:val="0"/>
          <w:numId w:val="1040"/>
        </w:numPr>
      </w:pPr>
      <w:r>
        <w:t xml:space="preserve">Evaluar excepciones, patrones, impacto, causa, controles compensatorios y riesgo residual.</w:t>
      </w:r>
    </w:p>
    <w:p>
      <w:pPr>
        <w:numPr>
          <w:ilvl w:val="0"/>
          <w:numId w:val="1040"/>
        </w:numPr>
      </w:pPr>
      <w:r>
        <w:t xml:space="preserve">Seguimiento de la acción correctiva y prueba independiente antes del cierre.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 Silencioso**</w:t>
            </w:r>
          </w:p>
        </w:tc>
      </w:tr>
    </w:tbl>
    <w:p>
      <w:pPr>
        <w:pStyle w:val="BodyText"/>
      </w:pPr>
      <w:r>
        <w:t xml:space="preserve">tiempo para detectar el tiempo de inactividad desde el inicio del evento/primera evidencia para la detección de tiempo de inicio puede ser incierto</w:t>
      </w:r>
      <w:r>
        <w:t xml:space="preserve"> </w:t>
      </w:r>
      <w:r>
        <w:t xml:space="preserve">| Tiempo medio para contener la detección/activación de tóxicos para la contención verificada. |</w:t>
      </w:r>
      <w:r>
        <w:t xml:space="preserve"> </w:t>
      </w:r>
      <w:r>
        <w:t xml:space="preserve">← Recuperación del objetivo logro ← Tests/incidentes reunión RTO y RPO ÷ pruebas/incidentes en el telescopio ← Definir el éxito del servicio completo</w:t>
      </w:r>
      <w:r>
        <w:t xml:space="preserve"> </w:t>
      </w:r>
      <w:r>
        <w:t xml:space="preserve">Ø escenarios críticos aprobados ÷ escenarios críticos aprobado ← La discusión no es una prueba técnica</w:t>
      </w:r>
      <w:r>
        <w:t xml:space="preserve"> </w:t>
      </w:r>
      <w:r>
        <w:t xml:space="preserve">← Acción correctiva edad tención Días abiertos por severidad y propietario ← Closure requiere retest</w:t>
      </w:r>
      <w:r>
        <w:t xml:space="preserve"> </w:t>
      </w:r>
      <w:r>
        <w:t xml:space="preserve">← Respaldo restaurar el éxito | Exitoso representante restaura ÷ pruebas programadas ← Restauración del archivo puede no probar la recuperación del servicio</w:t>
      </w:r>
      <w:r>
        <w:t xml:space="preserve"> </w:t>
      </w:r>
      <w:r>
        <w:t xml:space="preserve">Repetición de incidentes de incidir en la vida Repetir incidentes relacionados con la misma causa no corregida</w:t>
      </w:r>
    </w:p>
    <w:bookmarkEnd w:id="72"/>
    <w:bookmarkEnd w:id="73"/>
    <w:bookmarkStart w:id="74" w:name="open-source-tools"/>
    <w:p>
      <w:pPr>
        <w:pStyle w:val="Heading1"/>
      </w:pPr>
      <w:r>
        <w:t xml:space="preserve">26. Open-Source Tools</w:t>
      </w:r>
    </w:p>
    <w:p>
      <w:pPr>
        <w:pStyle w:val="FirstParagraph"/>
      </w:pPr>
      <w:r>
        <w:rPr>
          <w:iCs/>
          <w:i/>
        </w:rPr>
        <w:t xml:space="preserve">Las herramientas de código abierto apoyan la gestión de casos, pruebas, detección, investigación, automatización y presentación de informes</w:t>
      </w:r>
      <w:r>
        <w:t xml:space="preserve">.</w:t>
      </w:r>
    </w:p>
    <w:bookmarkEnd w:id="74"/>
    <w:bookmarkStart w:id="104" w:name="tool-silencioso"/>
    <w:p>
      <w:pPr>
        <w:pStyle w:val="Heading1"/>
      </w:pPr>
      <w:r>
        <w:t xml:space="preserve">Tool** Silencioso**</w:t>
      </w:r>
    </w:p>
    <w:p>
      <w:pPr>
        <w:pStyle w:val="FirstParagraph"/>
      </w:pPr>
      <w:r>
        <w:t xml:space="preserve">|… |</w:t>
      </w:r>
      <w:r>
        <w:t xml:space="preserve"> </w:t>
      </w:r>
      <w:r>
        <w:t xml:space="preserve">TEN TheHive | Gestión de casos y colaboración con incidentes</w:t>
      </w:r>
      <w:r>
        <w:t xml:space="preserve"> </w:t>
      </w:r>
      <w:r>
        <w:t xml:space="preserve">| Cortex | Acciones de análisis y respuesta</w:t>
      </w:r>
      <w:r>
        <w:t xml:space="preserve"> </w:t>
      </w:r>
      <w:r>
        <w:t xml:space="preserve">← MISP |-información compartir y correlación</w:t>
      </w:r>
      <w:r>
        <w:t xml:space="preserve"> </w:t>
      </w:r>
      <w:r>
        <w:t xml:space="preserve">TEN Wazuh TENRI Endpoint monitoring, log analysis, file integrity, and alerts |</w:t>
      </w:r>
      <w:r>
        <w:t xml:space="preserve"> </w:t>
      </w:r>
      <w:r>
        <w:t xml:space="preserve">| Velociraptor | Visibilidad y colección de respuesta a incidentes</w:t>
      </w:r>
      <w:r>
        <w:t xml:space="preserve"> </w:t>
      </w:r>
      <w:r>
        <w:t xml:space="preserve">← Volatilidad 3 ← Memoria forense</w:t>
      </w:r>
      <w:r>
        <w:t xml:space="preserve"> </w:t>
      </w:r>
      <w:r>
        <w:t xml:space="preserve">Ø Autopsia permanente Disk y análisis forense del sistema de archivos</w:t>
      </w:r>
      <w:r>
        <w:t xml:space="preserve"> </w:t>
      </w:r>
      <w:r>
        <w:t xml:space="preserve">| Timesketch |</w:t>
      </w:r>
      <w:r>
        <w:t xml:space="preserve"> </w:t>
      </w:r>
      <w:r>
        <w:t xml:space="preserve">tención Plaso / log2timeline tención Extracción de Timeline de artefactos forenses</w:t>
      </w:r>
      <w:r>
        <w:t xml:space="preserve"> </w:t>
      </w:r>
      <w:r>
        <w:t xml:space="preserve">Osquery | Endpoint estado y amenazas búsquedas</w:t>
      </w:r>
      <w:r>
        <w:t xml:space="preserve"> </w:t>
      </w:r>
      <w:r>
        <w:t xml:space="preserve">| Zeek ← Seguridad de la red telemetría y metadatos de protocolo |</w:t>
      </w:r>
      <w:r>
        <w:t xml:space="preserve"> </w:t>
      </w:r>
      <w:r>
        <w:t xml:space="preserve">Suricata Silencioso Red de detección y prevención de intrusiones</w:t>
      </w:r>
      <w:r>
        <w:t xml:space="preserve"> </w:t>
      </w:r>
      <w:r>
        <w:t xml:space="preserve">TEN YARA | Patrón que coincide con los archivos y la memoria</w:t>
      </w:r>
      <w:r>
        <w:t xml:space="preserve"> </w:t>
      </w:r>
      <w:r>
        <w:t xml:space="preserve">← Sigma ← Normas de registro portátiles</w:t>
      </w:r>
      <w:r>
        <w:t xml:space="preserve"> </w:t>
      </w:r>
      <w:r>
        <w:t xml:space="preserve">| DFIR-IRIS | Respuesta del incidente y gestión del caso de investigación</w:t>
      </w:r>
      <w:r>
        <w:t xml:space="preserve"> </w:t>
      </w:r>
      <w:r>
        <w:t xml:space="preserve">TEN GRR Respuesta Rápida TENIDA Forenses en directo a escala de punta</w:t>
      </w:r>
      <w:r>
        <w:t xml:space="preserve"> </w:t>
      </w:r>
      <w:r>
        <w:t xml:space="preserve">Orquestación y automatización de seguridad |</w:t>
      </w:r>
      <w:r>
        <w:t xml:space="preserve"> </w:t>
      </w:r>
      <w:r>
        <w:t xml:space="preserve">← OpenSearch ← Búsqueda, análisis, paneles y registros de seguridad</w:t>
      </w:r>
    </w:p>
    <w:p>
      <w:pPr>
        <w:pStyle w:val="BodyText"/>
      </w:pPr>
      <w:r>
        <w:t xml:space="preserve">TEN</w:t>
      </w:r>
      <w:r>
        <w:t xml:space="preserve"> </w:t>
      </w:r>
      <w:r>
        <w:rPr>
          <w:bCs/>
          <w:b/>
        </w:rPr>
        <w:t xml:space="preserve">Authorization and evidence safety:</w:t>
      </w:r>
      <w:r>
        <w:t xml:space="preserve"> </w:t>
      </w:r>
      <w:r>
        <w:t xml:space="preserve">Utilice herramientas sólo en sistemas, redes, cuentas, repositorios y datos que posee o tiene autoridad escrita para examinar. Laboratorios de aislamiento, proteger evidencia, minimizar datos personales, acciones de registro y nunca dejar que la automatización realice pasos destructivos sin salvaguardias aprobadas. |</w:t>
      </w:r>
      <w:r>
        <w:t xml:space="preserve"> </w:t>
      </w:r>
      <w:r>
        <w:t xml:space="preserve">Respuesta</w:t>
      </w:r>
    </w:p>
    <w:bookmarkStart w:id="76" w:name="thehive"/>
    <w:p>
      <w:pPr>
        <w:pStyle w:val="Heading2"/>
      </w:pPr>
      <w:r>
        <w:t xml:space="preserve">26.1 TheHive</w:t>
      </w:r>
    </w:p>
    <w:p>
      <w:pPr>
        <w:pStyle w:val="FirstParagraph"/>
      </w:pPr>
      <w:r>
        <w:t xml:space="preserve">Objetivo: Gestión de casos y colaboración con incidentes. Proyecto oficial:</w:t>
      </w:r>
      <w:r>
        <w:t xml:space="preserve"> </w:t>
      </w:r>
      <w:hyperlink r:id="rId75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Crear un caso de laboratorio, definir tareas y severidad, añadir observables sintéticos, registrar decisiones, proteger permisos y cerrar sólo después de su revisión.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76"/>
    <w:bookmarkStart w:id="78" w:name="cortex"/>
    <w:p>
      <w:pPr>
        <w:pStyle w:val="Heading2"/>
      </w:pPr>
      <w:r>
        <w:t xml:space="preserve">26.2 Cortex</w:t>
      </w:r>
    </w:p>
    <w:p>
      <w:pPr>
        <w:pStyle w:val="FirstParagraph"/>
      </w:pPr>
      <w:r>
        <w:t xml:space="preserve">Objetivo: Medidas de análisis y respuesta observables. Proyecto oficial:</w:t>
      </w:r>
      <w:r>
        <w:t xml:space="preserve"> </w:t>
      </w:r>
      <w:hyperlink r:id="rId77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Conectar sólo analizadores aprobados en un laboratorio, enviar observables sintéticos, validar resultados, restringir los equipos de respuesta y retener registros de acción.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78"/>
    <w:bookmarkStart w:id="79" w:name="misp"/>
    <w:p>
      <w:pPr>
        <w:pStyle w:val="Heading2"/>
      </w:pPr>
      <w:r>
        <w:t xml:space="preserve">26.3 MISP</w:t>
      </w:r>
    </w:p>
    <w:p>
      <w:pPr>
        <w:pStyle w:val="FirstParagraph"/>
      </w:pPr>
      <w:r>
        <w:t xml:space="preserve">Propósito: Intercambio de información sobre amenazas y correlación. Proyecto oficial: [ejecutado]I](https://www.misp-project.org/)</w:t>
      </w:r>
    </w:p>
    <w:p>
      <w:pPr>
        <w:pStyle w:val="BodyText"/>
      </w:pPr>
      <w:r>
        <w:t xml:space="preserve">Inicio rápido seguro: Crear un evento de laboratorio privado, añadir indicadores sintéticos con marcas de contexto y manejo, correlacionar, exportar sólo datos aprobados y expirar indicadores de establo.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79"/>
    <w:bookmarkStart w:id="81" w:name="wazuh"/>
    <w:p>
      <w:pPr>
        <w:pStyle w:val="Heading2"/>
      </w:pPr>
      <w:r>
        <w:t xml:space="preserve">26.4 Wazuh</w:t>
      </w:r>
    </w:p>
    <w:p>
      <w:pPr>
        <w:pStyle w:val="FirstParagraph"/>
      </w:pPr>
      <w:r>
        <w:t xml:space="preserve">Propósito: Supervisión de puntos finales, análisis de registros, integridad de archivos y alertas. Proyecto oficial:</w:t>
      </w:r>
      <w:r>
        <w:t xml:space="preserve"> </w:t>
      </w:r>
      <w:hyperlink r:id="rId80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Inscribir un punto final de laboratorio, generar un evento inofensivo, confirmar la recogida y alerta, investigar, documentar la cobertura y sintonizar cuidadosamente.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81"/>
    <w:bookmarkStart w:id="83" w:name="velociraptor"/>
    <w:p>
      <w:pPr>
        <w:pStyle w:val="Heading2"/>
      </w:pPr>
      <w:r>
        <w:t xml:space="preserve">26.5 Velociraptor</w:t>
      </w:r>
    </w:p>
    <w:p>
      <w:pPr>
        <w:pStyle w:val="FirstParagraph"/>
      </w:pPr>
      <w:r>
        <w:t xml:space="preserve">Finalidad: visibilidad de punto final y colección de respuesta a incidentes. Proyecto oficial:</w:t>
      </w:r>
      <w:r>
        <w:t xml:space="preserve"> </w:t>
      </w:r>
      <w:hyperlink r:id="rId82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Usar un laboratorio autorizado aislado, recoger un artefacto estrecho, registrar el alcance y el acceso, verificar los resultados y eliminar los datos de laboratorio retenidos según la política.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83"/>
    <w:bookmarkStart w:id="85" w:name="volatilidad-3"/>
    <w:p>
      <w:pPr>
        <w:pStyle w:val="Heading2"/>
      </w:pPr>
      <w:r>
        <w:t xml:space="preserve">26.6 Volatilidad 3</w:t>
      </w:r>
    </w:p>
    <w:p>
      <w:pPr>
        <w:pStyle w:val="FirstParagraph"/>
      </w:pPr>
      <w:r>
        <w:t xml:space="preserve">Propósito: Memoria forense. Proyecto oficial:</w:t>
      </w:r>
      <w:r>
        <w:t xml:space="preserve"> </w:t>
      </w:r>
      <w:hyperlink r:id="rId84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Analizar una imagen de memoria de entrenamiento legalmente obtenida, grabar hashes y versión de herramienta, ejecutar plugins enfocados, validar hallazgos, y preservar notas.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85"/>
    <w:bookmarkStart w:id="87" w:name="autopsia"/>
    <w:p>
      <w:pPr>
        <w:pStyle w:val="Heading2"/>
      </w:pPr>
      <w:r>
        <w:t xml:space="preserve">26.7 Autopsia</w:t>
      </w:r>
    </w:p>
    <w:p>
      <w:pPr>
        <w:pStyle w:val="FirstParagraph"/>
      </w:pPr>
      <w:r>
        <w:t xml:space="preserve">Objetivo: Análisis forense de disco y sistema de archivos. Proyecto oficial:</w:t>
      </w:r>
      <w:r>
        <w:t xml:space="preserve"> </w:t>
      </w:r>
      <w:hyperlink r:id="rId86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Comenzar rápido seguro: Crear un caso desde una imagen de entrenamiento, verificar el hash de la fuente, usar análisis solo lectura, etiqueta evidencia, exportar un informe y asegurar el caso.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87"/>
    <w:bookmarkStart w:id="89" w:name="timesketch"/>
    <w:p>
      <w:pPr>
        <w:pStyle w:val="Heading2"/>
      </w:pPr>
      <w:r>
        <w:t xml:space="preserve">26.8 Timesketch</w:t>
      </w:r>
    </w:p>
    <w:p>
      <w:pPr>
        <w:pStyle w:val="FirstParagraph"/>
      </w:pPr>
      <w:r>
        <w:t xml:space="preserve">Propósito: Líneas de tiempo forense colaborativas. Proyecto oficial:</w:t>
      </w:r>
      <w:r>
        <w:t xml:space="preserve"> </w:t>
      </w:r>
      <w:hyperlink r:id="rId88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Importar un cronograma sintético, etiquetar eventos clave, hipótesis de búsqueda, conclusiones de analista récord e incertidumbre, y acceso de control.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89"/>
    <w:bookmarkStart w:id="90" w:name="plaso-log2timeline"/>
    <w:p>
      <w:pPr>
        <w:pStyle w:val="Heading2"/>
      </w:pPr>
      <w:r>
        <w:t xml:space="preserve">26.9 Plaso / log2timeline</w:t>
      </w:r>
    </w:p>
    <w:p>
      <w:pPr>
        <w:pStyle w:val="FirstParagraph"/>
      </w:pPr>
      <w:r>
        <w:t xml:space="preserve">Propósito: Extracción temporal de artefactos forenses. Proyecto oficial: [ejecutado]o(https://plaso.readthedocs.io/)</w:t>
      </w:r>
    </w:p>
    <w:p>
      <w:pPr>
        <w:pStyle w:val="BodyText"/>
      </w:pPr>
      <w:r>
        <w:t xml:space="preserve">Comenzar rápido seguro: Procesar una imagen de entrenamiento o conjunto de artefactos aprobados, opciones de parser de documentos y zona horaria, exportar un cronograma y validar eventos clave.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0"/>
    <w:bookmarkStart w:id="91" w:name="osquery"/>
    <w:p>
      <w:pPr>
        <w:pStyle w:val="Heading2"/>
      </w:pPr>
      <w:r>
        <w:t xml:space="preserve">26.10 osquery</w:t>
      </w:r>
    </w:p>
    <w:p>
      <w:pPr>
        <w:pStyle w:val="FirstParagraph"/>
      </w:pPr>
      <w:r>
        <w:t xml:space="preserve">Propósito: Endpoint estado y búsquedas de amenazas. Proyecto oficial: (https://www.osquery.io/)</w:t>
      </w:r>
    </w:p>
    <w:p>
      <w:pPr>
        <w:pStyle w:val="BodyText"/>
      </w:pPr>
      <w:r>
        <w:t xml:space="preserve">Comenzar rápido seguro: Ejecutar consultas sólo de lectura en un laboratorio, documentar la consulta y la población, comparar puntos finales, validar anomalías y evitar la colección incontrolada.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1"/>
    <w:bookmarkStart w:id="93" w:name="zeek"/>
    <w:p>
      <w:pPr>
        <w:pStyle w:val="Heading2"/>
      </w:pPr>
      <w:r>
        <w:t xml:space="preserve">26.11 Zeek</w:t>
      </w:r>
    </w:p>
    <w:p>
      <w:pPr>
        <w:pStyle w:val="FirstParagraph"/>
      </w:pPr>
      <w:r>
        <w:t xml:space="preserve">Propósito: Telemetría de seguridad de red y metadatos de protocolo. Proyecto oficial:</w:t>
      </w:r>
      <w:r>
        <w:t xml:space="preserve"> </w:t>
      </w:r>
      <w:hyperlink r:id="rId92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Usar un sensor de laboratorio o una captura de paquetes aprobada, generar tráfico seguro, inspeccionar registros, construir una línea de tiempo y documentar límites de tráfico cifrados.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3"/>
    <w:bookmarkStart w:id="94" w:name="suricata"/>
    <w:p>
      <w:pPr>
        <w:pStyle w:val="Heading2"/>
      </w:pPr>
      <w:r>
        <w:t xml:space="preserve">26.12 Suricata</w:t>
      </w:r>
    </w:p>
    <w:p>
      <w:pPr>
        <w:pStyle w:val="FirstParagraph"/>
      </w:pPr>
      <w:r>
        <w:t xml:space="preserve">Objetivo: detección y prevención de intrusiones en red. Proyecto oficial: [Seguido] [https://suricata.io/]</w:t>
      </w:r>
    </w:p>
    <w:p>
      <w:pPr>
        <w:pStyle w:val="BodyText"/>
      </w:pPr>
      <w:r>
        <w:t xml:space="preserve">Inicio rápido seguro: Use una interfaz de laboratorio, actualice las reglas aprobadas, genere tráfico de prueba, valide alertas, sintonice con control de cambio y mantenga versiones.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4"/>
    <w:bookmarkStart w:id="95" w:name="yara"/>
    <w:p>
      <w:pPr>
        <w:pStyle w:val="Heading2"/>
      </w:pPr>
      <w:r>
        <w:t xml:space="preserve">26.13 YARA</w:t>
      </w:r>
    </w:p>
    <w:p>
      <w:pPr>
        <w:pStyle w:val="FirstParagraph"/>
      </w:pPr>
      <w:r>
        <w:t xml:space="preserve">Propósito: Patrón que coincide con archivos y memoria. Proyecto oficial: (https://virustotal.github.io/yara/)</w:t>
      </w:r>
    </w:p>
    <w:p>
      <w:pPr>
        <w:pStyle w:val="BodyText"/>
      </w:pPr>
      <w:r>
        <w:t xml:space="preserve">Inicio rápido seguro: Prueba una regla estrecha contra muestras inofensivas, fuente de reglas de documentos y falsos positivos, revisión por pares, y escanear sólo datos autorizados.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5"/>
    <w:bookmarkStart w:id="96" w:name="sigma"/>
    <w:p>
      <w:pPr>
        <w:pStyle w:val="Heading2"/>
      </w:pPr>
      <w:r>
        <w:t xml:space="preserve">26.14 Sigma</w:t>
      </w:r>
    </w:p>
    <w:p>
      <w:pPr>
        <w:pStyle w:val="FirstParagraph"/>
      </w:pPr>
      <w:r>
        <w:t xml:space="preserve">Propósito: Reglas de detección de troncos portátiles. Proyecto oficial: (https://sigmahq.io/)</w:t>
      </w:r>
    </w:p>
    <w:p>
      <w:pPr>
        <w:pStyle w:val="BodyText"/>
      </w:pPr>
      <w:r>
        <w:t xml:space="preserve">Inicio rápido seguro: Seleccione una regla, mapee a los campos disponibles, convierta para una plataforma de laboratorio, prueba con registros sintéticos, sintonía, revisión de pares y versiones de pista.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6"/>
    <w:bookmarkStart w:id="97" w:name="dfir-iris"/>
    <w:p>
      <w:pPr>
        <w:pStyle w:val="Heading2"/>
      </w:pPr>
      <w:r>
        <w:t xml:space="preserve">26.15 DFIR-IRIS</w:t>
      </w:r>
    </w:p>
    <w:p>
      <w:pPr>
        <w:pStyle w:val="FirstParagraph"/>
      </w:pPr>
      <w:r>
        <w:t xml:space="preserve">Propósito: Respuesta de incidentes y gestión de casos de investigación. Proyecto oficial: (https://dfir-iris.org/)</w:t>
      </w:r>
    </w:p>
    <w:p>
      <w:pPr>
        <w:pStyle w:val="BodyText"/>
      </w:pPr>
      <w:r>
        <w:t xml:space="preserve">Comenzar rápido seguro: Crear un caso ficticio, asignar tareas, registrar plazos y pruebas, restringir roles, generar un informe y probar respaldo/exportación.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7"/>
    <w:bookmarkStart w:id="99" w:name="grr-rapid-response"/>
    <w:p>
      <w:pPr>
        <w:pStyle w:val="Heading2"/>
      </w:pPr>
      <w:r>
        <w:t xml:space="preserve">26.16 GRR Rapid Response</w:t>
      </w:r>
    </w:p>
    <w:p>
      <w:pPr>
        <w:pStyle w:val="FirstParagraph"/>
      </w:pPr>
      <w:r>
        <w:t xml:space="preserve">Objetivo: Forenses remotos en directo a escala de punta. Proyecto oficial:</w:t>
      </w:r>
      <w:r>
        <w:t xml:space="preserve"> </w:t>
      </w:r>
      <w:hyperlink r:id="rId98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Implementar sólo en un entorno autorizado aislado, aprobar un flujo de recogida estrecho, verificar los registros de auditoría y controlar los resultados retenidos.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99"/>
    <w:bookmarkStart w:id="101" w:name="shuffle"/>
    <w:p>
      <w:pPr>
        <w:pStyle w:val="Heading2"/>
      </w:pPr>
      <w:r>
        <w:t xml:space="preserve">26.17 Shuffle</w:t>
      </w:r>
    </w:p>
    <w:p>
      <w:pPr>
        <w:pStyle w:val="FirstParagraph"/>
      </w:pPr>
      <w:r>
        <w:t xml:space="preserve">Propósito: orquestación y automatización de seguridad. Proyecto oficial:</w:t>
      </w:r>
      <w:r>
        <w:t xml:space="preserve"> </w:t>
      </w:r>
      <w:hyperlink r:id="rId100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Comenzar rápido seguro: Construir un flujo de trabajo de laboratorio con entradas inofensivas y puertas de aprobación, probar caminos de falla, registrar cada acción y mantener las acciones destructivas desactivadas.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101"/>
    <w:bookmarkStart w:id="103" w:name="opensearch"/>
    <w:p>
      <w:pPr>
        <w:pStyle w:val="Heading2"/>
      </w:pPr>
      <w:r>
        <w:t xml:space="preserve">26.18 OpenSearch</w:t>
      </w:r>
    </w:p>
    <w:p>
      <w:pPr>
        <w:pStyle w:val="FirstParagraph"/>
      </w:pPr>
      <w:r>
        <w:t xml:space="preserve">Propósito: Búsqueda, análisis, paneles y registros de seguridad. Proyecto oficial:</w:t>
      </w:r>
      <w:r>
        <w:t xml:space="preserve"> </w:t>
      </w:r>
      <w:hyperlink r:id="rId102">
        <w:r>
          <w:rPr>
            <w:rStyle w:val="Hyperlink"/>
          </w:rPr>
          <w:t xml:space="preserve">Seguido</w:t>
        </w:r>
      </w:hyperlink>
    </w:p>
    <w:p>
      <w:pPr>
        <w:pStyle w:val="BodyText"/>
      </w:pPr>
      <w:r>
        <w:t xml:space="preserve">Inicio rápido seguro: Ingerir troncos sintéticos, normalizar el tiempo y los campos, crear una consulta enfocada y un panel de control, restringir el acceso y la retención de documentos.</w:t>
      </w:r>
    </w:p>
    <w:p>
      <w:pPr>
        <w:pStyle w:val="BodyText"/>
      </w:pPr>
      <w:r>
        <w:t xml:space="preserve">Evidencia: autoridad escrita y alcance, identidad de origen, zona de fecha/hora/hora, herramienta y versión, configuración/query, hashes where appropriate, raw result, analista validation, limitation, action, and review. Restrict access and preserve an unaltered source copy when required.</w:t>
      </w:r>
    </w:p>
    <w:bookmarkEnd w:id="103"/>
    <w:bookmarkEnd w:id="104"/>
    <w:bookmarkStart w:id="106" w:name="manual-de-resiliencia-para-gerentes"/>
    <w:p>
      <w:pPr>
        <w:pStyle w:val="Heading1"/>
      </w:pPr>
      <w:r>
        <w:t xml:space="preserve">27. Manual de resiliencia para gerentes</w:t>
      </w:r>
    </w:p>
    <w:p>
      <w:pPr>
        <w:pStyle w:val="FirstParagraph"/>
      </w:pPr>
      <w:r>
        <w:rPr>
          <w:iCs/>
          <w:i/>
        </w:rPr>
        <w:t xml:space="preserve">Los administradores crean resiliencia estableciendo autoridad, preparando financiación, desafiando pruebas y eliminando bloqueadores.</w:t>
      </w:r>
    </w:p>
    <w:p>
      <w:pPr>
        <w:pStyle w:val="BodyText"/>
      </w:pPr>
      <w:r>
        <w:rPr>
          <w:bCs/>
          <w:b/>
        </w:rPr>
        <w:t xml:space="preserve">Area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Pregunta principal</w:t>
      </w:r>
      <w:r>
        <w:t xml:space="preserve"> </w:t>
      </w:r>
      <w:r>
        <w:t xml:space="preserve">|…———————————————————————————————————————- |</w:t>
      </w:r>
      <w:r>
        <w:t xml:space="preserve"> </w:t>
      </w:r>
      <w:r>
        <w:t xml:space="preserve">← Gobernanza permanente ¿Está claro la autoridad, los suplentes, la gravedad, la escalada, el gasto y los cambios de emergencia? | No toma la decisión después de horas</w:t>
      </w:r>
      <w:r>
        <w:t xml:space="preserve"> </w:t>
      </w:r>
      <w:r>
        <w:t xml:space="preserve">¿Se prueban inventarios, registros, contactos, acceso, herramientas, comunicaciones y recursos de recuperación limpios? tención Plan existe pero el acceso falla</w:t>
      </w:r>
      <w:r>
        <w:t xml:space="preserve"> </w:t>
      </w:r>
      <w:r>
        <w:t xml:space="preserve">| Respuesta ¿Se controlan hechos, incertidumbre, objetivos, acciones, pruebas y próxima actualización? ← Equipos conflictivos o decisiones indocumentadas |</w:t>
      </w:r>
      <w:r>
        <w:t xml:space="preserve"> </w:t>
      </w:r>
      <w:r>
        <w:t xml:space="preserve">¿Puede continuar la producción crítica dentro de un impacto tolerable? ← Workaround ignora seguridad, privacidad o reconciliación</w:t>
      </w:r>
      <w:r>
        <w:t xml:space="preserve"> </w:t>
      </w:r>
      <w:r>
        <w:t xml:space="preserve">¿Pueden los servicios completos satisfacer RTO/RPO probados de fuentes de confianza? | Respaldo éxito reportado sin restaurar la prueba</w:t>
      </w:r>
      <w:r>
        <w:t xml:space="preserve"> </w:t>
      </w:r>
      <w:r>
        <w:t xml:space="preserve">| Proveedores | ¿Se ejercen contactos críticos, deberes, dependencias y alternativas? | Un proveedor es una dependencia común oculta</w:t>
      </w:r>
      <w:r>
        <w:t xml:space="preserve"> </w:t>
      </w:r>
      <w:r>
        <w:t xml:space="preserve">TENEDAD ANTE ¿Se gestionan cambios, despidos, descanso, seguridad y tensión psicológica? Respuestas agotadas que toman decisiones críticas</w:t>
      </w:r>
      <w:r>
        <w:t xml:space="preserve"> </w:t>
      </w:r>
      <w:r>
        <w:t xml:space="preserve">Ø Mejoras en la vida ¿Se financian, poseen, miden y se prueban acciones severas? | La misma brecha aparece en ejercicios/incidentes posteriores</w:t>
      </w:r>
    </w:p>
    <w:bookmarkStart w:id="105" w:name="cuestiones-ejecutivas"/>
    <w:p>
      <w:pPr>
        <w:pStyle w:val="Heading2"/>
      </w:pPr>
      <w:r>
        <w:t xml:space="preserve">27.1 Cuestiones ejecutivas</w:t>
      </w:r>
    </w:p>
    <w:p>
      <w:pPr>
        <w:numPr>
          <w:ilvl w:val="0"/>
          <w:numId w:val="1041"/>
        </w:numPr>
      </w:pPr>
      <w:r>
        <w:t xml:space="preserve">¿Cuál es el impacto actual del negocio y la seguridad?</w:t>
      </w:r>
    </w:p>
    <w:p>
      <w:pPr>
        <w:numPr>
          <w:ilvl w:val="0"/>
          <w:numId w:val="1041"/>
        </w:numPr>
      </w:pPr>
      <w:r>
        <w:t xml:space="preserve">¿Qué hechos apoyan la conclusión y qué sigue siendo incierto?</w:t>
      </w:r>
    </w:p>
    <w:p>
      <w:pPr>
        <w:numPr>
          <w:ilvl w:val="0"/>
          <w:numId w:val="1041"/>
        </w:numPr>
      </w:pPr>
      <w:r>
        <w:t xml:space="preserve">¿Cuáles son las dos decisiones siguientes, quién las posee, y cuándo son necesarias?</w:t>
      </w:r>
    </w:p>
    <w:p>
      <w:pPr>
        <w:numPr>
          <w:ilvl w:val="0"/>
          <w:numId w:val="1041"/>
        </w:numPr>
      </w:pPr>
      <w:r>
        <w:t xml:space="preserve">¿Qué acción podría causar daño irreversible o destruir pruebas?</w:t>
      </w:r>
    </w:p>
    <w:p>
      <w:pPr>
        <w:numPr>
          <w:ilvl w:val="0"/>
          <w:numId w:val="1041"/>
        </w:numPr>
      </w:pPr>
      <w:r>
        <w:t xml:space="preserve">¿Pueden continuar los servicios críticos, y por cuánto tiempo?</w:t>
      </w:r>
    </w:p>
    <w:p>
      <w:pPr>
        <w:numPr>
          <w:ilvl w:val="0"/>
          <w:numId w:val="1041"/>
        </w:numPr>
      </w:pPr>
      <w:r>
        <w:t xml:space="preserve">¿Se están siguiendo las obligaciones legales, de privacidad, contractuales, aseguradoras, clientes y de autoridad?</w:t>
      </w:r>
    </w:p>
    <w:p>
      <w:pPr>
        <w:numPr>
          <w:ilvl w:val="0"/>
          <w:numId w:val="1041"/>
        </w:numPr>
      </w:pPr>
      <w:r>
        <w:t xml:space="preserve">¿Qué recursos o opción comercial está bloqueando la contención o recuperación?</w:t>
      </w:r>
    </w:p>
    <w:p>
      <w:pPr>
        <w:numPr>
          <w:ilvl w:val="0"/>
          <w:numId w:val="1041"/>
        </w:numPr>
      </w:pPr>
      <w:r>
        <w:t xml:space="preserve">¿Cómo verificaremos la recuperación e impediremos la recurrencia?</w:t>
      </w:r>
    </w:p>
    <w:bookmarkEnd w:id="105"/>
    <w:bookmarkEnd w:id="106"/>
    <w:bookmarkStart w:id="110" w:name="X86d744bd5a1cafcec74b120373f05f48ecf6632"/>
    <w:p>
      <w:pPr>
        <w:pStyle w:val="Heading1"/>
      </w:pPr>
      <w:r>
        <w:t xml:space="preserve">28. Junior Analyst Career Guide and Portfolio Lab</w:t>
      </w:r>
    </w:p>
    <w:p>
      <w:pPr>
        <w:pStyle w:val="FirstParagraph"/>
      </w:pPr>
      <w:r>
        <w:rPr>
          <w:iCs/>
          <w:i/>
        </w:rPr>
        <w:t xml:space="preserve">Los analistas universitarios ganan confianza a través de registros de casos disciplinados, manipulación de pruebas, curiosidad técnica y escritura clara.</w:t>
      </w:r>
    </w:p>
    <w:p>
      <w:pPr>
        <w:pStyle w:val="BodyText"/>
      </w:pPr>
      <w:r>
        <w:t xml:space="preserve">■img src=</w:t>
      </w:r>
      <w:r>
        <w:t xml:space="preserve">“</w:t>
      </w:r>
      <w:r>
        <w:t xml:space="preserve">media/image10.png</w:t>
      </w:r>
      <w:r>
        <w:t xml:space="preserve">”</w:t>
      </w:r>
      <w:r>
        <w:t xml:space="preserve"> </w:t>
      </w:r>
      <w:r>
        <w:t xml:space="preserve">style=</w:t>
      </w:r>
      <w:r>
        <w:t xml:space="preserve">“</w:t>
      </w:r>
      <w:r>
        <w:t xml:space="preserve">width:6.15in;height:3.39605in</w:t>
      </w:r>
      <w:r>
        <w:t xml:space="preserve">”</w:t>
      </w:r>
      <w:r>
        <w:t xml:space="preserve"> </w:t>
      </w:r>
      <w:r>
        <w:t xml:space="preserve">alt=</w:t>
      </w:r>
      <w:r>
        <w:t xml:space="preserve">“</w:t>
      </w:r>
      <w:r>
        <w:t xml:space="preserve">Build safe practice from frameworks to evidence, cases, workpapers, and interview stories.</w:t>
      </w:r>
      <w:r>
        <w:t xml:space="preserve">”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Gráfico 10 Ruta del analista de resiliencia</w:t>
      </w:r>
    </w:p>
    <w:bookmarkStart w:id="107" w:name="funciones-comunes"/>
    <w:p>
      <w:pPr>
        <w:pStyle w:val="Heading2"/>
      </w:pPr>
      <w:r>
        <w:t xml:space="preserve">28.1 Funciones comunes</w:t>
      </w:r>
    </w:p>
    <w:p>
      <w:pPr>
        <w:numPr>
          <w:ilvl w:val="0"/>
          <w:numId w:val="1042"/>
        </w:numPr>
      </w:pPr>
      <w:r>
        <w:t xml:space="preserve">Analista de respuesta de incidentes junior</w:t>
      </w:r>
    </w:p>
    <w:p>
      <w:pPr>
        <w:numPr>
          <w:ilvl w:val="0"/>
          <w:numId w:val="1042"/>
        </w:numPr>
      </w:pPr>
      <w:r>
        <w:t xml:space="preserve">SOC Analista</w:t>
      </w:r>
    </w:p>
    <w:p>
      <w:pPr>
        <w:numPr>
          <w:ilvl w:val="0"/>
          <w:numId w:val="1042"/>
        </w:numPr>
      </w:pPr>
      <w:r>
        <w:t xml:space="preserve">Análisis de Operaciones de Seguridad Cibernética</w:t>
      </w:r>
    </w:p>
    <w:p>
      <w:pPr>
        <w:numPr>
          <w:ilvl w:val="0"/>
          <w:numId w:val="1042"/>
        </w:numPr>
      </w:pPr>
      <w:r>
        <w:t xml:space="preserve">DFIR Analyst (junior)</w:t>
      </w:r>
    </w:p>
    <w:p>
      <w:pPr>
        <w:numPr>
          <w:ilvl w:val="0"/>
          <w:numId w:val="1042"/>
        </w:numPr>
      </w:pPr>
      <w:r>
        <w:t xml:space="preserve">Analista de continuidad de negocios</w:t>
      </w:r>
    </w:p>
    <w:p>
      <w:pPr>
        <w:numPr>
          <w:ilvl w:val="0"/>
          <w:numId w:val="1042"/>
        </w:numPr>
      </w:pPr>
      <w:r>
        <w:t xml:space="preserve">Analista de Recuperación de Desastres</w:t>
      </w:r>
    </w:p>
    <w:p>
      <w:pPr>
        <w:numPr>
          <w:ilvl w:val="0"/>
          <w:numId w:val="1042"/>
        </w:numPr>
      </w:pPr>
      <w:r>
        <w:t xml:space="preserve">Analista de Resiliencia Cibernética</w:t>
      </w:r>
    </w:p>
    <w:p>
      <w:pPr>
        <w:numPr>
          <w:ilvl w:val="0"/>
          <w:numId w:val="1042"/>
        </w:numPr>
      </w:pPr>
      <w:r>
        <w:t xml:space="preserve">GRC / Analista de Riesgo de TI</w:t>
      </w:r>
    </w:p>
    <w:bookmarkEnd w:id="107"/>
    <w:bookmarkStart w:id="108" w:name="típico-trabajo"/>
    <w:p>
      <w:pPr>
        <w:pStyle w:val="Heading2"/>
      </w:pPr>
      <w:r>
        <w:t xml:space="preserve">28.2 Típico trabajo</w:t>
      </w:r>
    </w:p>
    <w:p>
      <w:pPr>
        <w:numPr>
          <w:ilvl w:val="0"/>
          <w:numId w:val="1043"/>
        </w:numPr>
      </w:pPr>
      <w:r>
        <w:t xml:space="preserve">Alertas válidas y enriquecedoras; casos precisos abiertos; hechos separados de supuestos.</w:t>
      </w:r>
    </w:p>
    <w:p>
      <w:pPr>
        <w:numPr>
          <w:ilvl w:val="0"/>
          <w:numId w:val="1043"/>
        </w:numPr>
      </w:pPr>
      <w:r>
        <w:t xml:space="preserve">Construir plazos, alcance poblaciones afectadas, preservar pruebas aprobadas y registrar consultas/acciones.</w:t>
      </w:r>
    </w:p>
    <w:p>
      <w:pPr>
        <w:numPr>
          <w:ilvl w:val="0"/>
          <w:numId w:val="1043"/>
        </w:numPr>
      </w:pPr>
      <w:r>
        <w:t xml:space="preserve">Siga los libros de juego, escalar la gravedad, coordinar tareas y preparar resúmenes de estado.</w:t>
      </w:r>
    </w:p>
    <w:p>
      <w:pPr>
        <w:numPr>
          <w:ilvl w:val="0"/>
          <w:numId w:val="1043"/>
        </w:numPr>
      </w:pPr>
      <w:r>
        <w:t xml:space="preserve">Control de contención, remediación, evidencia de recuperación, acciones correctivas y pruebas.</w:t>
      </w:r>
    </w:p>
    <w:p>
      <w:pPr>
        <w:numPr>
          <w:ilvl w:val="0"/>
          <w:numId w:val="1043"/>
        </w:numPr>
      </w:pPr>
      <w:r>
        <w:t xml:space="preserve">Mantener contactos, planes, datos de BIA/dependencia, registros de recuperación, registros de ejercicios y métricas.</w:t>
      </w:r>
    </w:p>
    <w:p>
      <w:pPr>
        <w:numPr>
          <w:ilvl w:val="0"/>
          <w:numId w:val="1043"/>
        </w:numPr>
      </w:pPr>
      <w:r>
        <w:t xml:space="preserve">Utilizar herramientas de código abierto autorizadas en un laboratorio y explicar limitaciones.</w:t>
      </w:r>
    </w:p>
    <w:bookmarkEnd w:id="108"/>
    <w:bookmarkStart w:id="109" w:name="fictional-portfolio-lab"/>
    <w:p>
      <w:pPr>
        <w:pStyle w:val="Heading2"/>
      </w:pPr>
      <w:r>
        <w:t xml:space="preserve">28.3 Fictional portfolio lab</w:t>
      </w:r>
    </w:p>
    <w:p>
      <w:pPr>
        <w:numPr>
          <w:ilvl w:val="0"/>
          <w:numId w:val="1044"/>
        </w:numPr>
      </w:pPr>
      <w:r>
        <w:t xml:space="preserve">Crear una organización ficticia de 80 personas con correo electrónico en la nube, endpoints, SaaS CRM, aplicación web, datos de clientes, proveedores y un proceso crítico de facturación.</w:t>
      </w:r>
    </w:p>
    <w:p>
      <w:pPr>
        <w:numPr>
          <w:ilvl w:val="0"/>
          <w:numId w:val="1044"/>
        </w:numPr>
      </w:pPr>
      <w:r>
        <w:t xml:space="preserve">Escriba un BIA con impacto a lo largo del tiempo, dependencias, MTPD, RTO, RPO y nivel mínimo de servicio.</w:t>
      </w:r>
    </w:p>
    <w:p>
      <w:pPr>
        <w:numPr>
          <w:ilvl w:val="0"/>
          <w:numId w:val="1044"/>
        </w:numPr>
      </w:pPr>
      <w:r>
        <w:t xml:space="preserve">Construir la política de incidentes, RACI, matriz de gravedad, contactos, comunicaciones, ransomware, identidad, nube y manuales de proveedores.</w:t>
      </w:r>
    </w:p>
    <w:p>
      <w:pPr>
        <w:numPr>
          <w:ilvl w:val="0"/>
          <w:numId w:val="1044"/>
        </w:numPr>
      </w:pPr>
      <w:r>
        <w:t xml:space="preserve">Usar registros sintéticos para investigar una cuenta comprometida de ficción; crear una línea de tiempo, memo de alcance, registro de contención y actualización de gerente.</w:t>
      </w:r>
    </w:p>
    <w:p>
      <w:pPr>
        <w:numPr>
          <w:ilvl w:val="0"/>
          <w:numId w:val="1044"/>
        </w:numPr>
      </w:pPr>
      <w:r>
        <w:t xml:space="preserve">Analizar un disco de entrenamiento legal o imagen de memoria con Autopsia o Volatilidad; fuente de documentos, hash, método, hallazgos y límites.</w:t>
      </w:r>
    </w:p>
    <w:p>
      <w:pPr>
        <w:numPr>
          <w:ilvl w:val="0"/>
          <w:numId w:val="1044"/>
        </w:numPr>
      </w:pPr>
      <w:r>
        <w:t xml:space="preserve">Crear un cuaderno de DR y realizar una prueba de restauración segura con fechas y validación de datos reales.</w:t>
      </w:r>
    </w:p>
    <w:p>
      <w:pPr>
        <w:numPr>
          <w:ilvl w:val="0"/>
          <w:numId w:val="1044"/>
        </w:numPr>
      </w:pPr>
      <w:r>
        <w:t xml:space="preserve">Ejecutar una mesa y elaborar un informe posterior a la acción con mejoras verificadas.</w:t>
      </w:r>
    </w:p>
    <w:p>
      <w:pPr>
        <w:numPr>
          <w:ilvl w:val="0"/>
          <w:numId w:val="1044"/>
        </w:numPr>
      </w:pPr>
      <w:r>
        <w:t xml:space="preserve">Publicar sólo artefactos ficticios sanitarios y afirmar que el trabajo es educativo, no una investigación real o certificación.</w:t>
      </w:r>
    </w:p>
    <w:bookmarkEnd w:id="109"/>
    <w:bookmarkEnd w:id="110"/>
    <w:bookmarkStart w:id="120" w:name="X8a5853023f943d91d4e82c858aae220ea630e3e"/>
    <w:p>
      <w:pPr>
        <w:pStyle w:val="Heading1"/>
      </w:pPr>
      <w:r>
        <w:t xml:space="preserve">29. Plan de treinta días y preparación de entrevistas</w:t>
      </w:r>
    </w:p>
    <w:p>
      <w:pPr>
        <w:pStyle w:val="FirstParagraph"/>
      </w:pPr>
      <w:r>
        <w:rPr>
          <w:iCs/>
          <w:i/>
        </w:rPr>
        <w:t xml:space="preserve">Un mes centrado puede crear capacidad de incidencia y resiliencia a nivel de entrada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 TENIDOS conceptos de IR/BC/DR/crisis y modelo NIST actual</w:t>
            </w:r>
          </w:p>
        </w:tc>
      </w:tr>
    </w:tbl>
    <w:p>
      <w:pPr>
        <w:pStyle w:val="BodyText"/>
      </w:pPr>
      <w:r>
        <w:t xml:space="preserve">tención 4–6 tención de riesgo, BIA, dependencias, RTO/RPO</w:t>
      </w:r>
      <w:r>
        <w:t xml:space="preserve"> </w:t>
      </w:r>
      <w:r>
        <w:t xml:space="preserve">| 7–9 | Preparación, registro de datos, contactos, playbooks ANTE Lecciones de lectura y dos playbooks ANTE</w:t>
      </w:r>
      <w:r>
        <w:t xml:space="preserve"> </w:t>
      </w:r>
      <w:r>
        <w:t xml:space="preserve">| 10–12 Silencioso Detección, triage, severidad, casos ← Caso de alerta sintético |</w:t>
      </w:r>
      <w:r>
        <w:t xml:space="preserve"> </w:t>
      </w:r>
      <w:r>
        <w:t xml:space="preserve">TEN 13–15 | Investigación, cronología, pruebas | Timeline y antecedentes de pruebas</w:t>
      </w:r>
      <w:r>
        <w:t xml:space="preserve"> </w:t>
      </w:r>
      <w:r>
        <w:t xml:space="preserve">tención, erradicación, recuperación permanente Documentos de trabajo sobre la decisión y la recuperación</w:t>
      </w:r>
      <w:r>
        <w:t xml:space="preserve"> </w:t>
      </w:r>
      <w:r>
        <w:t xml:space="preserve">| 19–21 | Continuidad, DR, restauración de respaldo Silencioso procedimiento de continuidad y restauración de la prueba</w:t>
      </w:r>
      <w:r>
        <w:t xml:space="preserve"> </w:t>
      </w:r>
      <w:r>
        <w:t xml:space="preserve">| 22–24 | Nube, identidad, ransomware, proveedores</w:t>
      </w:r>
      <w:r>
        <w:t xml:space="preserve"> </w:t>
      </w:r>
      <w:r>
        <w:t xml:space="preserve">tención 25–27 Silencioso Ejercicio y revisión después de la acción</w:t>
      </w:r>
      <w:r>
        <w:t xml:space="preserve"> </w:t>
      </w:r>
      <w:r>
        <w:t xml:space="preserve">TEN 28–30 TENIDA Metrics, portafolio, entrevistas ANTERI Dashboard y cinco historias de STAR</w:t>
      </w:r>
    </w:p>
    <w:bookmarkStart w:id="111" w:name="cuál-es-la-diferencia-entre-ir-bc-y-dr"/>
    <w:p>
      <w:pPr>
        <w:pStyle w:val="Heading2"/>
      </w:pPr>
      <w:r>
        <w:t xml:space="preserve">29.2 ¿Cuál es la diferencia entre IR, BC y DR?</w:t>
      </w:r>
    </w:p>
    <w:p>
      <w:pPr>
        <w:pStyle w:val="FirstParagraph"/>
      </w:pPr>
      <w:r>
        <w:t xml:space="preserve">IR administra incidentes cibernéticos, BC mantiene productos comerciales críticos durante la interrupción, y DR restaura tecnología y datos. Coordinan pero tienen diferentes objetivos.</w:t>
      </w:r>
    </w:p>
    <w:bookmarkEnd w:id="111"/>
    <w:bookmarkStart w:id="112" w:name="qué-es-nist-sp-800-61-rev.-3"/>
    <w:p>
      <w:pPr>
        <w:pStyle w:val="Heading2"/>
      </w:pPr>
      <w:r>
        <w:t xml:space="preserve">29.3 ¿Qué es NIST SP 800-61 Rev. 3?</w:t>
      </w:r>
    </w:p>
    <w:p>
      <w:pPr>
        <w:pStyle w:val="FirstParagraph"/>
      </w:pPr>
      <w:r>
        <w:t xml:space="preserve">La guía de respuesta a incidentes NIST actual, finalizada en 2025, expresada como un perfil comunitario CSF 2.0 a través de Govern, Identificar, Proteger, Detectar, Responder y Recover.</w:t>
      </w:r>
    </w:p>
    <w:bookmarkEnd w:id="112"/>
    <w:bookmarkStart w:id="113" w:name="rto-versus-rpo"/>
    <w:p>
      <w:pPr>
        <w:pStyle w:val="Heading2"/>
      </w:pPr>
      <w:r>
        <w:t xml:space="preserve">29.4 RTO versus RPO?</w:t>
      </w:r>
    </w:p>
    <w:p>
      <w:pPr>
        <w:pStyle w:val="FirstParagraph"/>
      </w:pPr>
      <w:r>
        <w:t xml:space="preserve">RTO es el tiempo objetivo para restaurar; RPO es la pérdida máxima tolerable de datos medida en el tiempo.</w:t>
      </w:r>
    </w:p>
    <w:bookmarkEnd w:id="113"/>
    <w:bookmarkStart w:id="114" w:name="cómo-se-recorta-un-incidente"/>
    <w:p>
      <w:pPr>
        <w:pStyle w:val="Heading2"/>
      </w:pPr>
      <w:r>
        <w:t xml:space="preserve">29.5 ¿Cómo se recorta un incidente?</w:t>
      </w:r>
    </w:p>
    <w:p>
      <w:pPr>
        <w:pStyle w:val="FirstParagraph"/>
      </w:pPr>
      <w:r>
        <w:t xml:space="preserve">Validar la señal, evaluar los efectos funcionales e informativos, la recuperabilidad, la amenaza, el alcance, las obligaciones y la incertidumbre, y luego asignar la gravedad y la escalada según criterios aprobados.</w:t>
      </w:r>
    </w:p>
    <w:bookmarkEnd w:id="114"/>
    <w:bookmarkStart w:id="115" w:name="qué-hace-que-las-pruebas-sean-fiables"/>
    <w:p>
      <w:pPr>
        <w:pStyle w:val="Heading2"/>
      </w:pPr>
      <w:r>
        <w:t xml:space="preserve">29.6 ¿Qué hace que las pruebas sean fiables?</w:t>
      </w:r>
    </w:p>
    <w:p>
      <w:pPr>
        <w:pStyle w:val="FirstParagraph"/>
      </w:pPr>
      <w:r>
        <w:t xml:space="preserve">Fuente conocida, recogida repetible autorizada, integridad preservada, horarios, molestias cuando proceda, custodia, almacenamiento protegido y limitaciones documentadas.</w:t>
      </w:r>
    </w:p>
    <w:bookmarkEnd w:id="115"/>
    <w:bookmarkStart w:id="116" w:name="cuándo-se-completa-la-recuperación"/>
    <w:p>
      <w:pPr>
        <w:pStyle w:val="Heading2"/>
      </w:pPr>
      <w:r>
        <w:t xml:space="preserve">29.7 ¿Cuándo se completa la recuperación?</w:t>
      </w:r>
    </w:p>
    <w:p>
      <w:pPr>
        <w:pStyle w:val="FirstParagraph"/>
      </w:pPr>
      <w:r>
        <w:t xml:space="preserve">Cuando la eliminación de amenazas es estable, la restauración de confianza y las pruebas de seguridad/funcional/data tienen éxito, la vigilancia es activa y los propietarios de negocios y técnicos autorizados aceptan el regreso al servicio.</w:t>
      </w:r>
    </w:p>
    <w:bookmarkEnd w:id="116"/>
    <w:bookmarkStart w:id="117" w:name="cómo-cierras-una-mejora"/>
    <w:p>
      <w:pPr>
        <w:pStyle w:val="Heading2"/>
      </w:pPr>
      <w:r>
        <w:t xml:space="preserve">29.8 ¿Cómo cierras una mejora?</w:t>
      </w:r>
    </w:p>
    <w:p>
      <w:pPr>
        <w:pStyle w:val="FirstParagraph"/>
      </w:pPr>
      <w:r>
        <w:t xml:space="preserve">Implementar la acción específica y reprueba la capacidad fallida contra criterios de éxito definidos.</w:t>
      </w:r>
    </w:p>
    <w:bookmarkEnd w:id="117"/>
    <w:bookmarkStart w:id="118" w:name="qué-debe-evitar-un-analista-junior"/>
    <w:p>
      <w:pPr>
        <w:pStyle w:val="Heading2"/>
      </w:pPr>
      <w:r>
        <w:t xml:space="preserve">29.9 ¿Qué debe evitar un analista junior?</w:t>
      </w:r>
    </w:p>
    <w:p>
      <w:pPr>
        <w:pStyle w:val="FirstParagraph"/>
      </w:pPr>
      <w:r>
        <w:t xml:space="preserve">Acceso no autorizado, acción destructiva, conclusiones no apoyadas, cambios de evidencia original, ocultando incertidumbre o resultados legales prometedores.</w:t>
      </w:r>
    </w:p>
    <w:bookmarkEnd w:id="118"/>
    <w:bookmarkStart w:id="119" w:name="preguntas-para-hacer-al-empleador"/>
    <w:p>
      <w:pPr>
        <w:pStyle w:val="Heading2"/>
      </w:pPr>
      <w:r>
        <w:t xml:space="preserve">29.10 Preguntas para hacer al empleador</w:t>
      </w:r>
    </w:p>
    <w:p>
      <w:pPr>
        <w:numPr>
          <w:ilvl w:val="0"/>
          <w:numId w:val="1045"/>
        </w:numPr>
      </w:pPr>
      <w:r>
        <w:t xml:space="preserve">¿Qué escenarios de incidencia y resiliencia importan más?</w:t>
      </w:r>
    </w:p>
    <w:p>
      <w:pPr>
        <w:numPr>
          <w:ilvl w:val="0"/>
          <w:numId w:val="1045"/>
        </w:numPr>
      </w:pPr>
      <w:r>
        <w:t xml:space="preserve">¿Cómo se maneja la severidad, el mando, la escalada después de las horas y la aceptación empresarial?</w:t>
      </w:r>
    </w:p>
    <w:p>
      <w:pPr>
        <w:numPr>
          <w:ilvl w:val="0"/>
          <w:numId w:val="1045"/>
        </w:numPr>
      </w:pPr>
      <w:r>
        <w:t xml:space="preserve">¿Qué herramientas de telemetría, caso, forense, continuidad y recuperación están aprobadas?</w:t>
      </w:r>
    </w:p>
    <w:p>
      <w:pPr>
        <w:numPr>
          <w:ilvl w:val="0"/>
          <w:numId w:val="1045"/>
        </w:numPr>
      </w:pPr>
      <w:r>
        <w:t xml:space="preserve">¿Con qué frecuencia se realizan restauraciones críticas e incidentes de proveedores?</w:t>
      </w:r>
    </w:p>
    <w:p>
      <w:pPr>
        <w:numPr>
          <w:ilvl w:val="0"/>
          <w:numId w:val="1045"/>
        </w:numPr>
      </w:pPr>
      <w:r>
        <w:t xml:space="preserve">¿Cómo se revisan las acciones menores y se protegen las pruebas?</w:t>
      </w:r>
    </w:p>
    <w:p>
      <w:pPr>
        <w:numPr>
          <w:ilvl w:val="0"/>
          <w:numId w:val="1045"/>
        </w:numPr>
      </w:pPr>
      <w:r>
        <w:t xml:space="preserve">¿Cómo sería el éxito en los primeros 90 días?</w:t>
      </w:r>
    </w:p>
    <w:bookmarkEnd w:id="119"/>
    <w:bookmarkEnd w:id="120"/>
    <w:bookmarkStart w:id="129" w:name="plantillas-glosario-índice-y-referencias"/>
    <w:p>
      <w:pPr>
        <w:pStyle w:val="Heading1"/>
      </w:pPr>
      <w:r>
        <w:t xml:space="preserve">30. Plantillas, Glosario, Índice y Referencias</w:t>
      </w:r>
    </w:p>
    <w:p>
      <w:pPr>
        <w:numPr>
          <w:ilvl w:val="0"/>
          <w:numId w:val="1046"/>
        </w:numPr>
        <w:pStyle w:val="Compact"/>
      </w:pPr>
      <w:r>
        <w:t xml:space="preserve">Estructuras de trabajo reutilizables, términos clave, índice de sujeto y fuentes oficiales*.</w:t>
      </w:r>
    </w:p>
    <w:bookmarkStart w:id="121" w:name="registro-de-casos-de-incidentes"/>
    <w:p>
      <w:pPr>
        <w:pStyle w:val="Heading2"/>
      </w:pPr>
      <w:r>
        <w:t xml:space="preserve">30.1 Registro de casos de incidentes</w:t>
      </w:r>
    </w:p>
    <w:p>
      <w:pPr>
        <w:pStyle w:val="FirstParagraph"/>
      </w:pPr>
      <w:r>
        <w:t xml:space="preserve">|** |</w:t>
      </w:r>
      <w:r>
        <w:t xml:space="preserve"> </w:t>
      </w:r>
      <w:r>
        <w:t xml:space="preserve">|. |</w:t>
      </w:r>
      <w:r>
        <w:t xml:space="preserve"> </w:t>
      </w:r>
      <w:r>
        <w:t xml:space="preserve">“</w:t>
      </w:r>
      <w:r>
        <w:t xml:space="preserve">Principio/comandante/severidad</w:t>
      </w:r>
      <w:r>
        <w:t xml:space="preserve">”</w:t>
      </w:r>
      <w:r>
        <w:t xml:space="preserve"> </w:t>
      </w:r>
      <w:r>
        <w:t xml:space="preserve">“</w:t>
      </w:r>
      <w:r>
        <w:t xml:space="preserve">Prigger</w:t>
      </w:r>
      <w:r>
        <w:t xml:space="preserve">”</w:t>
      </w:r>
      <w:r>
        <w:t xml:space="preserve"> </w:t>
      </w:r>
      <w:r>
        <w:t xml:space="preserve">/ detectado/known start ⋅                       </w:t>
      </w:r>
      <w:r>
        <w:br/>
      </w:r>
      <w:r>
        <w:t xml:space="preserve">“</w:t>
      </w:r>
      <w:r>
        <w:t xml:space="preserve">Datos/asunciones/hipotheses</w:t>
      </w:r>
      <w:r>
        <w:t xml:space="preserve">”</w:t>
      </w:r>
      <w:r>
        <w:t xml:space="preserve"> </w:t>
      </w:r>
      <w:r>
        <w:t xml:space="preserve">sobre la vida                           </w:t>
      </w:r>
      <w:r>
        <w:br/>
      </w:r>
      <w:r>
        <w:t xml:space="preserve">“</w:t>
      </w:r>
      <w:r>
        <w:t xml:space="preserve">Afectados y potenciales alcances</w:t>
      </w:r>
      <w:r>
        <w:t xml:space="preserve">”</w:t>
      </w:r>
      <w:r>
        <w:t xml:space="preserve"> </w:t>
      </w:r>
      <w:r>
        <w:t xml:space="preserve">“</w:t>
      </w:r>
      <w:r>
        <w:t xml:space="preserve">La vida empresarial/data/seguridad</w:t>
      </w:r>
      <w:r>
        <w:t xml:space="preserve">”</w:t>
      </w:r>
      <w:r>
        <w:t xml:space="preserve"> </w:t>
      </w:r>
      <w:r>
        <w:t xml:space="preserve">tuvo un impacto sobre la seguridad.</w:t>
      </w:r>
      <w:r>
        <w:t xml:space="preserve"> </w:t>
      </w:r>
      <w:r>
        <w:t xml:space="preserve">Evidencia/timeline/custody |                       </w:t>
      </w:r>
      <w:r>
        <w:br/>
      </w:r>
      <w:r>
        <w:t xml:space="preserve">“</w:t>
      </w:r>
      <w:r>
        <w:t xml:space="preserve">Primeros objetivos/decisiones/actions</w:t>
      </w:r>
      <w:r>
        <w:t xml:space="preserve">”</w:t>
      </w:r>
      <w:r>
        <w:t xml:space="preserve"> </w:t>
      </w:r>
      <w:r>
        <w:t xml:space="preserve">“</w:t>
      </w:r>
      <w:r>
        <w:t xml:space="preserve">Contenimiento/eradicación en la vida</w:t>
      </w:r>
      <w:r>
        <w:t xml:space="preserve">”</w:t>
      </w:r>
      <w:r>
        <w:t xml:space="preserve"> </w:t>
      </w:r>
      <w:r>
        <w:t xml:space="preserve">“</w:t>
      </w:r>
      <w:r>
        <w:t xml:space="preserve">La recuperación/validación/acceptancia de la vida</w:t>
      </w:r>
      <w:r>
        <w:t xml:space="preserve">”</w:t>
      </w:r>
      <w:r>
        <w:t xml:space="preserve"> </w:t>
      </w:r>
      <w:r>
        <w:t xml:space="preserve">“</w:t>
      </w:r>
      <w:r>
        <w:t xml:space="preserve">La comunicación/obligaciones en la vida</w:t>
      </w:r>
      <w:r>
        <w:t xml:space="preserve">”</w:t>
      </w:r>
      <w:r>
        <w:t xml:space="preserve"> </w:t>
      </w:r>
      <w:r>
        <w:t xml:space="preserve">Lecciones/acción/retestigos sobre la vida</w:t>
      </w:r>
    </w:p>
    <w:bookmarkEnd w:id="121"/>
    <w:bookmarkStart w:id="122" w:name="bia-y-registro-de-continuidad"/>
    <w:p>
      <w:pPr>
        <w:pStyle w:val="Heading2"/>
      </w:pPr>
      <w:r>
        <w:t xml:space="preserve">30.2 BIA y registro de continuidad</w:t>
      </w:r>
    </w:p>
    <w:p>
      <w:pPr>
        <w:pStyle w:val="FirstParagraph"/>
      </w:pPr>
      <w:r>
        <w:t xml:space="preserve">|** |</w:t>
      </w:r>
      <w:r>
        <w:t xml:space="preserve"> </w:t>
      </w:r>
      <w:r>
        <w:t xml:space="preserve">|… |</w:t>
      </w:r>
      <w:r>
        <w:t xml:space="preserve"> </w:t>
      </w:r>
      <w:r>
        <w:t xml:space="preserve">| Producto/servicio/proceso/procesador |                          </w:t>
      </w:r>
      <w:r>
        <w:br/>
      </w:r>
      <w:r>
        <w:t xml:space="preserve">La salida mínima aceptable es válida para siempre.</w:t>
      </w:r>
      <w:r>
        <w:t xml:space="preserve"> </w:t>
      </w:r>
      <w:r>
        <w:t xml:space="preserve">Impacto de la vida por el tiempo / MTPD |                             </w:t>
      </w:r>
      <w:r>
        <w:br/>
      </w:r>
      <w:r>
        <w:t xml:space="preserve">| RTO / RPO |                                   </w:t>
      </w:r>
      <w:r>
        <w:br/>
      </w:r>
      <w:r>
        <w:t xml:space="preserve">“</w:t>
      </w:r>
      <w:r>
        <w:t xml:space="preserve">Personas/facilidad/tecnología</w:t>
      </w:r>
      <w:r>
        <w:t xml:space="preserve">”</w:t>
      </w:r>
      <w:r>
        <w:t xml:space="preserve"> </w:t>
      </w:r>
      <w:r>
        <w:t xml:space="preserve">Los datos/dependencias de la seguridad de la vida siguen adelante.</w:t>
      </w:r>
      <w:r>
        <w:t xml:space="preserve"> </w:t>
      </w:r>
      <w:r>
        <w:t xml:space="preserve">La estrategia de continuidad y el trabajo en torno a la vida                       </w:t>
      </w:r>
      <w:r>
        <w:br/>
      </w:r>
      <w:r>
        <w:t xml:space="preserve">“</w:t>
      </w:r>
      <w:r>
        <w:t xml:space="preserve">La Activación/comunicación en la vida</w:t>
      </w:r>
      <w:r>
        <w:t xml:space="preserve">”</w:t>
      </w:r>
      <w:r>
        <w:t xml:space="preserve"> </w:t>
      </w:r>
      <w:r>
        <w:t xml:space="preserve">“</w:t>
      </w:r>
      <w:r>
        <w:t xml:space="preserve">Vuelva/reconciliación</w:t>
      </w:r>
      <w:r>
        <w:t xml:space="preserve">”</w:t>
      </w:r>
      <w:r>
        <w:t xml:space="preserve"> </w:t>
      </w:r>
      <w:r>
        <w:t xml:space="preserve">Test/result/improvementar la vida</w:t>
      </w:r>
    </w:p>
    <w:bookmarkEnd w:id="122"/>
    <w:bookmarkStart w:id="123" w:name="X52ebc173afb5ce7f90a834ad457610a7e4a4611"/>
    <w:p>
      <w:pPr>
        <w:pStyle w:val="Heading2"/>
      </w:pPr>
      <w:r>
        <w:t xml:space="preserve">30.3 Registro de evidencia y cadena de custodia</w:t>
      </w:r>
    </w:p>
    <w:p>
      <w:pPr>
        <w:pStyle w:val="FirstParagraph"/>
      </w:pPr>
      <w:r>
        <w:t xml:space="preserve">|** |</w:t>
      </w:r>
      <w:r>
        <w:t xml:space="preserve"> </w:t>
      </w:r>
      <w:r>
        <w:t xml:space="preserve">|… |</w:t>
      </w:r>
      <w:r>
        <w:t xml:space="preserve"> </w:t>
      </w:r>
      <w:r>
        <w:t xml:space="preserve">| EL ID/descripción / fuente |                             </w:t>
      </w:r>
      <w:r>
        <w:br/>
      </w:r>
      <w:r>
        <w:t xml:space="preserve">La autoridad y el propósito de la vida han sido incapaces.</w:t>
      </w:r>
      <w:r>
        <w:t xml:space="preserve"> </w:t>
      </w:r>
      <w:r>
        <w:t xml:space="preserve">| RECIBOR/date / time zone TEN                            |</w:t>
      </w:r>
      <w:r>
        <w:t xml:space="preserve"> </w:t>
      </w:r>
      <w:r>
        <w:t xml:space="preserve">| Método/herramienta / versión |                            </w:t>
      </w:r>
      <w:r>
        <w:br/>
      </w:r>
      <w:r>
        <w:t xml:space="preserve">| Original hash/working copy ⋅                          |</w:t>
      </w:r>
      <w:r>
        <w:t xml:space="preserve"> </w:t>
      </w:r>
      <w:r>
        <w:t xml:space="preserve">| Almacenamiento/access/privacy |                         </w:t>
      </w:r>
      <w:r>
        <w:br/>
      </w:r>
      <w:r>
        <w:t xml:space="preserve">“</w:t>
      </w:r>
      <w:r>
        <w:t xml:space="preserve">Transferencia de/a/a propósito</w:t>
      </w:r>
      <w:r>
        <w:t xml:space="preserve">”</w:t>
      </w:r>
      <w:r>
        <w:t xml:space="preserve"> </w:t>
      </w:r>
      <w:r>
        <w:t xml:space="preserve">“</w:t>
      </w:r>
      <w:r>
        <w:t xml:space="preserve">Análisis/resulto/limitaciones</w:t>
      </w:r>
      <w:r>
        <w:t xml:space="preserve">”</w:t>
      </w:r>
      <w:r>
        <w:t xml:space="preserve"> </w:t>
      </w:r>
      <w:r>
        <w:t xml:space="preserve">“</w:t>
      </w:r>
      <w:r>
        <w:t xml:space="preserve">Retención de la vida</w:t>
      </w:r>
      <w:r>
        <w:t xml:space="preserve">”</w:t>
      </w:r>
      <w:r>
        <w:t xml:space="preserve"> </w:t>
      </w:r>
      <w:r>
        <w:t xml:space="preserve">Repaso/disposición de la vida                   </w:t>
      </w:r>
    </w:p>
    <w:bookmarkEnd w:id="123"/>
    <w:bookmarkStart w:id="124" w:name="X96107a073f17915b9621e9ef34207e0cf8c7873"/>
    <w:p>
      <w:pPr>
        <w:pStyle w:val="Heading2"/>
      </w:pPr>
      <w:r>
        <w:t xml:space="preserve">30.4 Registro de ejercicio y acción correctiva</w:t>
      </w:r>
    </w:p>
    <w:p>
      <w:pPr>
        <w:pStyle w:val="FirstParagraph"/>
      </w:pPr>
      <w:r>
        <w:t xml:space="preserve">|** |</w:t>
      </w:r>
      <w:r>
        <w:t xml:space="preserve"> </w:t>
      </w:r>
      <w:r>
        <w:t xml:space="preserve">|… |</w:t>
      </w:r>
      <w:r>
        <w:t xml:space="preserve"> </w:t>
      </w:r>
      <w:r>
        <w:t xml:space="preserve">| Objetivo/capacidad |</w:t>
      </w:r>
      <w:r>
        <w:t xml:space="preserve"> </w:t>
      </w:r>
      <w:r>
        <w:t xml:space="preserve">“</w:t>
      </w:r>
      <w:r>
        <w:t xml:space="preserve">Scenario/asunciones/seguridad</w:t>
      </w:r>
      <w:r>
        <w:t xml:space="preserve">”</w:t>
      </w:r>
      <w:r>
        <w:t xml:space="preserve"> </w:t>
      </w:r>
      <w:r>
        <w:t xml:space="preserve">Los participantes/observadores insistieron en la vida                           </w:t>
      </w:r>
      <w:r>
        <w:br/>
      </w:r>
      <w:r>
        <w:t xml:space="preserve">Los criterios de éxito esperados son válidos.</w:t>
      </w:r>
      <w:r>
        <w:t xml:space="preserve"> </w:t>
      </w:r>
      <w:r>
        <w:t xml:space="preserve">TENIENDO el tiempo real/decisiones | 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t xml:space="preserve"> </w:t>
      </w:r>
      <w:r>
        <w:t xml:space="preserve">“</w:t>
      </w:r>
      <w:r>
        <w:t xml:space="preserve">Strengths/gaps/evidencia</w:t>
      </w:r>
      <w:r>
        <w:t xml:space="preserve">”</w:t>
      </w:r>
      <w:r>
        <w:t xml:space="preserve"> </w:t>
      </w:r>
      <w:r>
        <w:t xml:space="preserve">| Cause/risk / interim control |</w:t>
      </w:r>
      <w:r>
        <w:t xml:space="preserve"> </w:t>
      </w:r>
      <w:r>
        <w:t xml:space="preserve">“</w:t>
      </w:r>
      <w:r>
        <w:t xml:space="preserve">Actuación/propietario/ fecha límite</w:t>
      </w:r>
      <w:r>
        <w:t xml:space="preserve">”</w:t>
      </w:r>
      <w:r>
        <w:t xml:space="preserve"> </w:t>
      </w:r>
      <w:r>
        <w:t xml:space="preserve">Retest/evidence / result remain                         </w:t>
      </w:r>
      <w:r>
        <w:br/>
      </w:r>
      <w:r>
        <w:t xml:space="preserve">⋅ Management review ⋅                           </w:t>
      </w:r>
    </w:p>
    <w:bookmarkEnd w:id="124"/>
    <w:bookmarkStart w:id="125" w:name="glosario"/>
    <w:p>
      <w:pPr>
        <w:pStyle w:val="Heading2"/>
      </w:pPr>
      <w:r>
        <w:t xml:space="preserve">30.5 Glosario</w:t>
      </w:r>
    </w:p>
    <w:p>
      <w:pPr>
        <w:pStyle w:val="FirstParagraph"/>
      </w:pPr>
      <w:r>
        <w:t xml:space="preserve">|** |</w:t>
      </w:r>
      <w:r>
        <w:t xml:space="preserve"> </w:t>
      </w:r>
      <w:r>
        <w:t xml:space="preserve">|… |</w:t>
      </w:r>
      <w:r>
        <w:t xml:space="preserve"> </w:t>
      </w:r>
      <w:r>
        <w:t xml:space="preserve">| evento Adverso | Una ocurrencia que puede tener una consecuencia negativa.</w:t>
      </w:r>
      <w:r>
        <w:t xml:space="preserve"> </w:t>
      </w:r>
      <w:r>
        <w:t xml:space="preserve">TEN BCMS | Sistema de gestión de continuidad de las operaciones.</w:t>
      </w:r>
      <w:r>
        <w:t xml:space="preserve"> </w:t>
      </w:r>
      <w:r>
        <w:t xml:space="preserve">TEN BIA | Análisis de impacto empresarial.</w:t>
      </w:r>
      <w:r>
        <w:t xml:space="preserve"> </w:t>
      </w:r>
      <w:r>
        <w:t xml:space="preserve">TEN continuidad de las operaciones ANTERI Capability to continue delivery of products and services at acceptable capacity during disruption.</w:t>
      </w:r>
      <w:r>
        <w:t xml:space="preserve"> </w:t>
      </w:r>
      <w:r>
        <w:t xml:space="preserve">← Cadena de custodia | Control documentado y transferencia de antecedentes de evidencia.</w:t>
      </w:r>
      <w:r>
        <w:t xml:space="preserve"> </w:t>
      </w:r>
      <w:r>
        <w:t xml:space="preserve">TENIENDO | Acción para limitar la propagación o el impacto de incidentes.</w:t>
      </w:r>
      <w:r>
        <w:t xml:space="preserve"> </w:t>
      </w:r>
      <w:r>
        <w:t xml:space="preserve">tención Gestión de crisis | Liderazgo y coordinación de situaciones de alto impacto e incertidumbre. |</w:t>
      </w:r>
      <w:r>
        <w:t xml:space="preserve"> </w:t>
      </w:r>
      <w:r>
        <w:t xml:space="preserve">← Recuperación de desastres | Restauración de tecnología, datos y infraestructura de apoyo después de la perturbación. |</w:t>
      </w:r>
      <w:r>
        <w:t xml:space="preserve"> </w:t>
      </w:r>
      <w:r>
        <w:t xml:space="preserve">Erradicación de la vida útil Eliminación de causa, persistencia, cambios inseguros y debilidades conexas. |</w:t>
      </w:r>
      <w:r>
        <w:t xml:space="preserve"> </w:t>
      </w:r>
      <w:r>
        <w:t xml:space="preserve">tención Incident Silencioso que pone en peligro la confidencialidad, integridad, disponibilidad o viola la política de seguridad; utilice la definición aprobada de la organización. |</w:t>
      </w:r>
      <w:r>
        <w:t xml:space="preserve"> </w:t>
      </w:r>
      <w:r>
        <w:t xml:space="preserve">| MTPD / MAO | Período máximo tolerable de perturbación / salida máxima aceptable.</w:t>
      </w:r>
      <w:r>
        <w:t xml:space="preserve"> </w:t>
      </w:r>
      <w:r>
        <w:t xml:space="preserve">tención Playbook ← Pasos de respuesta centrados en el escenario, decisiones, autoridad y evidencia.</w:t>
      </w:r>
      <w:r>
        <w:t xml:space="preserve"> </w:t>
      </w:r>
      <w:r>
        <w:t xml:space="preserve">Silencioso Recuperación Silencioso Restauración y verificación del servicio y los controles.</w:t>
      </w:r>
      <w:r>
        <w:t xml:space="preserve"> </w:t>
      </w:r>
      <w:r>
        <w:t xml:space="preserve">| RPO | Pérdida máxima tolerable de datos medida en el tiempo.</w:t>
      </w:r>
      <w:r>
        <w:t xml:space="preserve"> </w:t>
      </w:r>
      <w:r>
        <w:t xml:space="preserve">| RTO | Tiempo para restaurar una actividad o recurso.</w:t>
      </w:r>
      <w:r>
        <w:t xml:space="preserve"> </w:t>
      </w:r>
      <w:r>
        <w:t xml:space="preserve">tención Ejercicio en la mesa | Evaluación basada en el debate utilizando un escenario y preguntas de decisión. |</w:t>
      </w:r>
    </w:p>
    <w:bookmarkEnd w:id="125"/>
    <w:bookmarkStart w:id="126" w:name="subject-index"/>
    <w:p>
      <w:pPr>
        <w:pStyle w:val="Heading2"/>
      </w:pPr>
      <w:r>
        <w:t xml:space="preserve">30.6 Subject index</w:t>
      </w:r>
    </w:p>
    <w:p>
      <w:pPr>
        <w:pStyle w:val="FirstParagraph"/>
      </w:pPr>
      <w:r>
        <w:t xml:space="preserve">Subjeto**</w:t>
      </w:r>
      <w:r>
        <w:t xml:space="preserve"> </w:t>
      </w:r>
      <w:r>
        <w:t xml:space="preserve">|… |</w:t>
      </w:r>
      <w:r>
        <w:t xml:space="preserve"> </w:t>
      </w:r>
      <w:r>
        <w:t xml:space="preserve">← Respaldos Silencioso 22</w:t>
      </w:r>
      <w:r>
        <w:t xml:space="preserve"> </w:t>
      </w:r>
      <w:r>
        <w:t xml:space="preserve">| BIA | 3, 20</w:t>
      </w:r>
      <w:r>
        <w:t xml:space="preserve"> </w:t>
      </w:r>
      <w:r>
        <w:t xml:space="preserve">| para la continuidad de las operaciones |</w:t>
      </w:r>
      <w:r>
        <w:t xml:space="preserve"> </w:t>
      </w:r>
      <w:r>
        <w:t xml:space="preserve">Silenciosos incidentes en la nube</w:t>
      </w:r>
      <w:r>
        <w:t xml:space="preserve"> </w:t>
      </w:r>
      <w:r>
        <w:t xml:space="preserve">| en la comunicación |</w:t>
      </w:r>
      <w:r>
        <w:t xml:space="preserve"> </w:t>
      </w:r>
      <w:r>
        <w:t xml:space="preserve">| | | |</w:t>
      </w:r>
      <w:r>
        <w:t xml:space="preserve"> </w:t>
      </w:r>
      <w:r>
        <w:t xml:space="preserve">← Gestión de crisis</w:t>
      </w:r>
      <w:r>
        <w:t xml:space="preserve"> </w:t>
      </w:r>
      <w:r>
        <w:t xml:space="preserve">Silencioso Detección/triaje | 6-7</w:t>
      </w:r>
      <w:r>
        <w:t xml:space="preserve"> </w:t>
      </w:r>
      <w:r>
        <w:t xml:space="preserve">| Pruebas digitales |</w:t>
      </w:r>
      <w:r>
        <w:t xml:space="preserve"> </w:t>
      </w:r>
      <w:r>
        <w:t xml:space="preserve">| para la recuperación ante desastres |</w:t>
      </w:r>
      <w:r>
        <w:t xml:space="preserve"> </w:t>
      </w:r>
      <w:r>
        <w:t xml:space="preserve">Silencioso Ejercicios</w:t>
      </w:r>
      <w:r>
        <w:t xml:space="preserve"> </w:t>
      </w:r>
      <w:r>
        <w:t xml:space="preserve">Silenciosos incidentes de identidad</w:t>
      </w:r>
      <w:r>
        <w:t xml:space="preserve"> </w:t>
      </w:r>
      <w:r>
        <w:t xml:space="preserve">Silenciosos en la investigación</w:t>
      </w:r>
      <w:r>
        <w:t xml:space="preserve"> </w:t>
      </w:r>
      <w:r>
        <w:t xml:space="preserve">Silencioso analista junior</w:t>
      </w:r>
      <w:r>
        <w:t xml:space="preserve"> </w:t>
      </w:r>
      <w:r>
        <w:t xml:space="preserve">lecciones aprendidas</w:t>
      </w:r>
      <w:r>
        <w:t xml:space="preserve"> </w:t>
      </w:r>
      <w:r>
        <w:t xml:space="preserve">Silencioso Silencioso</w:t>
      </w:r>
      <w:r>
        <w:t xml:space="preserve"> </w:t>
      </w:r>
      <w:r>
        <w:t xml:space="preserve">TENIDA métricas/cumplimiento</w:t>
      </w:r>
      <w:r>
        <w:t xml:space="preserve"> </w:t>
      </w:r>
      <w:r>
        <w:t xml:space="preserve">tención NIST SP 800-61 Rev. 3 | 4, 25 |</w:t>
      </w:r>
      <w:r>
        <w:t xml:space="preserve"> </w:t>
      </w:r>
      <w:r>
        <w:t xml:space="preserve">| Herramientas de código abierto | 26</w:t>
      </w:r>
      <w:r>
        <w:t xml:space="preserve"> </w:t>
      </w:r>
      <w:r>
        <w:t xml:space="preserve">| | | .</w:t>
      </w:r>
      <w:r>
        <w:t xml:space="preserve"> </w:t>
      </w:r>
      <w:r>
        <w:t xml:space="preserve">Silencioso de recuperación</w:t>
      </w:r>
      <w:r>
        <w:t xml:space="preserve"> </w:t>
      </w:r>
      <w:r>
        <w:t xml:space="preserve">| RTO / RPO | 3, 21-22</w:t>
      </w:r>
      <w:r>
        <w:t xml:space="preserve"> </w:t>
      </w:r>
      <w:r>
        <w:t xml:space="preserve">Silenciosos incidentes ocurridos en los proveedores</w:t>
      </w:r>
    </w:p>
    <w:bookmarkEnd w:id="126"/>
    <w:bookmarkStart w:id="128" w:name="referencias-oficiales"/>
    <w:p>
      <w:pPr>
        <w:pStyle w:val="Heading2"/>
      </w:pPr>
      <w:r>
        <w:t xml:space="preserve">30.7 Referencias oficiales</w:t>
      </w:r>
    </w:p>
    <w:p>
      <w:pPr>
        <w:numPr>
          <w:ilvl w:val="0"/>
          <w:numId w:val="1047"/>
        </w:numPr>
      </w:pPr>
      <w:r>
        <w:t xml:space="preserve">[ indicau]NIST SP 800-61 Rev. 3 — Recomendaciones de respuesta de incidentes realizadas/u contacto](https://csrc.nist.gov/pubs/sp/800/61/r3/final)</w:t>
      </w:r>
    </w:p>
    <w:p>
      <w:pPr>
        <w:numPr>
          <w:ilvl w:val="0"/>
          <w:numId w:val="1047"/>
        </w:numPr>
      </w:pPr>
      <w:r>
        <w:t xml:space="preserve">[ ]] (https://csrc.nist.gov/projects/incident-response)</w:t>
      </w:r>
    </w:p>
    <w:p>
      <w:pPr>
        <w:numPr>
          <w:ilvl w:val="0"/>
          <w:numId w:val="1047"/>
        </w:numPr>
      </w:pPr>
      <w:hyperlink r:id="rId127">
        <w:r>
          <w:rPr>
            <w:rStyle w:val="Hyperlink"/>
          </w:rPr>
          <w:t xml:space="preserve">Seguridad Ciberseguridad 2.0</w:t>
        </w:r>
      </w:hyperlink>
    </w:p>
    <w:p>
      <w:pPr>
        <w:numPr>
          <w:ilvl w:val="0"/>
          <w:numId w:val="1047"/>
        </w:numPr>
      </w:pPr>
      <w:r>
        <w:t xml:space="preserve">[ indicau]NIST SP 800-34 Rev. 1 Update 1 — Planeamiento de Contingencias realizados/u contacto](https://csrc.nist.gov/pubs/sp/800/34/r1/upd1/final)</w:t>
      </w:r>
    </w:p>
    <w:p>
      <w:pPr>
        <w:numPr>
          <w:ilvl w:val="0"/>
          <w:numId w:val="1047"/>
        </w:numPr>
      </w:pPr>
      <w:r>
        <w:t xml:space="preserve">[ ]] (https://www.cisa.gov/news-events/news/federal-government-cybersecurity-incident-and-vulnerability-response-playbooks)</w:t>
      </w:r>
    </w:p>
    <w:p>
      <w:pPr>
        <w:numPr>
          <w:ilvl w:val="0"/>
          <w:numId w:val="1047"/>
        </w:numPr>
      </w:pPr>
      <w:r>
        <w:t xml:space="preserve">☐ (https://www.cisa.gov/stopransomware/ransomware-guide)</w:t>
      </w:r>
    </w:p>
    <w:p>
      <w:pPr>
        <w:numPr>
          <w:ilvl w:val="0"/>
          <w:numId w:val="1047"/>
        </w:numPr>
      </w:pPr>
      <w:r>
        <w:t xml:space="preserve">[ ]](https://www.cisa.gov/ransomware-response-checklist)</w:t>
      </w:r>
    </w:p>
    <w:p>
      <w:pPr>
        <w:numPr>
          <w:ilvl w:val="0"/>
          <w:numId w:val="1047"/>
        </w:numPr>
      </w:pPr>
      <w:r>
        <w:t xml:space="preserve">☐ [ ]](https://www.cisa.gov/resources-tools/services/cisa-tabletop-exercise-packages)</w:t>
      </w:r>
    </w:p>
    <w:p>
      <w:pPr>
        <w:numPr>
          <w:ilvl w:val="0"/>
          <w:numId w:val="1047"/>
        </w:numPr>
      </w:pPr>
      <w:r>
        <w:t xml:space="preserve">[Se indicará que el Plan de Respuesta de Incidentes se basará en el plan de acción de los incidentes] (https://www.cisa.gov/resources-tools/resources/incident-response-plan-irp-basics)</w:t>
      </w:r>
    </w:p>
    <w:p>
      <w:pPr>
        <w:numPr>
          <w:ilvl w:val="0"/>
          <w:numId w:val="1047"/>
        </w:numPr>
      </w:pPr>
      <w:r>
        <w:t xml:space="preserve">[ ]](https://www.iso.org/standard/75106.html)</w:t>
      </w:r>
    </w:p>
    <w:p>
      <w:pPr>
        <w:numPr>
          <w:ilvl w:val="0"/>
          <w:numId w:val="1047"/>
        </w:numPr>
      </w:pPr>
      <w:r>
        <w:t xml:space="preserve">[ ]](https://www.iso.org/standard/88412.html)</w:t>
      </w:r>
    </w:p>
    <w:p>
      <w:pPr>
        <w:numPr>
          <w:ilvl w:val="0"/>
          <w:numId w:val="1047"/>
        </w:numPr>
      </w:pPr>
      <w:r>
        <w:t xml:space="preserve">[ ]](https://www.iso.org/standard/75107.html)</w:t>
      </w:r>
    </w:p>
    <w:p>
      <w:pPr>
        <w:numPr>
          <w:ilvl w:val="0"/>
          <w:numId w:val="1047"/>
        </w:numPr>
      </w:pPr>
      <w:r>
        <w:t xml:space="preserve">[ indicau]ISO/TS 22317:2021 — Guía BIA realizada/u contacto](https://www.iso.org/standard/79000.html)</w:t>
      </w:r>
    </w:p>
    <w:p>
      <w:pPr>
        <w:numPr>
          <w:ilvl w:val="0"/>
          <w:numId w:val="1047"/>
        </w:numPr>
      </w:pPr>
      <w:r>
        <w:t xml:space="preserve">[Seguridad de Incidencia de Incidencia de Seguridad Informática] Recursos de la Guía de Manejo de Incidentes obtenidos/u contactos](https://csrc.nist.gov/Projects/incident-response/publications)</w:t>
      </w:r>
    </w:p>
    <w:p>
      <w:pPr>
        <w:pStyle w:val="FirstParagraph"/>
      </w:pPr>
      <w:r>
        <w:rPr>
          <w:bCs/>
          <w:b/>
        </w:rPr>
        <w:t xml:space="preserve">Recordaje final:</w:t>
      </w:r>
      <w:r>
        <w:t xml:space="preserve"> </w:t>
      </w:r>
      <w:r>
        <w:t xml:space="preserve">Las amenazas, la tecnología, las leyes, los contratos, las normas, las interpretaciones oficiales, los instrumentos, los contactos y las dependencias orgánicas cambian. Verificar las fuentes autoritativas actuales y los planes aprobados antes de un incidente real o decisión de recuperación. |</w:t>
      </w:r>
    </w:p>
    <w:p>
      <w:pPr>
        <w:pStyle w:val="BodyText"/>
      </w:pPr>
      <w:r>
        <w:t xml:space="preserve">|. |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2" Target="https://docs.velociraptor.app/" TargetMode="External" /><Relationship Type="http://schemas.openxmlformats.org/officeDocument/2006/relationships/hyperlink" Id="rId77" Target="https://github.com/TheHive-Project/Cortex" TargetMode="External" /><Relationship Type="http://schemas.openxmlformats.org/officeDocument/2006/relationships/hyperlink" Id="rId98" Target="https://grr-doc.readthedocs.io/" TargetMode="External" /><Relationship Type="http://schemas.openxmlformats.org/officeDocument/2006/relationships/hyperlink" Id="rId102" Target="https://opensearch.org/" TargetMode="External" /><Relationship Type="http://schemas.openxmlformats.org/officeDocument/2006/relationships/hyperlink" Id="rId100" Target="https://shuffler.io/" TargetMode="External" /><Relationship Type="http://schemas.openxmlformats.org/officeDocument/2006/relationships/hyperlink" Id="rId75" Target="https://thehive-project.org/" TargetMode="External" /><Relationship Type="http://schemas.openxmlformats.org/officeDocument/2006/relationships/hyperlink" Id="rId88" Target="https://timesketch.org/" TargetMode="External" /><Relationship Type="http://schemas.openxmlformats.org/officeDocument/2006/relationships/hyperlink" Id="rId84" Target="https://volatility3.readthedocs.io/" TargetMode="External" /><Relationship Type="http://schemas.openxmlformats.org/officeDocument/2006/relationships/hyperlink" Id="rId80" Target="https://wazuh.com/" TargetMode="External" /><Relationship Type="http://schemas.openxmlformats.org/officeDocument/2006/relationships/hyperlink" Id="rId86" Target="https://www.autopsy.com/" TargetMode="External" /><Relationship Type="http://schemas.openxmlformats.org/officeDocument/2006/relationships/hyperlink" Id="rId127" Target="https://www.nist.gov/cyberframework" TargetMode="External" /><Relationship Type="http://schemas.openxmlformats.org/officeDocument/2006/relationships/hyperlink" Id="rId92" Target="https://zeek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cs.velociraptor.app/" TargetMode="External" /><Relationship Type="http://schemas.openxmlformats.org/officeDocument/2006/relationships/hyperlink" Id="rId77" Target="https://github.com/TheHive-Project/Cortex" TargetMode="External" /><Relationship Type="http://schemas.openxmlformats.org/officeDocument/2006/relationships/hyperlink" Id="rId98" Target="https://grr-doc.readthedocs.io/" TargetMode="External" /><Relationship Type="http://schemas.openxmlformats.org/officeDocument/2006/relationships/hyperlink" Id="rId102" Target="https://opensearch.org/" TargetMode="External" /><Relationship Type="http://schemas.openxmlformats.org/officeDocument/2006/relationships/hyperlink" Id="rId100" Target="https://shuffler.io/" TargetMode="External" /><Relationship Type="http://schemas.openxmlformats.org/officeDocument/2006/relationships/hyperlink" Id="rId75" Target="https://thehive-project.org/" TargetMode="External" /><Relationship Type="http://schemas.openxmlformats.org/officeDocument/2006/relationships/hyperlink" Id="rId88" Target="https://timesketch.org/" TargetMode="External" /><Relationship Type="http://schemas.openxmlformats.org/officeDocument/2006/relationships/hyperlink" Id="rId84" Target="https://volatility3.readthedocs.io/" TargetMode="External" /><Relationship Type="http://schemas.openxmlformats.org/officeDocument/2006/relationships/hyperlink" Id="rId80" Target="https://wazuh.com/" TargetMode="External" /><Relationship Type="http://schemas.openxmlformats.org/officeDocument/2006/relationships/hyperlink" Id="rId86" Target="https://www.autopsy.com/" TargetMode="External" /><Relationship Type="http://schemas.openxmlformats.org/officeDocument/2006/relationships/hyperlink" Id="rId127" Target="https://www.nist.gov/cyberframework" TargetMode="External" /><Relationship Type="http://schemas.openxmlformats.org/officeDocument/2006/relationships/hyperlink" Id="rId92" Target="https://zeek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2026-07-31T12:43:28Z</dcterms:created>
  <dcterms:modified xsi:type="dcterms:W3CDTF">2026-07-31T12:43:28Z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