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30 — Enterprise GRC Integration &amp; Crosswalks Controlled Implementation</w:t>
      </w:r>
    </w:p>
    <w:p>
      <w:pPr>
        <w:spacing w:after="120"/>
      </w:pPr>
      <w:r>
        <w:t>**Language:** English</w:t>
      </w:r>
    </w:p>
    <w:p>
      <w:pPr>
        <w:spacing w:after="120"/>
      </w:pPr>
      <w:r>
        <w:t>**Controlled boundary:** This manual is an original integration methodology over the published GRC manual series. It does not create legal obligations, replace authoritative source material, or imply equivalence between distinct laws, standards, frameworks, contracts, or control systems.</w:t>
      </w:r>
    </w:p>
    <w:p>
      <w:pPr>
        <w:pStyle w:val="Heading2"/>
      </w:pPr>
      <w:r>
        <w:t>Chapter 01 — Purpose, scope, and non-equivalence principle</w:t>
      </w:r>
    </w:p>
    <w:p>
      <w:pPr>
        <w:spacing w:after="120"/>
      </w:pPr>
      <w:r>
        <w:t>Establish the enterprise crosswalk as a governed decision-support layer. Every mapping must preserve differences in purpose, scope, applicability, terminology, assurance level, and legal effect rather than collapsing similar topics into false equivalence.</w:t>
      </w:r>
    </w:p>
    <w:p>
      <w:pPr>
        <w:pStyle w:val="Heading2"/>
      </w:pPr>
      <w:r>
        <w:t>Chapter 02 — Source/version registry and change control</w:t>
      </w:r>
    </w:p>
    <w:p>
      <w:pPr>
        <w:spacing w:after="120"/>
      </w:pPr>
      <w:r>
        <w:t>Maintain a source registry for every mapped law, standard, framework, manual, contract, and guidance document. Record version, effective date, source status, owner, validation date, and change-watch trigger before any mapping is approved.</w:t>
      </w:r>
    </w:p>
    <w:p>
      <w:pPr>
        <w:pStyle w:val="Heading2"/>
      </w:pPr>
      <w:r>
        <w:t>Chapter 03 — Enterprise obligation object model</w:t>
      </w:r>
    </w:p>
    <w:p>
      <w:pPr>
        <w:spacing w:after="120"/>
      </w:pPr>
      <w:r>
        <w:t>Represent obligations as discrete records containing source, citation/reference, applicability, responsible entity, required outcome, timing, evidence expectation, and interpretation notes. Do not merge distinct obligations merely because they share a control theme.</w:t>
      </w:r>
    </w:p>
    <w:p>
      <w:pPr>
        <w:pStyle w:val="Heading2"/>
      </w:pPr>
      <w:r>
        <w:t>Chapter 04 — Canonical control object model</w:t>
      </w:r>
    </w:p>
    <w:p>
      <w:pPr>
        <w:spacing w:after="120"/>
      </w:pPr>
      <w:r>
        <w:t>Use a canonical control record with objective, owner, scope, frequency, procedure, evidence, test method, dependencies, exceptions, and lifecycle state. Canonical controls may support multiple obligations but do not erase the original requirement language or context.</w:t>
      </w:r>
    </w:p>
    <w:p>
      <w:pPr>
        <w:pStyle w:val="Heading2"/>
      </w:pPr>
      <w:r>
        <w:t>Chapter 05 — Risk taxonomy and risk-object model</w:t>
      </w:r>
    </w:p>
    <w:p>
      <w:pPr>
        <w:spacing w:after="120"/>
      </w:pPr>
      <w:r>
        <w:t>Normalize enterprise risk records using cause, event, impact, assets/processes, inherent risk, controls, residual risk, owner, treatment, and review trigger. Preserve source-specific risk concepts where normalization would lose meaning.</w:t>
      </w:r>
    </w:p>
    <w:p>
      <w:pPr>
        <w:pStyle w:val="Heading2"/>
      </w:pPr>
      <w:r>
        <w:t>Chapter 06 — Policy and standard hierarchy</w:t>
      </w:r>
    </w:p>
    <w:p>
      <w:pPr>
        <w:spacing w:after="120"/>
      </w:pPr>
      <w:r>
        <w:t>Map enterprise policies and standards to obligations and controls using explicit governance relationships. Distinguish policy commitments, mandatory internal standards, implementation procedures, and external source requirements.</w:t>
      </w:r>
    </w:p>
    <w:p>
      <w:pPr>
        <w:pStyle w:val="Heading2"/>
      </w:pPr>
      <w:r>
        <w:t>Chapter 07 — Procedure and operating-control relationships</w:t>
      </w:r>
    </w:p>
    <w:p>
      <w:pPr>
        <w:spacing w:after="120"/>
      </w:pPr>
      <w:r>
        <w:t>Link procedures to the controls they operationalize and identify execution owner, frequency, inputs, outputs, evidence, and exception route. A documented procedure is not evidence that the control operated effectively.</w:t>
      </w:r>
    </w:p>
    <w:p>
      <w:pPr>
        <w:pStyle w:val="Heading2"/>
      </w:pPr>
      <w:r>
        <w:t>Chapter 08 — Evidence-object architecture</w:t>
      </w:r>
    </w:p>
    <w:p>
      <w:pPr>
        <w:spacing w:after="120"/>
      </w:pPr>
      <w:r>
        <w:t>Create evidence objects with owner, source system, period, collection method, integrity attributes, retention rule, access restriction, and related controls. Evidence reuse must be justified by scope and period rather than assumed.</w:t>
      </w:r>
    </w:p>
    <w:p>
      <w:pPr>
        <w:pStyle w:val="Heading2"/>
      </w:pPr>
      <w:r>
        <w:t>Chapter 09 — Test and assurance-object architecture</w:t>
      </w:r>
    </w:p>
    <w:p>
      <w:pPr>
        <w:spacing w:after="120"/>
      </w:pPr>
      <w:r>
        <w:t>Represent tests independently from controls, with population, sample, procedure, criteria, tester, result, exceptions, and assurance level. Reused testing must preserve the original test objective and limitations.</w:t>
      </w:r>
    </w:p>
    <w:p>
      <w:pPr>
        <w:pStyle w:val="Heading2"/>
      </w:pPr>
      <w:r>
        <w:t>Chapter 10 — Exception and risk-acceptance objects</w:t>
      </w:r>
    </w:p>
    <w:p>
      <w:pPr>
        <w:spacing w:after="120"/>
      </w:pPr>
      <w:r>
        <w:t>Record exceptions with affected obligation/control, rationale, compensating measures, risk evaluation, approval authority, start/end date, monitoring, and renewal trigger. No crosswalk may silently convert an exception into compliance.</w:t>
      </w:r>
    </w:p>
    <w:p>
      <w:pPr>
        <w:pStyle w:val="Heading2"/>
      </w:pPr>
      <w:r>
        <w:t>Chapter 11 — Finding, issue, and remediation objects</w:t>
      </w:r>
    </w:p>
    <w:p>
      <w:pPr>
        <w:spacing w:after="120"/>
      </w:pPr>
      <w:r>
        <w:t>Normalize findings and issues while preserving origin, severity method, affected source, evidence, root cause, remediation owner, target date, validation criteria, and closure evidence. Different severity scales should be mapped, not overwritten.</w:t>
      </w:r>
    </w:p>
    <w:p>
      <w:pPr>
        <w:pStyle w:val="Heading2"/>
      </w:pPr>
      <w:r>
        <w:t>Chapter 12 — Ownership, accountability, and RACI relationships</w:t>
      </w:r>
    </w:p>
    <w:p>
      <w:pPr>
        <w:spacing w:after="120"/>
      </w:pPr>
      <w:r>
        <w:t>Assign accountable owners for sources, mappings, controls, evidence, tests, risks, and issues. RACI relationships must distinguish accountability from execution, review, consultation, and approval.</w:t>
      </w:r>
    </w:p>
    <w:p>
      <w:pPr>
        <w:pStyle w:val="Heading2"/>
      </w:pPr>
      <w:r>
        <w:t>Chapter 13 — Entity, jurisdiction, product, and service applicability</w:t>
      </w:r>
    </w:p>
    <w:p>
      <w:pPr>
        <w:spacing w:after="120"/>
      </w:pPr>
      <w:r>
        <w:t>Apply mappings only after defining legal entity, jurisdiction, business unit, product, service, customer type, processing context, and regulatory perimeter. Enterprise-wide labels must not override narrower applicability conditions.</w:t>
      </w:r>
    </w:p>
    <w:p>
      <w:pPr>
        <w:pStyle w:val="Heading2"/>
      </w:pPr>
      <w:r>
        <w:t>Chapter 14 — Asset, process, data, supplier, and technology relationships</w:t>
      </w:r>
    </w:p>
    <w:p>
      <w:pPr>
        <w:spacing w:after="120"/>
      </w:pPr>
      <w:r>
        <w:t>Connect obligations and controls to assets, processes, data classes, suppliers, applications, infrastructure, AI systems, and operational technology where relevant. Relationship records should support impact analysis when scope changes.</w:t>
      </w:r>
    </w:p>
    <w:p>
      <w:pPr>
        <w:pStyle w:val="Heading2"/>
      </w:pPr>
      <w:r>
        <w:t>Chapter 15 — One-to-one, one-to-many, and many-to-many mappings</w:t>
      </w:r>
    </w:p>
    <w:p>
      <w:pPr>
        <w:spacing w:after="120"/>
      </w:pPr>
      <w:r>
        <w:t>Support multiple cardinalities explicitly. A single source requirement may require several controls, and one enterprise control may support multiple source requirements, but coverage must be assessed individually for each direction.</w:t>
      </w:r>
    </w:p>
    <w:p>
      <w:pPr>
        <w:pStyle w:val="Heading2"/>
      </w:pPr>
      <w:r>
        <w:t>Chapter 16 — Directionality and asymmetric mappings</w:t>
      </w:r>
    </w:p>
    <w:p>
      <w:pPr>
        <w:spacing w:after="120"/>
      </w:pPr>
      <w:r>
        <w:t>Record source-to-target direction for every crosswalk. A mapping from requirement A to control B does not prove the reverse mapping, and a broader control may only partially satisfy a narrower obligation or vice versa.</w:t>
      </w:r>
    </w:p>
    <w:p>
      <w:pPr>
        <w:pStyle w:val="Heading2"/>
      </w:pPr>
      <w:r>
        <w:t>Chapter 17 — Confidence, rationale, and mapping limitations</w:t>
      </w:r>
    </w:p>
    <w:p>
      <w:pPr>
        <w:spacing w:after="120"/>
      </w:pPr>
      <w:r>
        <w:t>Assign mapping confidence using documented criteria and provide a rationale, known assumptions, reviewer, and limitations. Low-confidence mappings require targeted validation before reuse in audit, regulatory, or certification contexts.</w:t>
      </w:r>
    </w:p>
    <w:p>
      <w:pPr>
        <w:pStyle w:val="Heading2"/>
      </w:pPr>
      <w:r>
        <w:t>Chapter 18 — Partial coverage and gap representation</w:t>
      </w:r>
    </w:p>
    <w:p>
      <w:pPr>
        <w:spacing w:after="120"/>
      </w:pPr>
      <w:r>
        <w:t>Use explicit coverage states such as full, substantial, partial, supporting, not applicable, and no coverage. Record uncovered elements and remediation needs instead of forcing a binary mapped/not-mapped result.</w:t>
      </w:r>
    </w:p>
    <w:p>
      <w:pPr>
        <w:pStyle w:val="Heading2"/>
      </w:pPr>
      <w:r>
        <w:t>Chapter 19 — Legal obligation vs guidance vs voluntary standard separation</w:t>
      </w:r>
    </w:p>
    <w:p>
      <w:pPr>
        <w:spacing w:after="120"/>
      </w:pPr>
      <w:r>
        <w:t>Classify each source layer so legal duties, regulator rules, contractual commitments, voluntary frameworks, standards, and implementation guidance remain distinguishable. Crosswalk similarity must never be presented as equivalent legal authority.</w:t>
      </w:r>
    </w:p>
    <w:p>
      <w:pPr>
        <w:pStyle w:val="Heading2"/>
      </w:pPr>
      <w:r>
        <w:t>Chapter 20 — Control inheritance and shared-control governance</w:t>
      </w:r>
    </w:p>
    <w:p>
      <w:pPr>
        <w:spacing w:after="120"/>
      </w:pPr>
      <w:r>
        <w:t>Document inherited and shared controls with provider, consumer, responsibility boundary, evidence source, assurance method, and dependency risk. Inheritance requires validation that the upstream control scope actually covers the relying environment.</w:t>
      </w:r>
    </w:p>
    <w:p>
      <w:pPr>
        <w:pStyle w:val="Heading2"/>
      </w:pPr>
      <w:r>
        <w:t>Chapter 21 — Evidence reuse without false sufficiency claims</w:t>
      </w:r>
    </w:p>
    <w:p>
      <w:pPr>
        <w:spacing w:after="120"/>
      </w:pPr>
      <w:r>
        <w:t>Permit evidence reuse only when control objective, scope, system, time period, population, and assurance need align. Reused artifacts must retain provenance and cannot be treated as sufficient solely because another framework accepted them.</w:t>
      </w:r>
    </w:p>
    <w:p>
      <w:pPr>
        <w:pStyle w:val="Heading2"/>
      </w:pPr>
      <w:r>
        <w:t>Chapter 22 — Testing reuse and assurance boundaries</w:t>
      </w:r>
    </w:p>
    <w:p>
      <w:pPr>
        <w:spacing w:after="120"/>
      </w:pPr>
      <w:r>
        <w:t>Reuse testing only where procedures, populations, timing, criteria, and assurance objectives are compatible. Record any supplemental testing needed to close differences between source regimes.</w:t>
      </w:r>
    </w:p>
    <w:p>
      <w:pPr>
        <w:pStyle w:val="Heading2"/>
      </w:pPr>
      <w:r>
        <w:t>Chapter 23 — Cross-framework issue normalization</w:t>
      </w:r>
    </w:p>
    <w:p>
      <w:pPr>
        <w:spacing w:after="120"/>
      </w:pPr>
      <w:r>
        <w:t>Use a common issue record for enterprise tracking while retaining each source framework's affected requirement and severity context. Consolidated remediation may close multiple issues only after source-specific closure criteria are met.</w:t>
      </w:r>
    </w:p>
    <w:p>
      <w:pPr>
        <w:pStyle w:val="Heading2"/>
      </w:pPr>
      <w:r>
        <w:t>Chapter 24 — Regulatory-change impact analysis</w:t>
      </w:r>
    </w:p>
    <w:p>
      <w:pPr>
        <w:spacing w:after="120"/>
      </w:pPr>
      <w:r>
        <w:t>When a source changes, identify affected obligations, mappings, controls, policies, evidence, tests, systems, suppliers, metrics, and open issues. Changes must trigger targeted revalidation rather than automatic inheritance of prior mappings.</w:t>
      </w:r>
    </w:p>
    <w:p>
      <w:pPr>
        <w:pStyle w:val="Heading2"/>
      </w:pPr>
      <w:r>
        <w:t>Chapter 25 — Framework/version migration management</w:t>
      </w:r>
    </w:p>
    <w:p>
      <w:pPr>
        <w:spacing w:after="120"/>
      </w:pPr>
      <w:r>
        <w:t>Treat version migration as a controlled change project. Maintain old-to-new references, additions, removals, changed intent, mapping confidence, implementation gaps, transition deadlines, and evidence of approval.</w:t>
      </w:r>
    </w:p>
    <w:p>
      <w:pPr>
        <w:pStyle w:val="Heading2"/>
      </w:pPr>
      <w:r>
        <w:t>Chapter 26 — Metrics, aggregation, and reporting semantics</w:t>
      </w:r>
    </w:p>
    <w:p>
      <w:pPr>
        <w:spacing w:after="120"/>
      </w:pPr>
      <w:r>
        <w:t>Define metric formulas, units, populations, time periods, thresholds, owners, and data sources. Aggregated compliance or control-coverage percentages must disclose exclusions, assumptions, and weighting so dashboards are not misleading.</w:t>
      </w:r>
    </w:p>
    <w:p>
      <w:pPr>
        <w:pStyle w:val="Heading2"/>
      </w:pPr>
      <w:r>
        <w:t>Chapter 27 — Executive/board reporting and decision support</w:t>
      </w:r>
    </w:p>
    <w:p>
      <w:pPr>
        <w:spacing w:after="120"/>
      </w:pPr>
      <w:r>
        <w:t>Translate crosswalk results into decision-relevant themes: material obligations, control concentration, gaps, risk acceptance, remediation exposure, regulatory change, and assurance status. Avoid presenting mapping counts as proof of compliance.</w:t>
      </w:r>
    </w:p>
    <w:p>
      <w:pPr>
        <w:pStyle w:val="Heading2"/>
      </w:pPr>
      <w:r>
        <w:t>Chapter 28 — Audit/regulator/customer evidence packages</w:t>
      </w:r>
    </w:p>
    <w:p>
      <w:pPr>
        <w:spacing w:after="120"/>
      </w:pPr>
      <w:r>
        <w:t>Generate evidence packages that preserve source requirement, mapped controls, procedures, evidence, testing, exceptions, findings, and provenance. Tailor packages to the requesting authority or assurance objective rather than providing undifferentiated evidence dumps.</w:t>
      </w:r>
    </w:p>
    <w:p>
      <w:pPr>
        <w:pStyle w:val="Heading2"/>
      </w:pPr>
      <w:r>
        <w:t>Chapter 29 — Data quality and reconciliation controls</w:t>
      </w:r>
    </w:p>
    <w:p>
      <w:pPr>
        <w:spacing w:after="120"/>
      </w:pPr>
      <w:r>
        <w:t>Validate referential integrity, duplicate records, orphaned mappings, stale versions, missing owners, unsupported confidence scores, expired exceptions, and inconsistent statuses. Reconciliation defects must be logged and corrected before reporting.</w:t>
      </w:r>
    </w:p>
    <w:p>
      <w:pPr>
        <w:pStyle w:val="Heading2"/>
      </w:pPr>
      <w:r>
        <w:t>Chapter 30 — Governance of crosswalk approvals and changes</w:t>
      </w:r>
    </w:p>
    <w:p>
      <w:pPr>
        <w:spacing w:after="120"/>
      </w:pPr>
      <w:r>
        <w:t>Require defined mapping authors, independent reviewers, approval criteria, change history, conflict resolution, segregation of duties, and reapproval triggers. Material mapping changes must be auditable and reversible.</w:t>
      </w:r>
    </w:p>
    <w:p>
      <w:pPr>
        <w:pStyle w:val="Heading2"/>
      </w:pPr>
      <w:r>
        <w:t>Chapter 31 — Localization, accessibility, provenance, and audit trail</w:t>
      </w:r>
    </w:p>
    <w:p>
      <w:pPr>
        <w:spacing w:after="120"/>
      </w:pPr>
      <w:r>
        <w:t>Maintain EN, es-419, and pt-BR structural parity while preserving untranslated source identifiers where necessary. Publication artifacts must retain accessibility checks, exact-build provenance, hashes, reviewer evidence, and repository history.</w:t>
      </w:r>
    </w:p>
    <w:p>
      <w:pPr>
        <w:pStyle w:val="Heading2"/>
      </w:pPr>
      <w:r>
        <w:t>Chapter 32 — Release roadmap and series-wide maintenance model</w:t>
      </w:r>
    </w:p>
    <w:p>
      <w:pPr>
        <w:spacing w:after="120"/>
      </w:pPr>
      <w:r>
        <w:t>Operate Manual 30 as a living integration layer over the published series. New manuals, source revisions, jurisdiction changes, and control-model changes must enter through source verification, impact analysis, mapping review, QA, provenance, and sequential release governance.</w:t>
      </w:r>
    </w:p>
    <w:p>
      <w:pPr>
        <w:pStyle w:val="Heading2"/>
      </w:pPr>
      <w:r>
        <w:t>Minimum crosswalk record</w:t>
      </w:r>
    </w:p>
    <w:p>
      <w:pPr>
        <w:spacing w:after="120"/>
      </w:pPr>
      <w:r>
        <w:t>Every approved mapping must record source and version, source object, target and version, target object, direction, rationale, confidence, coverage, gaps, non-equivalence note, owner, reviewer/test method, evidence dependencies, and revalidation trigger.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