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rPr>
          <w:bCs/>
          <w:b/>
        </w:rPr>
        <w:t xml:space="preserve">Layer</w:t>
      </w:r>
      <w:r>
        <w:t xml:space="preserve"> </w:t>
      </w:r>
      <w:r>
        <w:t xml:space="preserve">|</w:t>
      </w:r>
    </w:p>
    <w:p>
      <w:pPr>
        <w:pStyle w:val="BodyText"/>
      </w:pPr>
      <w:r>
        <w:t xml:space="preserve">|… |</w:t>
      </w:r>
      <w:r>
        <w:t xml:space="preserve"> </w:t>
      </w:r>
      <w:r>
        <w:t xml:space="preserve">| Control | Resultado defensivo amplio, como inventario de activos o respuesta a incidentes</w:t>
      </w:r>
      <w:r>
        <w:t xml:space="preserve"> </w:t>
      </w:r>
      <w:r>
        <w:t xml:space="preserve">← Salvaguardia | Acción focalizada que puede ser asignada, implementada y medida</w:t>
      </w:r>
      <w:r>
        <w:t xml:space="preserve"> </w:t>
      </w:r>
      <w:r>
        <w:t xml:space="preserve">| Clase de activos |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 Grupo de Aplicación |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situación física</w:t>
            </w:r>
            <w:r>
              <w:t xml:space="preserve"> </w:t>
            </w:r>
            <w:r>
              <w:t xml:space="preserve">Silencioso**</w:t>
            </w:r>
          </w:p>
        </w:tc>
      </w:tr>
      <w:tr>
        <w:tc>
          <w:tcPr/>
          <w:p>
            <w:pPr>
              <w:pStyle w:val="Compact"/>
              <w:jc w:val="left"/>
            </w:pPr>
            <w:r>
              <w:t xml:space="preserve">IG1</w:t>
            </w:r>
          </w:p>
        </w:tc>
      </w:tr>
      <w:tr>
        <w:tc>
          <w:tcPr/>
          <w:p>
            <w:pPr>
              <w:pStyle w:val="Compact"/>
              <w:jc w:val="left"/>
            </w:pPr>
            <w:r>
              <w:t xml:space="preserve">IG2</w:t>
            </w:r>
          </w:p>
        </w:tc>
      </w:tr>
      <w:tr>
        <w:tc>
          <w:tcPr/>
          <w:p>
            <w:pPr>
              <w:pStyle w:val="Compact"/>
              <w:jc w:val="left"/>
            </w:pPr>
            <w:r>
              <w:t xml:space="preserve">IG3</w:t>
            </w:r>
          </w:p>
        </w:tc>
      </w:tr>
    </w:tbl>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rPr>
          <w:bCs/>
          <w:b/>
        </w:rPr>
        <w:t xml:space="preserve">Rol</w:t>
      </w:r>
      <w:r>
        <w:t xml:space="preserve"> </w:t>
      </w:r>
      <w:r>
        <w:t xml:space="preserve">|</w:t>
      </w:r>
      <w:r>
        <w:t xml:space="preserve"> </w:t>
      </w:r>
      <w:r>
        <w:rPr>
          <w:bCs/>
          <w:b/>
        </w:rPr>
        <w:t xml:space="preserve">Decisión o responsabilidad</w:t>
      </w:r>
    </w:p>
    <w:p>
      <w:pPr>
        <w:pStyle w:val="BodyText"/>
      </w:pPr>
      <w:r>
        <w:t xml:space="preserve">|… |</w:t>
      </w:r>
      <w:r>
        <w:t xml:space="preserve"> </w:t>
      </w:r>
      <w:r>
        <w:t xml:space="preserve">← Patrocinador ejecutivo Silencioso Dirección, tolerancia al riesgo, financiación, escalada y rendición de cuentas</w:t>
      </w:r>
      <w:r>
        <w:t xml:space="preserve"> </w:t>
      </w:r>
      <w:r>
        <w:t xml:space="preserve">Silencioso Propietario de control | Diseño de salvaguardias, alcance, procedimiento, medición, excepciones y mejora</w:t>
      </w:r>
      <w:r>
        <w:t xml:space="preserve"> </w:t>
      </w:r>
      <w:r>
        <w:t xml:space="preserve">| Asset o propietario de servicio | Inventario exacto, uso aprobado, configuración, impacto de negocios y remediación</w:t>
      </w:r>
      <w:r>
        <w:t xml:space="preserve"> </w:t>
      </w:r>
      <w:r>
        <w:t xml:space="preserve">TENAS Operaciones de seguridad | Monitoreo, alerta, investigación, respuesta y evidencia</w:t>
      </w:r>
      <w:r>
        <w:t xml:space="preserve"> </w:t>
      </w:r>
      <w:r>
        <w:t xml:space="preserve">TEN IT / Engineering | Implementación, control de cambio, parche, configuración y recuperación</w:t>
      </w:r>
      <w:r>
        <w:t xml:space="preserve"> </w:t>
      </w:r>
      <w:r>
        <w:t xml:space="preserve">TEN GRC / Analyst ANTE Mapping, evidencia, medición, hallazgos, seguimiento de la acción y reportaje |</w:t>
      </w:r>
      <w:r>
        <w:t xml:space="preserve"> </w:t>
      </w:r>
      <w:r>
        <w:t xml:space="preserve">tención Auditoría interna / evaluador</w:t>
      </w:r>
      <w:r>
        <w:t xml:space="preserve"> </w:t>
      </w:r>
      <w:r>
        <w:t xml:space="preserve">tención Servicio prestado | Controles, pruebas, incidentes, cambios y soporte de salida</w:t>
      </w:r>
    </w:p>
    <w:bookmarkEnd w:id="24"/>
    <w:bookmarkStart w:id="25"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BodyText"/>
      </w:pPr>
    </w:p>
    <w:p>
      <w:pPr>
        <w:pStyle w:val="BodyText"/>
      </w:pPr>
      <w:r>
        <w:t xml:space="preserve">Gráfico 3 CIS Estructura de medición de salvaguardias</w:t>
      </w:r>
    </w:p>
    <w:p>
      <w:pPr>
        <w:pStyle w:val="BodyText"/>
      </w:pPr>
      <w:r>
        <w:t xml:space="preserve">|** Element** Silencioso** |</w:t>
      </w:r>
      <w:r>
        <w:t xml:space="preserve"> </w:t>
      </w:r>
      <w:r>
        <w:t xml:space="preserve">|… |</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 ¿Qué condición aceptada afecta la medición?</w:t>
      </w:r>
      <w:r>
        <w:t xml:space="preserve"> </w:t>
      </w:r>
      <w:r>
        <w:t xml:space="preserve">| ¿Qué datos completos y fiables se requieren? |</w:t>
      </w:r>
      <w:r>
        <w:t xml:space="preserve"> </w:t>
      </w:r>
      <w:r>
        <w:t xml:space="preserve">¿Qué análisis se debe realizar en las entradas? |</w:t>
      </w:r>
      <w:r>
        <w:t xml:space="preserve"> </w:t>
      </w:r>
      <w:r>
        <w:t xml:space="preserve">| ¿Qué cuentas, listas, fechas, configuraciones o resultados resultan? |</w:t>
      </w:r>
      <w:r>
        <w:t xml:space="preserve"> </w:t>
      </w:r>
      <w:r>
        <w:t xml:space="preserve">TENCIÓN FORMULADA ¿Cómo se calculan e interpretan las medidas?</w:t>
      </w:r>
      <w:r>
        <w:t xml:space="preserve"> </w:t>
      </w:r>
      <w:r>
        <w:t xml:space="preserve">¿Existe un proceso documentado e incluye elementos necesarios? |</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5"/>
    <w:bookmarkStart w:id="26"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w:t>
      </w:r>
      <w:r>
        <w:t xml:space="preserve"> </w:t>
      </w:r>
      <w:r>
        <w:t xml:space="preserve">|. |</w:t>
      </w:r>
    </w:p>
    <w:bookmarkEnd w:id="26"/>
    <w:bookmarkStart w:id="27"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 Objetivo de control:** Fortalecer la empresa mediante la aplicación y medición de las salvaguardias para el inventario y el control de los activos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7"/>
    <w:bookmarkStart w:id="28"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el inventario y el control de los activos informáticos.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r>
        <w:tc>
          <w:tcPr/>
          <w:p>
            <w:pPr>
              <w:pStyle w:val="Compact"/>
              <w:jc w:val="left"/>
            </w:pPr>
            <w:r>
              <w:t xml:space="preserve">2.4</w:t>
            </w:r>
          </w:p>
        </w:tc>
      </w:tr>
      <w:tr>
        <w:tc>
          <w:tcPr/>
          <w:p>
            <w:pPr>
              <w:pStyle w:val="Compact"/>
              <w:jc w:val="left"/>
            </w:pPr>
            <w:r>
              <w:t xml:space="preserve">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tc>
      </w:tr>
      <w:tr>
        <w:tc>
          <w:tcPr/>
          <w:p>
            <w:pPr>
              <w:pStyle w:val="Compact"/>
              <w:jc w:val="left"/>
            </w:pPr>
            <w:r>
              <w:t xml:space="preserve">2.6</w:t>
            </w:r>
          </w:p>
        </w:tc>
      </w:tr>
      <w:tr>
        <w:tc>
          <w:tcPr/>
          <w:p>
            <w:pPr>
              <w:pStyle w:val="Compact"/>
              <w:jc w:val="left"/>
            </w:pPr>
            <w:r>
              <w:t xml:space="preserve">2.7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 Objetivo de control:** Fortalecer la empresa mediante la aplicación y medición de salvaguardias para la protección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3.1</w:t>
            </w:r>
          </w:p>
        </w:tc>
      </w:tr>
      <w:tr>
        <w:tc>
          <w:tcPr/>
          <w:p>
            <w:pPr>
              <w:pStyle w:val="Compact"/>
              <w:jc w:val="left"/>
            </w:pPr>
            <w:r>
              <w:t xml:space="preserve">TEN 3.2</w:t>
            </w:r>
          </w:p>
        </w:tc>
      </w:tr>
      <w:tr>
        <w:tc>
          <w:tcPr/>
          <w:p>
            <w:pPr>
              <w:pStyle w:val="Compact"/>
              <w:jc w:val="left"/>
            </w:pPr>
            <w:r>
              <w:t xml:space="preserve">3.3</w:t>
            </w:r>
          </w:p>
        </w:tc>
      </w:tr>
    </w:tbl>
    <w:p>
      <w:pPr>
        <w:pStyle w:val="BodyText"/>
      </w:pP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3.7 | Establecer y mantener un plan de clasificación de datos |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3.8 | Document Data Flows |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3.10 |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3.11 |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3.12 |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3.13 |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3.14 |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8"/>
    <w:bookmarkStart w:id="29"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configuración segura de los activos y programas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4.3 |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4.6 |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4.7 |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4.8 | Desinstalar o desactivar servicios innecesarios en activos y software de la empresa |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4.9 |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4.11 |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las cuentas.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5.1</w:t>
            </w:r>
          </w:p>
        </w:tc>
      </w:tr>
      <w:tr>
        <w:tc>
          <w:tcPr/>
          <w:p>
            <w:pPr>
              <w:pStyle w:val="Compact"/>
              <w:jc w:val="left"/>
            </w:pPr>
            <w:r>
              <w:t xml:space="preserve">TEN 5.2</w:t>
            </w:r>
          </w:p>
        </w:tc>
      </w:tr>
      <w:tr>
        <w:tc>
          <w:tcPr/>
          <w:p>
            <w:pPr>
              <w:pStyle w:val="Compact"/>
              <w:jc w:val="left"/>
            </w:pPr>
            <w:r>
              <w:t xml:space="preserve">5.3</w:t>
            </w:r>
          </w:p>
        </w:tc>
      </w:tr>
    </w:tbl>
    <w:p>
      <w:pPr>
        <w:pStyle w:val="BodyText"/>
      </w:pP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 Establecer y mantener un inventario de cuentas de servicio |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 5.6 |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9"/>
    <w:bookmarkStart w:id="30"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6.1 TEN Establezca un proceso de concesión de acceso</w:t>
            </w:r>
          </w:p>
        </w:tc>
      </w:tr>
      <w:tr>
        <w:tc>
          <w:tcPr/>
          <w:p>
            <w:pPr>
              <w:pStyle w:val="Compact"/>
              <w:jc w:val="left"/>
            </w:pPr>
            <w:r>
              <w:t xml:space="preserve">6.2</w:t>
            </w:r>
          </w:p>
        </w:tc>
      </w:tr>
      <w:tr>
        <w:tc>
          <w:tcPr/>
          <w:p>
            <w:pPr>
              <w:pStyle w:val="Compact"/>
              <w:jc w:val="left"/>
            </w:pPr>
            <w:r>
              <w:t xml:space="preserve">TEN 6.3</w:t>
            </w:r>
          </w:p>
        </w:tc>
      </w:tr>
      <w:tr>
        <w:tc>
          <w:tcPr/>
          <w:p>
            <w:pPr>
              <w:pStyle w:val="Compact"/>
              <w:jc w:val="lef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jc w:val="lef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17 - Gestión de la respuesta por incidentes</w:t>
      </w:r>
    </w:p>
    <w:p>
      <w:pPr>
        <w:pStyle w:val="BodyText"/>
      </w:pPr>
      <w:r>
        <w:rPr>
          <w:iCs/>
          <w:i/>
        </w:rPr>
        <w:t xml:space="preserve">Las 9 Salvaguardias, significado claro, enfoque de verificación y evidencia de ejemplo</w:t>
      </w:r>
      <w:r>
        <w:t xml:space="preserve">.</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width:6.15in;height:3.12625in</w:t>
      </w:r>
      <w:r>
        <w:t xml:space="preserve">”</w:t>
      </w:r>
      <w:r>
        <w:t xml:space="preserve"> </w:t>
      </w:r>
      <w:r>
        <w:t xml:space="preserve">alt=</w:t>
      </w:r>
      <w:r>
        <w:t xml:space="preserve">“</w:t>
      </w:r>
      <w:r>
        <w:t xml:space="preserve">Los roles preparados, reportando, comunicación, ejercicios y reseñas reducen el impacto del incidente.</w:t>
      </w:r>
      <w:r>
        <w:t xml:space="preserve">”</w:t>
      </w:r>
      <w:r>
        <w:t xml:space="preserve"> </w:t>
      </w:r>
      <w:r>
        <w:t xml:space="preserve">/</w:t>
      </w:r>
    </w:p>
    <w:p>
      <w:pPr>
        <w:pStyle w:val="BodyText"/>
      </w:pPr>
      <w:r>
        <w:t xml:space="preserve">Gráfico 9. Preparación para respuesta a incidentes</w:t>
      </w:r>
    </w:p>
    <w:p>
      <w:pPr>
        <w:pStyle w:val="BodyText"/>
      </w:pPr>
      <w:r>
        <w:t xml:space="preserve">** Objetivo de control:** Fortalecer la empresa mediante la aplicación y medición de salvaguardias para la gestión de la respuesta a incidentes.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17.1</w:t>
            </w:r>
          </w:p>
        </w:tc>
      </w:tr>
      <w:tr>
        <w:tc>
          <w:tcPr/>
          <w:p>
            <w:pPr>
              <w:pStyle w:val="Compact"/>
              <w:jc w:val="left"/>
            </w:pPr>
            <w:r>
              <w:t xml:space="preserve">17.2</w:t>
            </w:r>
          </w:p>
        </w:tc>
      </w:tr>
      <w:tr>
        <w:tc>
          <w:tcPr/>
          <w:p>
            <w:pPr>
              <w:pStyle w:val="Compact"/>
              <w:jc w:val="left"/>
            </w:pPr>
            <w:r>
              <w:t xml:space="preserve">17.3</w:t>
            </w:r>
          </w:p>
        </w:tc>
      </w:tr>
      <w:tr>
        <w:tc>
          <w:tcPr/>
          <w:p>
            <w:pPr>
              <w:pStyle w:val="Compact"/>
              <w:jc w:val="left"/>
            </w:pPr>
            <w:r>
              <w:t xml:space="preserve">TEN 17.4</w:t>
            </w:r>
          </w:p>
        </w:tc>
      </w:tr>
      <w:tr>
        <w:tc>
          <w:tcPr/>
          <w:p>
            <w:pPr>
              <w:pStyle w:val="Compact"/>
              <w:jc w:val="left"/>
            </w:pPr>
            <w:r>
              <w:t xml:space="preserve">TEN 17.5</w:t>
            </w:r>
          </w:p>
        </w:tc>
      </w:tr>
    </w:tbl>
    <w:p>
      <w:pPr>
        <w:pStyle w:val="BodyText"/>
      </w:pPr>
      <w:r>
        <w:t xml:space="preserve">TEN 17.6 ANTERIENTE Definir los mecanismos de comunicación durante la respuesta de incidentes Poner en marcha un proceso repetible, de propiedad o control técnico para definir mecanismos de comunicación durante la respuesta de incidentes, a continuación, verificar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17.7 | Conduct Routine Incident Response Ejercicios Ponga en marcha un proceso repetible, de propiedad o control técnico para realizar ejercicios de respuesta de incidentes de rutina, a continuación, verifique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17.8 | Conducir Reseñas posteriores a incidentes Poner en marcha un proceso repetible, de propiedad o control técnico para llevar a cabo revisiones post-incidente,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17.9 | Establecer y Mantener Umbral de Incidentes de Seguridad | Poner en marcha un proceso repetible, propiedad o control técnico para establecer y mantener Umbrales de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63" w:name="control-18-penetration-testing"/>
    <w:p>
      <w:pPr>
        <w:pStyle w:val="Heading1"/>
      </w:pPr>
      <w:r>
        <w:t xml:space="preserve">23. Control 18 — Penetration Testing</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las pruebas de penetración.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18.1</w:t>
            </w:r>
          </w:p>
        </w:tc>
      </w:tr>
      <w:tr>
        <w:tc>
          <w:tcPr/>
          <w:p>
            <w:pPr>
              <w:pStyle w:val="Compact"/>
              <w:jc w:val="left"/>
            </w:pPr>
            <w:r>
              <w:t xml:space="preserve">18.2</w:t>
            </w:r>
          </w:p>
        </w:tc>
      </w:tr>
      <w:tr>
        <w:tc>
          <w:tcPr/>
          <w:p>
            <w:pPr>
              <w:pStyle w:val="Compact"/>
              <w:jc w:val="left"/>
            </w:pPr>
            <w:r>
              <w:t xml:space="preserve">18.3 ← Búsquedas de Penetración Remediar Ponga un proceso repetible, de propiedad o control técnico en su lugar para remediar Penetration Test Findings,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18.4 Poner en marcha un proceso repetible, de propiedad o control técnico para validar las medidas de seguridad, verificar la cobertura y las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10"/>
        </w:numPr>
        <w:pStyle w:val="Compact"/>
      </w:pPr>
      <w:r>
        <w:t xml:space="preserve">Herramientas de código abierto</w:t>
      </w:r>
    </w:p>
    <w:p>
      <w:pPr>
        <w:numPr>
          <w:ilvl w:val="0"/>
          <w:numId w:val="1011"/>
        </w:numPr>
        <w:pStyle w:val="Compact"/>
      </w:pPr>
      <w:r>
        <w:t xml:space="preserve">Enlaces oficiales, inicios rápidos seguros, pruebas y limitaciones.*</w:t>
      </w:r>
    </w:p>
    <w:p>
      <w:pPr>
        <w:pStyle w:val="FirstParagraph"/>
      </w:pPr>
      <w:r>
        <w:rPr>
          <w:bCs/>
          <w:b/>
        </w:rPr>
        <w:t xml:space="preserve">Herramienta</w:t>
      </w:r>
      <w:r>
        <w:t xml:space="preserve"> </w:t>
      </w:r>
      <w:r>
        <w:t xml:space="preserve">|**</w:t>
      </w:r>
    </w:p>
    <w:p>
      <w:pPr>
        <w:pStyle w:val="BodyText"/>
      </w:pPr>
      <w:r>
        <w:t xml:space="preserve">|——————————————————– La vida—————— |</w:t>
      </w:r>
      <w:r>
        <w:t xml:space="preserve"> </w:t>
      </w:r>
      <w:r>
        <w:t xml:space="preserve">TEN CIS Controls Navigator TEN Seleccionar IGs y explorar asignaciones oficiales TEN TODO |</w:t>
      </w:r>
      <w:r>
        <w:t xml:space="preserve"> </w:t>
      </w:r>
      <w:r>
        <w:t xml:space="preserve">Evaluación de Controles de CIS Especificación ← Orientación oficial de medición</w:t>
      </w:r>
      <w:r>
        <w:t xml:space="preserve"> </w:t>
      </w:r>
      <w:r>
        <w:t xml:space="preserve">| CIS-CAT Lite ← Selected CIS Evaluación de parámetros latitud 4 |</w:t>
      </w:r>
      <w:r>
        <w:t xml:space="preserve"> </w:t>
      </w:r>
      <w:r>
        <w:t xml:space="preserve">| CISO Asistente | Controles, riesgos, pruebas y hallazgos</w:t>
      </w:r>
      <w:r>
        <w:t xml:space="preserve"> </w:t>
      </w:r>
      <w:r>
        <w:t xml:space="preserve">tención Wazuh ← Endpoint monitoring, SIEM, FIM, y alertas</w:t>
      </w:r>
      <w:r>
        <w:t xml:space="preserve"> </w:t>
      </w:r>
      <w:r>
        <w:t xml:space="preserve">TEN Osquery TENRI Asset, software, cuenta y consultas de configuración</w:t>
      </w:r>
      <w:r>
        <w:t xml:space="preserve"> </w:t>
      </w:r>
      <w:r>
        <w:t xml:space="preserve">TEN OpenSCAP | Evaluación de la configuración segura de Linux TEN 4, 7 |</w:t>
      </w:r>
      <w:r>
        <w:t xml:space="preserve"> </w:t>
      </w:r>
      <w:r>
        <w:t xml:space="preserve">| Lynis para la seguridad de Linux auditando | 4, 7 |</w:t>
      </w:r>
      <w:r>
        <w:t xml:space="preserve"> </w:t>
      </w:r>
      <w:r>
        <w:t xml:space="preserve">| Nmap | Autorizado activo y descubrimiento de servicios | 1, 12</w:t>
      </w:r>
      <w:r>
        <w:t xml:space="preserve"> </w:t>
      </w:r>
      <w:r>
        <w:t xml:space="preserve">| Greenbone Community Edition | Vulnerability assessment | 7</w:t>
      </w:r>
      <w:r>
        <w:t xml:space="preserve"> </w:t>
      </w:r>
      <w:r>
        <w:t xml:space="preserve">tención Trivy Silencioso Repositorios, imágenes, dependencias, secretos, y IaC Silencioso 2, 4, 7, 16 |</w:t>
      </w:r>
      <w:r>
        <w:t xml:space="preserve"> </w:t>
      </w:r>
      <w:r>
        <w:t xml:space="preserve">| OWASP ZAP | Pruebas autorizadas de seguridad web</w:t>
      </w:r>
      <w:r>
        <w:t xml:space="preserve"> </w:t>
      </w:r>
      <w:r>
        <w:t xml:space="preserve">| Suricata | Red detección de intrusiones y visibilidad de tráfico | 8, 13, 17 |</w:t>
      </w:r>
      <w:r>
        <w:t xml:space="preserve"> </w:t>
      </w:r>
      <w:r>
        <w:t xml:space="preserve">TENER Keycloak | Identidad, roles, MFA, sesiones y eventos</w:t>
      </w:r>
      <w:r>
        <w:t xml:space="preserve"> </w:t>
      </w:r>
      <w:r>
        <w:t xml:space="preserve">← DefectoDojo tóxico Encontrar la ingesta, la deduplicación, la remediación y la retesta | 7, 16, 18</w:t>
      </w:r>
      <w:r>
        <w:t xml:space="preserve"> </w:t>
      </w:r>
      <w:r>
        <w:t xml:space="preserve">| Velociraptor | Visibilidad de endpoint y respuesta a los incidentes</w:t>
      </w:r>
    </w:p>
    <w:p>
      <w:pPr>
        <w:numPr>
          <w:ilvl w:val="0"/>
          <w:numId w:val="1012"/>
        </w:numPr>
        <w:pStyle w:val="Compact"/>
      </w:pPr>
      <w:r>
        <w:t xml:space="preserve">Limitación crítica* Una herramienta puede apoyar una o más Salvaguardias, pero no puede elegir el IG de la organización, definir la tolerancia al riesgo, garantizar la cobertura completa, reemplazar el procedimiento y la revisión humana, autorizar pruebas de penetración, o probar el cumplimiento de otro marco por sí mismo. |</w:t>
      </w:r>
      <w:r>
        <w:t xml:space="preserve"> </w:t>
      </w:r>
      <w:r>
        <w:t xml:space="preserve">|. |</w:t>
      </w:r>
    </w:p>
    <w:bookmarkStart w:id="38" w:name="cis-controls-navigator"/>
    <w:p>
      <w:pPr>
        <w:pStyle w:val="Heading2"/>
      </w:pPr>
      <w:r>
        <w:t xml:space="preserve">24.1 CIS Controls Navigator</w:t>
      </w:r>
    </w:p>
    <w:p>
      <w:pPr>
        <w:pStyle w:val="FirstParagraph"/>
      </w:pPr>
      <w:r>
        <w:t xml:space="preserve">Propósito: Seleccione IGs y explore mapas oficiales. Proyecto oficial: [ejecutado]CIS Controles Navigator efectuado/u fiel](https://www.cisecurity.org/controls/cis-controls-navigator)</w:t>
      </w:r>
    </w:p>
    <w:p>
      <w:pPr>
        <w:pStyle w:val="BodyText"/>
      </w:pPr>
      <w:r>
        <w:t xml:space="preserve">Inicio rápido seguro: Elija v8.1, seleccione un grupo de implementación y mapeo, revise salvaguardias, luego exporte la selección autorizada.</w:t>
      </w:r>
    </w:p>
    <w:p>
      <w:pPr>
        <w:pStyle w:val="BodyText"/>
      </w:pPr>
      <w:r>
        <w:t xml:space="preserve">Pruebas: alcance aprobado, versión, configuración, cobertura, datos fuente, resultados, examen humano, excepción, remediación y retest. Proteger el acceso administrativo y los datos recogidos.</w:t>
      </w:r>
    </w:p>
    <w:bookmarkEnd w:id="38"/>
    <w:bookmarkStart w:id="40" w:name="cis-controls-assessment-specification"/>
    <w:p>
      <w:pPr>
        <w:pStyle w:val="Heading2"/>
      </w:pPr>
      <w:r>
        <w:t xml:space="preserve">24.2 CIS Controls Assessment Specification</w:t>
      </w:r>
    </w:p>
    <w:p>
      <w:pPr>
        <w:pStyle w:val="FirstParagraph"/>
      </w:pPr>
      <w:r>
        <w:t xml:space="preserve">Objetivo: Orientación oficial de medición. Proyecto oficial: [Seguido]</w:t>
      </w:r>
      <w:r>
        <w:t xml:space="preserve"> </w:t>
      </w:r>
      <w:hyperlink r:id="rId39">
        <w:r>
          <w:rPr>
            <w:rStyle w:val="Hyperlink"/>
          </w:rPr>
          <w:t xml:space="preserve">Según datos</w:t>
        </w:r>
      </w:hyperlink>
    </w:p>
    <w:p>
      <w:pPr>
        <w:pStyle w:val="BodyText"/>
      </w:pPr>
      <w:r>
        <w:t xml:space="preserve">Inicio rápido seguro: Abra una Salvaguardia, identifique los insumos y las suposiciones, siga las operaciones, calcule las medidas y revise el procedimiento de documentos.</w:t>
      </w:r>
    </w:p>
    <w:p>
      <w:pPr>
        <w:pStyle w:val="BodyText"/>
      </w:pPr>
      <w:r>
        <w:t xml:space="preserve">Pruebas: alcance aprobado, versión, configuración, cobertura, datos fuente, resultados, examen humano, excepción, remediación y retest. Proteger el acceso administrativo y los datos recogidos.</w:t>
      </w:r>
    </w:p>
    <w:bookmarkEnd w:id="40"/>
    <w:bookmarkStart w:id="41" w:name="cis-cat-lite"/>
    <w:p>
      <w:pPr>
        <w:pStyle w:val="Heading2"/>
      </w:pPr>
      <w:r>
        <w:t xml:space="preserve">24.3 CIS-CAT Lite</w:t>
      </w:r>
    </w:p>
    <w:p>
      <w:pPr>
        <w:pStyle w:val="FirstParagraph"/>
      </w:pPr>
      <w:r>
        <w:t xml:space="preserve">Propósito: CIS seleccionado Evaluación de parámetros. Proyecto oficial: [Seguido] (https://learn.cisecurity.org/cis-cat-lite)</w:t>
      </w:r>
    </w:p>
    <w:p>
      <w:pPr>
        <w:pStyle w:val="BodyText"/>
      </w:pPr>
      <w:r>
        <w:t xml:space="preserve">Inicio rápido seguro: Ejecutar sólo en sistemas autorizados, elegir un punto de referencia y perfil disponibles, preservar el informe, validar las conclusiones, corregir y reevaluar.</w:t>
      </w:r>
    </w:p>
    <w:p>
      <w:pPr>
        <w:pStyle w:val="BodyText"/>
      </w:pPr>
      <w:r>
        <w:t xml:space="preserve">Pruebas: alcance aprobado, versión, configuración, cobertura, datos fuente, resultados, examen humano, excepción, remediación y retest. Proteger el acceso administrativo y los datos recogidos.</w:t>
      </w:r>
    </w:p>
    <w:bookmarkEnd w:id="41"/>
    <w:bookmarkStart w:id="43" w:name="ciso-assistant"/>
    <w:p>
      <w:pPr>
        <w:pStyle w:val="Heading2"/>
      </w:pPr>
      <w:r>
        <w:t xml:space="preserve">24.4 CISO Assistant</w:t>
      </w:r>
    </w:p>
    <w:p>
      <w:pPr>
        <w:pStyle w:val="FirstParagraph"/>
      </w:pPr>
      <w:r>
        <w:t xml:space="preserve">Propósito: Controles, riesgos, pruebas y hallazgos. Proyecto oficial:</w:t>
      </w:r>
      <w:r>
        <w:t xml:space="preserve"> </w:t>
      </w:r>
      <w:hyperlink r:id="rId42">
        <w:r>
          <w:rPr>
            <w:rStyle w:val="Hyperlink"/>
          </w:rPr>
          <w:t xml:space="preserve">Seguido</w:t>
        </w:r>
      </w:hyperlink>
    </w:p>
    <w:p>
      <w:pPr>
        <w:pStyle w:val="BodyText"/>
      </w:pPr>
      <w:r>
        <w:t xml:space="preserve">Inicio rápido seguro: Crear un proyecto de alcance, cargar un marco aplicable, asignar propietarios, adjuntar evidencia, resultados de seguimiento y permisos de revisión.</w:t>
      </w:r>
    </w:p>
    <w:p>
      <w:pPr>
        <w:pStyle w:val="BodyText"/>
      </w:pPr>
      <w:r>
        <w:t xml:space="preserve">Pruebas: alcance aprobado, versión, configuración, cobertura, datos fuente, resultados, examen humano, excepción, remediación y retest. Proteger el acceso administrativo y los datos recogidos.</w:t>
      </w:r>
    </w:p>
    <w:bookmarkEnd w:id="43"/>
    <w:bookmarkStart w:id="45" w:name="wazuh"/>
    <w:p>
      <w:pPr>
        <w:pStyle w:val="Heading2"/>
      </w:pPr>
      <w:r>
        <w:t xml:space="preserve">24.5 Wazuh</w:t>
      </w:r>
    </w:p>
    <w:p>
      <w:pPr>
        <w:pStyle w:val="FirstParagraph"/>
      </w:pPr>
      <w:r>
        <w:t xml:space="preserve">Propósito: Monitoreo de punto final, SIEM, FIM y alertas. Proyecto oficial:</w:t>
      </w:r>
      <w:r>
        <w:t xml:space="preserve"> </w:t>
      </w:r>
      <w:hyperlink r:id="rId44">
        <w:r>
          <w:rPr>
            <w:rStyle w:val="Hyperlink"/>
          </w:rPr>
          <w:t xml:space="preserve">Seguido</w:t>
        </w:r>
      </w:hyperlink>
    </w:p>
    <w:p>
      <w:pPr>
        <w:pStyle w:val="BodyText"/>
      </w:pPr>
      <w:r>
        <w:t xml:space="preserve">Inicio rápido seguro: Inscribir un punto final de laboratorio, desencadenar un evento seguro, confirmar la recogida y alerta, investigar, y retener la cobertura y la evidencia de respuesta.</w:t>
      </w:r>
    </w:p>
    <w:p>
      <w:pPr>
        <w:pStyle w:val="BodyText"/>
      </w:pPr>
      <w:r>
        <w:t xml:space="preserve">Pruebas: alcance aprobado, versión, configuración, cobertura, datos fuente, resultados, examen humano, excepción, remediación y retest. Proteger el acceso administrativo y los datos recogidos.</w:t>
      </w:r>
    </w:p>
    <w:bookmarkEnd w:id="45"/>
    <w:bookmarkStart w:id="46" w:name="osquery"/>
    <w:p>
      <w:pPr>
        <w:pStyle w:val="Heading2"/>
      </w:pPr>
      <w:r>
        <w:t xml:space="preserve">24.6 osquery</w:t>
      </w:r>
    </w:p>
    <w:p>
      <w:pPr>
        <w:pStyle w:val="FirstParagraph"/>
      </w:pPr>
      <w:r>
        <w:t xml:space="preserve">Propósito: Consultas de activos, software, cuenta y configuración. Proyecto oficial: (https://www.osquery.io/)</w:t>
      </w:r>
    </w:p>
    <w:p>
      <w:pPr>
        <w:pStyle w:val="BodyText"/>
      </w:pPr>
      <w:r>
        <w:t xml:space="preserve">Comienzo rápido seguro: Ejecute consultas sólo de lectura en un laboratorio, programe consultas aprobadas, compare resultados a inventarios, y plataforma de documentos y límites de cobertura.</w:t>
      </w:r>
    </w:p>
    <w:p>
      <w:pPr>
        <w:pStyle w:val="BodyText"/>
      </w:pPr>
      <w:r>
        <w:t xml:space="preserve">Pruebas: alcance aprobado, versión, configuración, cobertura, datos fuente, resultados, examen humano, excepción, remediación y retest. Proteger el acceso administrativo y los datos recogidos.</w:t>
      </w:r>
    </w:p>
    <w:bookmarkEnd w:id="46"/>
    <w:bookmarkStart w:id="48" w:name="openscap"/>
    <w:p>
      <w:pPr>
        <w:pStyle w:val="Heading2"/>
      </w:pPr>
      <w:r>
        <w:t xml:space="preserve">24.7 OpenSCAP</w:t>
      </w:r>
    </w:p>
    <w:p>
      <w:pPr>
        <w:pStyle w:val="FirstParagraph"/>
      </w:pPr>
      <w:r>
        <w:t xml:space="preserve">Objetivo: Evaluación de la configuración segura de Linux. Proyecto oficial:</w:t>
      </w:r>
      <w:r>
        <w:t xml:space="preserve"> </w:t>
      </w:r>
      <w:hyperlink r:id="rId47">
        <w:r>
          <w:rPr>
            <w:rStyle w:val="Hyperlink"/>
          </w:rPr>
          <w:t xml:space="preserve">Seguido</w:t>
        </w:r>
      </w:hyperlink>
    </w:p>
    <w:p>
      <w:pPr>
        <w:pStyle w:val="BodyText"/>
      </w:pPr>
      <w:r>
        <w:t xml:space="preserve">Inicio rápido seguro: Elija un perfil apropiado, escanear un sistema de laboratorio, validar resultados, excepciones de documentos,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48"/>
    <w:bookmarkStart w:id="50" w:name="lynis"/>
    <w:p>
      <w:pPr>
        <w:pStyle w:val="Heading2"/>
      </w:pPr>
      <w:r>
        <w:t xml:space="preserve">24.8 Lynis</w:t>
      </w:r>
    </w:p>
    <w:p>
      <w:pPr>
        <w:pStyle w:val="FirstParagraph"/>
      </w:pPr>
      <w:r>
        <w:t xml:space="preserve">Propósito: Auditoría de seguridad de Linux. Proyecto oficial:</w:t>
      </w:r>
      <w:r>
        <w:t xml:space="preserve"> </w:t>
      </w:r>
      <w:hyperlink r:id="rId49">
        <w:r>
          <w:rPr>
            <w:rStyle w:val="Hyperlink"/>
          </w:rPr>
          <w:t xml:space="preserve">Seguido</w:t>
        </w:r>
      </w:hyperlink>
    </w:p>
    <w:p>
      <w:pPr>
        <w:pStyle w:val="BodyText"/>
      </w:pPr>
      <w:r>
        <w:t xml:space="preserve">Comenzar rápido seguro: auditar un host de laboratorio, revisar los hallazgos contra el alcance y las normas, asignar acciones, corregir elementos seleccionados y repetir.</w:t>
      </w:r>
    </w:p>
    <w:p>
      <w:pPr>
        <w:pStyle w:val="BodyText"/>
      </w:pPr>
      <w:r>
        <w:t xml:space="preserve">Pruebas: alcance aprobado, versión, configuración, cobertura, datos fuente, resultados, examen humano, excepción, remediación y retest. Proteger el acceso administrativo y los datos recogidos.</w:t>
      </w:r>
    </w:p>
    <w:bookmarkEnd w:id="50"/>
    <w:bookmarkStart w:id="52" w:name="nmap"/>
    <w:p>
      <w:pPr>
        <w:pStyle w:val="Heading2"/>
      </w:pPr>
      <w:r>
        <w:t xml:space="preserve">24.9 Nmap</w:t>
      </w:r>
    </w:p>
    <w:p>
      <w:pPr>
        <w:pStyle w:val="FirstParagraph"/>
      </w:pPr>
      <w:r>
        <w:t xml:space="preserve">Propósito: Activo autorizado y descubrimiento de servicios. Proyecto oficial:</w:t>
      </w:r>
      <w:r>
        <w:t xml:space="preserve"> </w:t>
      </w:r>
      <w:hyperlink r:id="rId51">
        <w:r>
          <w:rPr>
            <w:rStyle w:val="Hyperlink"/>
          </w:rPr>
          <w:t xml:space="preserve">Seguido</w:t>
        </w:r>
      </w:hyperlink>
    </w:p>
    <w:p>
      <w:pPr>
        <w:pStyle w:val="BodyText"/>
      </w:pPr>
      <w:r>
        <w:t xml:space="preserve">Inicio rápido seguro: Usar un escaneo limitado en rangos escritos, comparar con inventario, investigar servicios desconocidos, y retener el alcance y la evidencia de comando.</w:t>
      </w:r>
    </w:p>
    <w:p>
      <w:pPr>
        <w:pStyle w:val="BodyText"/>
      </w:pPr>
      <w:r>
        <w:t xml:space="preserve">Pruebas: alcance aprobado, versión, configuración, cobertura, datos fuente, resultados, examen humano, excepción, remediación y retest. Proteger el acceso administrativo y los datos recogidos.</w:t>
      </w:r>
    </w:p>
    <w:bookmarkEnd w:id="52"/>
    <w:bookmarkStart w:id="53" w:name="greenbone-community-edition"/>
    <w:p>
      <w:pPr>
        <w:pStyle w:val="Heading2"/>
      </w:pPr>
      <w:r>
        <w:t xml:space="preserve">24.10 Greenbone Community Edition</w:t>
      </w:r>
    </w:p>
    <w:p>
      <w:pPr>
        <w:pStyle w:val="FirstParagraph"/>
      </w:pPr>
      <w:r>
        <w:t xml:space="preserve">Objetivo: Evaluación de la vulnerabilidad. Proyecto oficial: [ejecutado]Greenbone Community Edition (10)(https://greenbone.github.io/docs/latest/)</w:t>
      </w:r>
    </w:p>
    <w:p>
      <w:pPr>
        <w:pStyle w:val="BodyText"/>
      </w:pPr>
      <w:r>
        <w:t xml:space="preserve">Inicio rápido seguro: Actualizar los alimentos, utilizar los objetivos autorizados y las credenciales, validar la cobertura de activos, revisar las conclusiones,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3"/>
    <w:bookmarkStart w:id="54" w:name="trivy"/>
    <w:p>
      <w:pPr>
        <w:pStyle w:val="Heading2"/>
      </w:pPr>
      <w:r>
        <w:t xml:space="preserve">24.11 Trivy</w:t>
      </w:r>
    </w:p>
    <w:p>
      <w:pPr>
        <w:pStyle w:val="FirstParagraph"/>
      </w:pPr>
      <w:r>
        <w:t xml:space="preserve">Propósito: Repositorios, imágenes, dependencias, secretos e IaC. Proyecto oficial: [ejecutado]Trivy seleccionado/u fiel](https://trivy.dev/)</w:t>
      </w:r>
    </w:p>
    <w:p>
      <w:pPr>
        <w:pStyle w:val="BodyText"/>
      </w:pPr>
      <w:r>
        <w:t xml:space="preserve">Inicio rápido seguro: Escanear un repositorio de prueba o imagen, validar hallazgos, documentar excepciones justificadas, fijar y rescan en el oleoducto.</w:t>
      </w:r>
    </w:p>
    <w:p>
      <w:pPr>
        <w:pStyle w:val="BodyText"/>
      </w:pPr>
      <w:r>
        <w:t xml:space="preserve">Pruebas: alcance aprobado, versión, configuración, cobertura, datos fuente, resultados, examen humano, excepción, remediación y retest. Proteger el acceso administrativo y los datos recogidos.</w:t>
      </w:r>
    </w:p>
    <w:bookmarkEnd w:id="54"/>
    <w:bookmarkStart w:id="55" w:name="owasp-zap"/>
    <w:p>
      <w:pPr>
        <w:pStyle w:val="Heading2"/>
      </w:pPr>
      <w:r>
        <w:t xml:space="preserve">24.12 OWASP ZAP</w:t>
      </w:r>
    </w:p>
    <w:p>
      <w:pPr>
        <w:pStyle w:val="FirstParagraph"/>
      </w:pPr>
      <w:r>
        <w:t xml:space="preserve">Propósito: Pruebas de seguridad web autorizadas. Proyecto oficial: [Seguido] (https://www.zaproxy.org/)</w:t>
      </w:r>
    </w:p>
    <w:p>
      <w:pPr>
        <w:pStyle w:val="BodyText"/>
      </w:pPr>
      <w:r>
        <w:t xml:space="preserve">Comenzar rápido seguro: Proxy una aplicación de entrenamiento, arrastrar pasivamente, utilizar el escaneo activo sólo con aprobación, validar hallazgos, correcto y retest.</w:t>
      </w:r>
    </w:p>
    <w:p>
      <w:pPr>
        <w:pStyle w:val="BodyText"/>
      </w:pPr>
      <w:r>
        <w:t xml:space="preserve">Pruebas: alcance aprobado, versión, configuración, cobertura, datos fuente, resultados, examen humano, excepción, remediación y retest. Proteger el acceso administrativo y los datos recogidos.</w:t>
      </w:r>
    </w:p>
    <w:bookmarkEnd w:id="55"/>
    <w:bookmarkStart w:id="56" w:name="suricata"/>
    <w:p>
      <w:pPr>
        <w:pStyle w:val="Heading2"/>
      </w:pPr>
      <w:r>
        <w:t xml:space="preserve">24.13 Suricata</w:t>
      </w:r>
    </w:p>
    <w:p>
      <w:pPr>
        <w:pStyle w:val="FirstParagraph"/>
      </w:pPr>
      <w:r>
        <w:t xml:space="preserve">Propósito: detección de intrusión en red y visibilidad del tráfico. Proyecto oficial: [Seguido] [https://suricata.io/]</w:t>
      </w:r>
    </w:p>
    <w:p>
      <w:pPr>
        <w:pStyle w:val="BodyText"/>
      </w:pPr>
      <w:r>
        <w:t xml:space="preserve">Inicio rápido seguro: Use un sensor de laboratorio, confirme la interfaz y las reglas, genere tráfico de prueba aprobado, valide alertas, sintonice cuidadosamente, y preserve la historia del cambio.</w:t>
      </w:r>
    </w:p>
    <w:p>
      <w:pPr>
        <w:pStyle w:val="BodyText"/>
      </w:pPr>
      <w:r>
        <w:t xml:space="preserve">Pruebas: alcance aprobado, versión, configuración, cobertura, datos fuente, resultados, examen humano, excepción, remediación y retest. Proteger el acceso administrativo y los datos recogidos.</w:t>
      </w:r>
    </w:p>
    <w:bookmarkEnd w:id="56"/>
    <w:bookmarkStart w:id="58" w:name="keycloak"/>
    <w:p>
      <w:pPr>
        <w:pStyle w:val="Heading2"/>
      </w:pPr>
      <w:r>
        <w:t xml:space="preserve">24.14 Keycloak</w:t>
      </w:r>
    </w:p>
    <w:p>
      <w:pPr>
        <w:pStyle w:val="FirstParagraph"/>
      </w:pPr>
      <w:r>
        <w:t xml:space="preserve">Propósito: Identidad, roles, MFA, sesiones y eventos. Proyecto oficial:</w:t>
      </w:r>
      <w:r>
        <w:t xml:space="preserve"> </w:t>
      </w:r>
      <w:hyperlink r:id="rId57">
        <w:r>
          <w:rPr>
            <w:rStyle w:val="Hyperlink"/>
          </w:rPr>
          <w:t xml:space="preserve">Seguido</w:t>
        </w:r>
      </w:hyperlink>
    </w:p>
    <w:p>
      <w:pPr>
        <w:pStyle w:val="BodyText"/>
      </w:pPr>
      <w:r>
        <w:t xml:space="preserve">Comenzar rápido seguro: Crear un reino de laboratorio, roles y MFA, probar casos de compás, revisar eventos y configuración de documentos y resultados.</w:t>
      </w:r>
    </w:p>
    <w:p>
      <w:pPr>
        <w:pStyle w:val="BodyText"/>
      </w:pPr>
      <w:r>
        <w:t xml:space="preserve">Pruebas: alcance aprobado, versión, configuración, cobertura, datos fuente, resultados, examen humano, excepción, remediación y retest. Proteger el acceso administrativo y los datos recogidos.</w:t>
      </w:r>
    </w:p>
    <w:bookmarkEnd w:id="58"/>
    <w:bookmarkStart w:id="60" w:name="defectodojo"/>
    <w:p>
      <w:pPr>
        <w:pStyle w:val="Heading2"/>
      </w:pPr>
      <w:r>
        <w:t xml:space="preserve">24.15 DefectoDojo</w:t>
      </w:r>
    </w:p>
    <w:p>
      <w:pPr>
        <w:pStyle w:val="FirstParagraph"/>
      </w:pPr>
      <w:r>
        <w:t xml:space="preserve">Propósito: Encontrar ingesta, deduplicación, remediación y retest. Proyecto oficial:</w:t>
      </w:r>
      <w:r>
        <w:t xml:space="preserve"> </w:t>
      </w:r>
      <w:hyperlink r:id="rId59">
        <w:r>
          <w:rPr>
            <w:rStyle w:val="Hyperlink"/>
          </w:rPr>
          <w:t xml:space="preserve">Seguido</w:t>
        </w:r>
      </w:hyperlink>
    </w:p>
    <w:p>
      <w:pPr>
        <w:pStyle w:val="BodyText"/>
      </w:pPr>
      <w:r>
        <w:t xml:space="preserve">Comienzo rápido seguro: Importar resultados seguros, validar la deduplicación, asignar propietarios y fechas, adjuntar prueba, y cerrar sólo después de la prueba verificada.</w:t>
      </w:r>
    </w:p>
    <w:p>
      <w:pPr>
        <w:pStyle w:val="BodyText"/>
      </w:pPr>
      <w:r>
        <w:t xml:space="preserve">Pruebas: alcance aprobado, versión, configuración, cobertura, datos fuente, resultados, examen humano, excepción, remediación y retest. Proteger el acceso administrativo y los datos recogidos.</w:t>
      </w:r>
    </w:p>
    <w:bookmarkEnd w:id="60"/>
    <w:bookmarkStart w:id="62" w:name="velociraptor"/>
    <w:p>
      <w:pPr>
        <w:pStyle w:val="Heading2"/>
      </w:pPr>
      <w:r>
        <w:t xml:space="preserve">24.16 Velociraptor</w:t>
      </w:r>
    </w:p>
    <w:p>
      <w:pPr>
        <w:pStyle w:val="FirstParagraph"/>
      </w:pPr>
      <w:r>
        <w:t xml:space="preserve">Finalidad: visibilidad y respuesta a incidentes. Proyecto oficial:</w:t>
      </w:r>
      <w:r>
        <w:t xml:space="preserve"> </w:t>
      </w:r>
      <w:hyperlink r:id="rId61">
        <w:r>
          <w:rPr>
            <w:rStyle w:val="Hyperlink"/>
          </w:rPr>
          <w:t xml:space="preserve">Seguido</w:t>
        </w:r>
      </w:hyperlink>
    </w:p>
    <w:p>
      <w:pPr>
        <w:pStyle w:val="BodyText"/>
      </w:pPr>
      <w:r>
        <w:t xml:space="preserve">Inicio rápido seguro: Despliegue sólo en un laboratorio autorizado aislado, recoja un artefacto estrecho, alcance de documentos y acceso, investigue los resultados y retire los datos del laboratorio con seguridad.</w:t>
      </w:r>
    </w:p>
    <w:p>
      <w:pPr>
        <w:pStyle w:val="BodyText"/>
      </w:pPr>
      <w:r>
        <w:t xml:space="preserve">Pruebas: alcance aprobado, versión, configuración, cobertura, datos fuente, resultados, examen humano, excepción, remediación y retest. Proteger el acceso administrativo y los datos recogidos.</w:t>
      </w:r>
    </w:p>
    <w:bookmarkEnd w:id="62"/>
    <w:bookmarkEnd w:id="63"/>
    <w:bookmarkStart w:id="64" w:name="Xbc4a4dbf2d9ff0eb677f14739cf1d43ac88337f"/>
    <w:p>
      <w:pPr>
        <w:pStyle w:val="Heading1"/>
      </w:pPr>
      <w:r>
        <w:t xml:space="preserve">25. Manual de los Controles CIS para gerentes</w:t>
      </w:r>
    </w:p>
    <w:p>
      <w:pPr>
        <w:pStyle w:val="FirstParagraph"/>
      </w:pPr>
      <w:r>
        <w:rPr>
          <w:iCs/>
          <w:i/>
        </w:rPr>
        <w:t xml:space="preserve">Las preguntas, el tablero, la propiedad y los administradores de decisiones deben controlar.</w:t>
      </w:r>
    </w:p>
    <w:p>
      <w:pPr>
        <w:numPr>
          <w:ilvl w:val="0"/>
          <w:numId w:val="1013"/>
        </w:numPr>
      </w:pPr>
      <w:r>
        <w:t xml:space="preserve">¿El IG elegido sigue siendo apropiado para datos sensibles, servicios críticos, exposición a amenazas, obligaciones, escala y habilidades?</w:t>
      </w:r>
    </w:p>
    <w:p>
      <w:pPr>
        <w:numPr>
          <w:ilvl w:val="0"/>
          <w:numId w:val="1013"/>
        </w:numPr>
      </w:pPr>
      <w:r>
        <w:t xml:space="preserve">¿Están las poblaciones centrales completas, actuales, de propiedad y reconciliadas con el descubrimiento independiente?</w:t>
      </w:r>
    </w:p>
    <w:p>
      <w:pPr>
        <w:numPr>
          <w:ilvl w:val="0"/>
          <w:numId w:val="1013"/>
        </w:numPr>
      </w:pPr>
      <w:r>
        <w:t xml:space="preserve">¿Qué Salvaguardias IG1 tienen cobertura incompleta, revisión atrasada, datos de entrada no fiables o excepciones de repetición?</w:t>
      </w:r>
    </w:p>
    <w:p>
      <w:pPr>
        <w:numPr>
          <w:ilvl w:val="0"/>
          <w:numId w:val="1013"/>
        </w:numPr>
      </w:pPr>
      <w:r>
        <w:t xml:space="preserve">¿Se han intensificado los accesos administrativos, los sistemas expuestos externamente, los programas informáticos no respaldados, las vulnerabilidades críticas y los fallos de recuperación?</w:t>
      </w:r>
    </w:p>
    <w:p>
      <w:pPr>
        <w:numPr>
          <w:ilvl w:val="0"/>
          <w:numId w:val="1013"/>
        </w:numPr>
      </w:pPr>
      <w:r>
        <w:t xml:space="preserve">¿Las alertas resultan en investigación y respuesta, o sólo en el volumen de panel?</w:t>
      </w:r>
    </w:p>
    <w:p>
      <w:pPr>
        <w:numPr>
          <w:ilvl w:val="0"/>
          <w:numId w:val="1013"/>
        </w:numPr>
      </w:pPr>
      <w:r>
        <w:t xml:space="preserve">¿Se entienden las responsabilidades de los proveedores de servicios, las pruebas, las obligaciones de incidentes, los subcontratistas y los planes de salida?</w:t>
      </w:r>
    </w:p>
    <w:p>
      <w:pPr>
        <w:numPr>
          <w:ilvl w:val="0"/>
          <w:numId w:val="1013"/>
        </w:numPr>
      </w:pPr>
      <w:r>
        <w:t xml:space="preserve">¿Se autorizan pruebas de penetración y ejercicios de forma segura, con un alcance adecuado, realizados independientemente cuando sea necesario y seguidos a través de la prueba?</w:t>
      </w:r>
    </w:p>
    <w:p>
      <w:pPr>
        <w:numPr>
          <w:ilvl w:val="0"/>
          <w:numId w:val="1013"/>
        </w:numPr>
      </w:pPr>
      <w:r>
        <w:t xml:space="preserve">¿Qué financiación, personal, tiempo de ingeniería o decisión empresarial está bloqueando la corrección?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r>
        <w:tc>
          <w:tcPr/>
          <w:p>
            <w:pPr>
              <w:pStyle w:val="Compact"/>
              <w:jc w:val="left"/>
            </w:pPr>
            <w:r>
              <w:t xml:space="preserve">IG y alcance</w:t>
            </w:r>
          </w:p>
        </w:tc>
      </w:tr>
      <w:tr>
        <w:tc>
          <w:tcPr/>
          <w:p>
            <w:pPr>
              <w:pStyle w:val="Compact"/>
              <w:jc w:val="left"/>
            </w:pPr>
            <w:r>
              <w:t xml:space="preserve">← Inventories</w:t>
            </w:r>
          </w:p>
        </w:tc>
      </w:tr>
    </w:tbl>
    <w:p>
      <w:pPr>
        <w:pStyle w:val="BodyText"/>
      </w:pPr>
      <w:r>
        <w:t xml:space="preserve">TEN Protection TEN ¿Operan la configuración, el acceso, el parche, el correo electrónico, el malware y los controles de datos? Verde / Amarillo / Rojo</w:t>
      </w:r>
      <w:r>
        <w:t xml:space="preserve"> </w:t>
      </w:r>
      <w:r>
        <w:t xml:space="preserve">| Detección | ¿Se ha completado la cobertura de registro y red y se han revisado las alertas? Verde / Amarillo / Rojo</w:t>
      </w:r>
      <w:r>
        <w:t xml:space="preserve"> </w:t>
      </w:r>
      <w:r>
        <w:t xml:space="preserve">← Recuperación | ¿Están protegidos copias de seguridad y restauraciones probadas contra las necesidades de negocio? Verde / Amarillo / Rojo</w:t>
      </w:r>
      <w:r>
        <w:t xml:space="preserve"> </w:t>
      </w:r>
      <w:r>
        <w:t xml:space="preserve">| Respuesta | ¿Son los roles, contactos, umbrales, ejercicios y revisiones actuales? Verde / Amarillo / Rojo</w:t>
      </w:r>
      <w:r>
        <w:t xml:space="preserve"> </w:t>
      </w:r>
      <w:r>
        <w:t xml:space="preserve">TENED ¿Se corrigieron las poblaciones confiables y de excepción? Verde / Amarillo / Rojo</w:t>
      </w:r>
      <w:r>
        <w:t xml:space="preserve"> </w:t>
      </w:r>
      <w:r>
        <w:t xml:space="preserve">¿Son compatibles las pruebas, limitaciones, hallazgos y pruebas? Verde / Amarillo / Rojo</w:t>
      </w:r>
    </w:p>
    <w:bookmarkEnd w:id="64"/>
    <w:bookmarkStart w:id="66" w:name="junior-analyst-career-guide"/>
    <w:p>
      <w:pPr>
        <w:pStyle w:val="Heading1"/>
      </w:pPr>
      <w:r>
        <w:t xml:space="preserve">26. Junior Analyst Career Guide</w:t>
      </w:r>
    </w:p>
    <w:p>
      <w:pPr>
        <w:pStyle w:val="FirstParagraph"/>
      </w:pPr>
      <w:r>
        <w:rPr>
          <w:iCs/>
          <w:i/>
        </w:rPr>
        <w:t xml:space="preserve">Una ruta práctica en controles, vulnerabilidad, seguridad, GRC y operaciones de seguridad funcionan.</w:t>
      </w:r>
    </w:p>
    <w:p>
      <w:pPr>
        <w:pStyle w:val="BodyText"/>
      </w:pPr>
      <w:r>
        <w:t xml:space="preserve">■img src=</w:t>
      </w:r>
      <w:r>
        <w:t xml:space="preserve">“</w:t>
      </w:r>
      <w:r>
        <w:t xml:space="preserve">media/image10.png</w:t>
      </w:r>
      <w:r>
        <w:t xml:space="preserve">”</w:t>
      </w:r>
      <w:r>
        <w:t xml:space="preserve"> </w:t>
      </w:r>
      <w:r>
        <w:t xml:space="preserve">style=</w:t>
      </w:r>
      <w:r>
        <w:t xml:space="preserve">“</w:t>
      </w:r>
      <w:r>
        <w:t xml:space="preserve">width:6.15in;height:2.99481in</w:t>
      </w:r>
      <w:r>
        <w:t xml:space="preserve">”</w:t>
      </w:r>
      <w:r>
        <w:t xml:space="preserve"> </w:t>
      </w:r>
      <w:r>
        <w:t xml:space="preserve">alt=</w:t>
      </w:r>
      <w:r>
        <w:t xml:space="preserve">“</w:t>
      </w:r>
      <w:r>
        <w:t xml:space="preserve">Aprende el marco, mapa Salvaguardias, mide evidencia, reporte lagunas, y construya un portafolio honesto</w:t>
      </w:r>
      <w:r>
        <w:t xml:space="preserve">”</w:t>
      </w:r>
      <w:r>
        <w:t xml:space="preserve">.</w:t>
      </w:r>
    </w:p>
    <w:p>
      <w:pPr>
        <w:pStyle w:val="BodyText"/>
      </w:pPr>
      <w:r>
        <w:t xml:space="preserve">Gráfico 10 Junior CIS Controles vía analista</w:t>
      </w:r>
    </w:p>
    <w:p>
      <w:pPr>
        <w:pStyle w:val="BodyText"/>
      </w:pPr>
      <w:r>
        <w:t xml:space="preserve">Controles de Seguridad Junior Analista</w:t>
      </w:r>
    </w:p>
    <w:p>
      <w:pPr>
        <w:pStyle w:val="BodyText"/>
      </w:pPr>
      <w:r>
        <w:t xml:space="preserve">GRC Analista</w:t>
      </w:r>
    </w:p>
    <w:p>
      <w:pPr>
        <w:pStyle w:val="BodyText"/>
      </w:pPr>
      <w:r>
        <w:t xml:space="preserve">Analista de Gestión de Vulnerabilidad</w:t>
      </w:r>
    </w:p>
    <w:p>
      <w:pPr>
        <w:pStyle w:val="BodyText"/>
      </w:pPr>
      <w:r>
        <w:t xml:space="preserve">Análisis de la seguridad</w:t>
      </w:r>
    </w:p>
    <w:p>
      <w:pPr>
        <w:pStyle w:val="BodyText"/>
      </w:pPr>
      <w:r>
        <w:t xml:space="preserve">Análisis de las operaciones de seguridad</w:t>
      </w:r>
    </w:p>
    <w:p>
      <w:pPr>
        <w:pStyle w:val="BodyText"/>
      </w:pPr>
      <w:r>
        <w:t xml:space="preserve">Analista de Cumplimiento de TI</w:t>
      </w:r>
    </w:p>
    <w:p>
      <w:pPr>
        <w:pStyle w:val="BodyText"/>
      </w:pPr>
      <w:r>
        <w:t xml:space="preserve">Third-Party Risk Analyst</w:t>
      </w:r>
    </w:p>
    <w:p>
      <w:pPr>
        <w:pStyle w:val="BodyText"/>
      </w:pPr>
      <w:r>
        <w:t xml:space="preserve">Cybersecurity Program Analyst</w:t>
      </w:r>
    </w:p>
    <w:bookmarkStart w:id="65" w:name="típico-trabajo-junior"/>
    <w:p>
      <w:pPr>
        <w:pStyle w:val="Heading2"/>
      </w:pPr>
      <w:r>
        <w:t xml:space="preserve">26.1 Típico trabajo junior</w:t>
      </w:r>
    </w:p>
    <w:p>
      <w:pPr>
        <w:numPr>
          <w:ilvl w:val="0"/>
          <w:numId w:val="1014"/>
        </w:numPr>
      </w:pPr>
      <w:r>
        <w:t xml:space="preserve">Mantener inventarios de activos, software, datos, cuentas, sistemas de red, proveedores, aplicaciones, hallazgos y pruebas.</w:t>
      </w:r>
    </w:p>
    <w:p>
      <w:pPr>
        <w:numPr>
          <w:ilvl w:val="0"/>
          <w:numId w:val="1014"/>
        </w:numPr>
      </w:pPr>
      <w:r>
        <w:t xml:space="preserve">Reunir pruebas sin cambiar los registros de fuentes y validar la integridad de la población.</w:t>
      </w:r>
    </w:p>
    <w:p>
      <w:pPr>
        <w:numPr>
          <w:ilvl w:val="0"/>
          <w:numId w:val="1014"/>
        </w:numPr>
      </w:pPr>
      <w:r>
        <w:t xml:space="preserve">Mapa Salvaguardias a propietarios, sistemas, procedimientos, configuración, evidencia, métricas, excepciones y acciones.</w:t>
      </w:r>
    </w:p>
    <w:p>
      <w:pPr>
        <w:numPr>
          <w:ilvl w:val="0"/>
          <w:numId w:val="1014"/>
        </w:numPr>
      </w:pPr>
      <w:r>
        <w:t xml:space="preserve">Ejecute las herramientas autorizadas de descubrimiento, configuración, vulnerabilidad, registro o seguridad de aplicaciones bajo procedimientos aprobados.</w:t>
      </w:r>
    </w:p>
    <w:p>
      <w:pPr>
        <w:numPr>
          <w:ilvl w:val="0"/>
          <w:numId w:val="1014"/>
        </w:numPr>
      </w:pPr>
      <w:r>
        <w:t xml:space="preserve">Calcular la cobertura y las métricas de excepción utilizando la estructura de evaluación oficial.</w:t>
      </w:r>
    </w:p>
    <w:p>
      <w:pPr>
        <w:numPr>
          <w:ilvl w:val="0"/>
          <w:numId w:val="1014"/>
        </w:numPr>
      </w:pPr>
      <w:r>
        <w:t xml:space="preserve">Seguimiento de software no compatible, activos no autorizados, problemas de acceso, vulnerabilidades, copias de seguridad fallidas, lagunas de alerta y hallazgos de proveedores a través de la prueba.</w:t>
      </w:r>
    </w:p>
    <w:p>
      <w:pPr>
        <w:numPr>
          <w:ilvl w:val="0"/>
          <w:numId w:val="1014"/>
        </w:numPr>
      </w:pPr>
      <w:r>
        <w:t xml:space="preserve">Escribir conclusiones claras sin reclamar autoridad o certeza más allá de las pruebas.</w:t>
      </w:r>
    </w:p>
    <w:p>
      <w:pPr>
        <w:pStyle w:val="FirstParagraph"/>
      </w:pPr>
      <w:r>
        <w:t xml:space="preserve">Silencioso**</w:t>
      </w:r>
      <w:r>
        <w:t xml:space="preserve"> </w:t>
      </w:r>
      <w:r>
        <w:t xml:space="preserve">|… |</w:t>
      </w:r>
      <w:r>
        <w:t xml:space="preserve"> </w:t>
      </w:r>
      <w:r>
        <w:t xml:space="preserve">| Marco | Explicar los 18 Controles, IGs, clases de activos y funciones |</w:t>
      </w:r>
      <w:r>
        <w:t xml:space="preserve"> </w:t>
      </w:r>
      <w:r>
        <w:t xml:space="preserve">| Inventario | Reconcile dos fuentes independientes y explicar las diferencias</w:t>
      </w:r>
      <w:r>
        <w:t xml:space="preserve"> </w:t>
      </w:r>
      <w:r>
        <w:t xml:space="preserve">TENEDO | Mostrar insumos, operaciones, medidas, métrica, lista de excepciones y conclusión |</w:t>
      </w:r>
      <w:r>
        <w:t xml:space="preserve"> </w:t>
      </w:r>
      <w:r>
        <w:t xml:space="preserve">← Alfabetización técnica | Interpret configuración, identidad, escaneo, registro, recuperación y evidencia de aplicación</w:t>
      </w:r>
      <w:r>
        <w:t xml:space="preserve"> </w:t>
      </w:r>
      <w:r>
        <w:t xml:space="preserve">TEN Remediation | Trace finding to owner, due date, correction, and verified retest |</w:t>
      </w:r>
      <w:r>
        <w:t xml:space="preserve"> </w:t>
      </w:r>
      <w:r>
        <w:t xml:space="preserve">TEN Comunicación ANTERIGEN Escribe un resumen del administrador de una página y un documento de trabajo detallado</w:t>
      </w:r>
      <w:r>
        <w:t xml:space="preserve"> </w:t>
      </w:r>
      <w:r>
        <w:t xml:space="preserve">← Ética ← Utilizar datos sintéticos, autorización, límites de alcance y afirmaciones honestas</w:t>
      </w:r>
    </w:p>
    <w:bookmarkEnd w:id="65"/>
    <w:bookmarkEnd w:id="66"/>
    <w:bookmarkStart w:id="76" w:name="laboratorio-ficcional-y-portfolio"/>
    <w:p>
      <w:pPr>
        <w:pStyle w:val="Heading1"/>
      </w:pPr>
      <w:r>
        <w:t xml:space="preserve">27. 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15"/>
        </w:numPr>
        <w:pStyle w:val="Compact"/>
      </w:pPr>
      <w:r>
        <w:t xml:space="preserve">La regla del laboratorio* Utilizar organizaciones ficticias, datos sintéticos, sistemas aislados y autorización escrita. Nunca ataque objetivos públicos, utilice credenciales reales o publique la producción de herramientas sensibles.</w:t>
      </w:r>
      <w:r>
        <w:t xml:space="preserve"> </w:t>
      </w:r>
      <w:r>
        <w:t xml:space="preserve">|. |</w:t>
      </w:r>
    </w:p>
    <w:p>
      <w:pPr>
        <w:numPr>
          <w:ilvl w:val="0"/>
          <w:numId w:val="1016"/>
        </w:numPr>
      </w:pPr>
      <w:r>
        <w:t xml:space="preserve">Crear una compañía ficticia de 50 personas con laptops, servidores, servicios en la nube, una aplicación web, personal remoto y cinco proveedores.</w:t>
      </w:r>
    </w:p>
    <w:p>
      <w:pPr>
        <w:numPr>
          <w:ilvl w:val="0"/>
          <w:numId w:val="1016"/>
        </w:numPr>
      </w:pPr>
      <w:r>
        <w:t xml:space="preserve">Seleccione IG1 y documente tres adiciones basadas en el riesgo de IG2 o IG3.</w:t>
      </w:r>
    </w:p>
    <w:p>
      <w:pPr>
        <w:numPr>
          <w:ilvl w:val="0"/>
          <w:numId w:val="1016"/>
        </w:numPr>
      </w:pPr>
      <w:r>
        <w:t xml:space="preserve">Construir inventarios de activos, software, datos, cuenta, sistema de autenticación, red, proveedor, aplicación y fuente de registro.</w:t>
      </w:r>
    </w:p>
    <w:p>
      <w:pPr>
        <w:numPr>
          <w:ilvl w:val="0"/>
          <w:numId w:val="1016"/>
        </w:numPr>
      </w:pPr>
      <w:r>
        <w:t xml:space="preserve">Use Nmap y osquery en un laboratorio aislado para conciliar los inventarios de activos y software.</w:t>
      </w:r>
    </w:p>
    <w:p>
      <w:pPr>
        <w:numPr>
          <w:ilvl w:val="0"/>
          <w:numId w:val="1016"/>
        </w:numPr>
      </w:pPr>
      <w:r>
        <w:t xml:space="preserve">Utiliza OpenSCAP o Lynis en un host de laboratorio; conclusiones de configuración de documentos, excepciones, correcciones y reevaluación.</w:t>
      </w:r>
    </w:p>
    <w:p>
      <w:pPr>
        <w:numPr>
          <w:ilvl w:val="0"/>
          <w:numId w:val="1016"/>
        </w:numPr>
      </w:pPr>
      <w:r>
        <w:t xml:space="preserve">Use Greenbone en los objetivos de laboratorio aprobados; valide la cobertura, los hallazgos, la remediación y la reutilización.</w:t>
      </w:r>
    </w:p>
    <w:p>
      <w:pPr>
        <w:numPr>
          <w:ilvl w:val="0"/>
          <w:numId w:val="1016"/>
        </w:numPr>
      </w:pPr>
      <w:r>
        <w:t xml:space="preserve">Use Wazuh o Suricata para generar e investigar una alerta de prueba segura.</w:t>
      </w:r>
    </w:p>
    <w:p>
      <w:pPr>
        <w:numPr>
          <w:ilvl w:val="0"/>
          <w:numId w:val="1016"/>
        </w:numPr>
      </w:pPr>
      <w:r>
        <w:t xml:space="preserve">Use Trivy o ZAP en un repositorio de entrenamiento o aplicación y registre y repita.</w:t>
      </w:r>
    </w:p>
    <w:p>
      <w:pPr>
        <w:numPr>
          <w:ilvl w:val="0"/>
          <w:numId w:val="1016"/>
        </w:numPr>
      </w:pPr>
      <w:r>
        <w:t xml:space="preserve">Escriba un registro de prueba de copia de seguridad y una tabla de incidentes.</w:t>
      </w:r>
    </w:p>
    <w:p>
      <w:pPr>
        <w:numPr>
          <w:ilvl w:val="0"/>
          <w:numId w:val="1016"/>
        </w:numPr>
      </w:pPr>
      <w:r>
        <w:t xml:space="preserve">Crear cinco documentos de trabajo de evaluación de CIS con insumos, operaciones, medidas, métricas, listas de excepciones y conclusiones.</w:t>
      </w:r>
    </w:p>
    <w:p>
      <w:pPr>
        <w:numPr>
          <w:ilvl w:val="0"/>
          <w:numId w:val="1016"/>
        </w:numPr>
      </w:pPr>
      <w:r>
        <w:t xml:space="preserve">Publicar sólo artefactos sanitarios y afirmar claramente que el proyecto es ficticio y no una evaluación formal CIS.</w:t>
      </w:r>
    </w:p>
    <w:p>
      <w:pPr>
        <w:pStyle w:val="FirstParagraph"/>
      </w:pPr>
      <w:r>
        <w:rPr>
          <w:bCs/>
          <w:b/>
        </w:rPr>
        <w:t xml:space="preserve">Artifact</w:t>
      </w:r>
      <w:r>
        <w:t xml:space="preserve"> </w:t>
      </w:r>
      <w:r>
        <w:t xml:space="preserve">|</w:t>
      </w:r>
      <w:r>
        <w:t xml:space="preserve"> </w:t>
      </w:r>
      <w:r>
        <w:rPr>
          <w:bCs/>
          <w:b/>
        </w:rPr>
        <w:t xml:space="preserve">Lo que prueba</w:t>
      </w:r>
      <w:r>
        <w:t xml:space="preserve"> </w:t>
      </w:r>
      <w:r>
        <w:t xml:space="preserve">|</w:t>
      </w:r>
    </w:p>
    <w:p>
      <w:pPr>
        <w:pStyle w:val="BodyText"/>
      </w:pPr>
      <w:r>
        <w:t xml:space="preserve">|… |</w:t>
      </w:r>
      <w:r>
        <w:t xml:space="preserve"> </w:t>
      </w:r>
      <w:r>
        <w:t xml:space="preserve">TEN IG selection memo TEN Prioritization and risk reasoning |</w:t>
      </w:r>
      <w:r>
        <w:t xml:space="preserve"> </w:t>
      </w:r>
      <w:r>
        <w:t xml:space="preserve">← Reconciliación de los inventarios</w:t>
      </w:r>
      <w:r>
        <w:t xml:space="preserve"> </w:t>
      </w:r>
      <w:r>
        <w:t xml:space="preserve">Silencioso papel de salvaguardia | Estructura de medición oficial y pruebas</w:t>
      </w:r>
      <w:r>
        <w:t xml:space="preserve"> </w:t>
      </w:r>
      <w:r>
        <w:t xml:space="preserve">Reevaluación de la configuración | Búsqueda técnica, corrección y retestigo</w:t>
      </w:r>
      <w:r>
        <w:t xml:space="preserve"> </w:t>
      </w:r>
      <w:r>
        <w:t xml:space="preserve">TEN Vulnerability report ← Cobertura, priorización, excepción y remediación</w:t>
      </w:r>
      <w:r>
        <w:t xml:space="preserve"> </w:t>
      </w:r>
      <w:r>
        <w:t xml:space="preserve">Silencioso Caso de detección</w:t>
      </w:r>
      <w:r>
        <w:t xml:space="preserve"> </w:t>
      </w:r>
      <w:r>
        <w:t xml:space="preserve">| Restaurar prueba Silencioso Disponibilidad y pruebas de recuperación |</w:t>
      </w:r>
      <w:r>
        <w:t xml:space="preserve"> </w:t>
      </w:r>
      <w:r>
        <w:t xml:space="preserve">tención Administrador dashboard | Clear risk and action communication</w:t>
      </w:r>
    </w:p>
    <w:p>
      <w:pPr>
        <w:numPr>
          <w:ilvl w:val="0"/>
          <w:numId w:val="1017"/>
        </w:numPr>
        <w:pStyle w:val="Compact"/>
      </w:pPr>
      <w:r>
        <w:t xml:space="preserve">Plan de aprendizaje de 30 días</w:t>
      </w:r>
    </w:p>
    <w:p>
      <w:pPr>
        <w:pStyle w:val="FirstParagraph"/>
      </w:pPr>
      <w:r>
        <w:rPr>
          <w:iCs/>
          <w:i/>
        </w:rPr>
        <w:t xml:space="preserve">Un calendario centrado para la capacidad útil de nivel inferior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tención 5–8 Silencioso Activos, software, datos, cuentas, acceso</w:t>
            </w:r>
          </w:p>
        </w:tc>
      </w:tr>
      <w:tr>
        <w:tc>
          <w:tcPr/>
          <w:p>
            <w:pPr>
              <w:pStyle w:val="Compact"/>
              <w:jc w:val="left"/>
            </w:pPr>
            <w:r>
              <w:t xml:space="preserve">TEN 9–12</w:t>
            </w:r>
          </w:p>
        </w:tc>
      </w:tr>
      <w:tr>
        <w:tc>
          <w:tcPr/>
          <w:p>
            <w:pPr>
              <w:pStyle w:val="Compact"/>
              <w:jc w:val="left"/>
            </w:pPr>
            <w:r>
              <w:t xml:space="preserve">13–16 Silenciosos Logs, monitoreo, defensa de la red</w:t>
            </w:r>
          </w:p>
        </w:tc>
      </w:tr>
      <w:tr>
        <w:tc>
          <w:tcPr/>
          <w:p>
            <w:pPr>
              <w:pStyle w:val="Compact"/>
              <w:jc w:val="left"/>
            </w:pPr>
            <w:r>
              <w:t xml:space="preserve">17–19 Silencioso recuperación y respuesta a incidentes</w:t>
            </w:r>
          </w:p>
        </w:tc>
      </w:tr>
      <w:tr>
        <w:tc>
          <w:tcPr/>
          <w:p>
            <w:pPr>
              <w:pStyle w:val="Compact"/>
              <w:jc w:val="left"/>
            </w:pPr>
            <w:r>
              <w:t xml:space="preserve">20–22</w:t>
            </w:r>
          </w:p>
        </w:tc>
      </w:tr>
      <w:tr>
        <w:tc>
          <w:tcPr/>
          <w:p>
            <w:pPr>
              <w:pStyle w:val="Compact"/>
              <w:jc w:val="left"/>
            </w:pPr>
            <w:r>
              <w:t xml:space="preserve">Silencioso 23–25 Evaluación de la vida Especificación</w:t>
            </w:r>
          </w:p>
        </w:tc>
      </w:tr>
      <w:tr>
        <w:tc>
          <w:tcPr/>
          <w:p>
            <w:pPr>
              <w:pStyle w:val="Compact"/>
              <w:jc w:val="left"/>
            </w:pPr>
            <w:r>
              <w:t xml:space="preserve">26–28</w:t>
            </w:r>
          </w:p>
        </w:tc>
      </w:tr>
      <w:tr>
        <w:tc>
          <w:tcPr/>
          <w:p>
            <w:pPr>
              <w:pStyle w:val="Compact"/>
              <w:jc w:val="left"/>
            </w:pPr>
            <w:r>
              <w:t xml:space="preserve">TEN 29–30</w:t>
            </w:r>
          </w:p>
        </w:tc>
      </w:tr>
    </w:tbl>
    <w:p>
      <w:pPr>
        <w:numPr>
          <w:ilvl w:val="0"/>
          <w:numId w:val="1018"/>
        </w:numPr>
        <w:pStyle w:val="Compact"/>
      </w:pPr>
      <w:r>
        <w:t xml:space="preserve">Preparación de entrevistas</w:t>
      </w:r>
    </w:p>
    <w:p>
      <w:pPr>
        <w:numPr>
          <w:ilvl w:val="0"/>
          <w:numId w:val="1019"/>
        </w:numPr>
        <w:pStyle w:val="Compact"/>
      </w:pPr>
      <w:r>
        <w:t xml:space="preserve">Respuestas claras, escenarios prácticos y preguntas para el empleador.*</w:t>
      </w:r>
    </w:p>
    <w:bookmarkStart w:id="67" w:name="cuáles-son-los-controles-cis"/>
    <w:p>
      <w:pPr>
        <w:pStyle w:val="Heading2"/>
      </w:pPr>
      <w:r>
        <w:t xml:space="preserve">29.1 ¿Cuáles son los Controles CIS?</w:t>
      </w:r>
    </w:p>
    <w:p>
      <w:pPr>
        <w:pStyle w:val="FirstParagraph"/>
      </w:pPr>
      <w:r>
        <w:t xml:space="preserve">Un conjunto priorizado de mejores prácticas defensivas organizadas en 18 Controles y 153 Salvaguardias enfocadas.</w:t>
      </w:r>
    </w:p>
    <w:bookmarkEnd w:id="67"/>
    <w:bookmarkStart w:id="68"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68"/>
    <w:bookmarkStart w:id="69"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69"/>
    <w:bookmarkStart w:id="70"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70"/>
    <w:bookmarkStart w:id="71"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71"/>
    <w:bookmarkStart w:id="72"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72"/>
    <w:bookmarkStart w:id="73"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73"/>
    <w:bookmarkStart w:id="74"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74"/>
    <w:bookmarkStart w:id="75"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75"/>
    <w:bookmarkEnd w:id="76"/>
    <w:bookmarkStart w:id="85" w:name="plantillas-glosario-índice-y-referencias"/>
    <w:p>
      <w:pPr>
        <w:pStyle w:val="Heading1"/>
      </w:pPr>
      <w:r>
        <w:t xml:space="preserve">30. Plantillas, Glosario, Índice y Referencias</w:t>
      </w:r>
    </w:p>
    <w:p>
      <w:pPr>
        <w:numPr>
          <w:ilvl w:val="0"/>
          <w:numId w:val="1020"/>
        </w:numPr>
        <w:pStyle w:val="Compact"/>
      </w:pPr>
      <w:r>
        <w:t xml:space="preserve">Estructuras de trabajo reutilizables, términos importantes y puntos de partida autorizados.*</w:t>
      </w:r>
    </w:p>
    <w:bookmarkStart w:id="77"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77"/>
    <w:bookmarkStart w:id="78"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78"/>
    <w:bookmarkStart w:id="79"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79"/>
    <w:bookmarkStart w:id="80"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80"/>
    <w:bookmarkStart w:id="84"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81">
        <w:r>
          <w:rPr>
            <w:rStyle w:val="Hyperlink"/>
          </w:rPr>
          <w:t xml:space="preserve">Nota de Controles CIS</w:t>
        </w:r>
      </w:hyperlink>
    </w:p>
    <w:p>
      <w:pPr>
        <w:pStyle w:val="BodyText"/>
      </w:pPr>
      <w:r>
        <w:t xml:space="preserve">[ ]](https://www.cisecurity.org/controls/implementation-groups)</w:t>
      </w:r>
    </w:p>
    <w:p>
      <w:pPr>
        <w:pStyle w:val="BodyText"/>
      </w:pPr>
      <w:hyperlink r:id="rId82">
        <w:r>
          <w:rPr>
            <w:rStyle w:val="Hyperlink"/>
          </w:rPr>
          <w:t xml:space="preserve">Seguido</w:t>
        </w:r>
      </w:hyperlink>
    </w:p>
    <w:p>
      <w:pPr>
        <w:pStyle w:val="BodyText"/>
      </w:pPr>
      <w:hyperlink r:id="rId39">
        <w:r>
          <w:rPr>
            <w:rStyle w:val="Hyperlink"/>
          </w:rPr>
          <w:t xml:space="preserve">Seguido</w:t>
        </w:r>
      </w:hyperlink>
    </w:p>
    <w:p>
      <w:pPr>
        <w:pStyle w:val="BodyText"/>
      </w:pPr>
      <w:hyperlink r:id="rId83">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cas.docs.cisecurity.org/en/latest/" TargetMode="External" /><Relationship Type="http://schemas.openxmlformats.org/officeDocument/2006/relationships/hyperlink" Id="rId49" Target="https://cisofy.com/lynis/" TargetMode="External" /><Relationship Type="http://schemas.openxmlformats.org/officeDocument/2006/relationships/hyperlink" Id="rId61" Target="https://docs.velociraptor.app/" TargetMode="External" /><Relationship Type="http://schemas.openxmlformats.org/officeDocument/2006/relationships/hyperlink" Id="rId42" Target="https://intuitem.github.io/ciso-assistant-community/" TargetMode="External" /><Relationship Type="http://schemas.openxmlformats.org/officeDocument/2006/relationships/hyperlink" Id="rId51" Target="https://nmap.org/" TargetMode="External" /><Relationship Type="http://schemas.openxmlformats.org/officeDocument/2006/relationships/hyperlink" Id="rId44" Target="https://wazuh.com/" TargetMode="External" /><Relationship Type="http://schemas.openxmlformats.org/officeDocument/2006/relationships/hyperlink" Id="rId82" Target="https://www.cisecurity.org/controls/cis-controls-assessment-specification" TargetMode="External" /><Relationship Type="http://schemas.openxmlformats.org/officeDocument/2006/relationships/hyperlink" Id="rId81" Target="https://www.cisecurity.org/controls/cis-controls-list" TargetMode="External" /><Relationship Type="http://schemas.openxmlformats.org/officeDocument/2006/relationships/hyperlink" Id="rId83" Target="https://www.cisecurity.org/controls/cis-controls-navigator" TargetMode="External" /><Relationship Type="http://schemas.openxmlformats.org/officeDocument/2006/relationships/hyperlink" Id="rId59" Target="https://www.defectdojo.org/" TargetMode="External" /><Relationship Type="http://schemas.openxmlformats.org/officeDocument/2006/relationships/hyperlink" Id="rId57" Target="https://www.keycloak.org/" TargetMode="External" /><Relationship Type="http://schemas.openxmlformats.org/officeDocument/2006/relationships/hyperlink" Id="rId47" Target="https://www.open-scap.org/" TargetMode="External" /></Relationships>
</file>

<file path=word/_rels/footnotes.xml.rels><?xml version="1.0" encoding="UTF-8"?><Relationships xmlns="http://schemas.openxmlformats.org/package/2006/relationships"><Relationship Type="http://schemas.openxmlformats.org/officeDocument/2006/relationships/hyperlink" Id="rId39" Target="https://cas.docs.cisecurity.org/en/latest/" TargetMode="External" /><Relationship Type="http://schemas.openxmlformats.org/officeDocument/2006/relationships/hyperlink" Id="rId49" Target="https://cisofy.com/lynis/" TargetMode="External" /><Relationship Type="http://schemas.openxmlformats.org/officeDocument/2006/relationships/hyperlink" Id="rId61" Target="https://docs.velociraptor.app/" TargetMode="External" /><Relationship Type="http://schemas.openxmlformats.org/officeDocument/2006/relationships/hyperlink" Id="rId42" Target="https://intuitem.github.io/ciso-assistant-community/" TargetMode="External" /><Relationship Type="http://schemas.openxmlformats.org/officeDocument/2006/relationships/hyperlink" Id="rId51" Target="https://nmap.org/" TargetMode="External" /><Relationship Type="http://schemas.openxmlformats.org/officeDocument/2006/relationships/hyperlink" Id="rId44" Target="https://wazuh.com/" TargetMode="External" /><Relationship Type="http://schemas.openxmlformats.org/officeDocument/2006/relationships/hyperlink" Id="rId82" Target="https://www.cisecurity.org/controls/cis-controls-assessment-specification" TargetMode="External" /><Relationship Type="http://schemas.openxmlformats.org/officeDocument/2006/relationships/hyperlink" Id="rId81" Target="https://www.cisecurity.org/controls/cis-controls-list" TargetMode="External" /><Relationship Type="http://schemas.openxmlformats.org/officeDocument/2006/relationships/hyperlink" Id="rId83" Target="https://www.cisecurity.org/controls/cis-controls-navigator" TargetMode="External" /><Relationship Type="http://schemas.openxmlformats.org/officeDocument/2006/relationships/hyperlink" Id="rId59" Target="https://www.defectdojo.org/" TargetMode="External" /><Relationship Type="http://schemas.openxmlformats.org/officeDocument/2006/relationships/hyperlink" Id="rId57" Target="https://www.keycloak.org/" TargetMode="External" /><Relationship Type="http://schemas.openxmlformats.org/officeDocument/2006/relationships/hyperlink" Id="rId47" Target="https://www.open-sca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2026-07-29T01:04:09Z</dcterms:created>
  <dcterms:modified xsi:type="dcterms:W3CDTF">2026-07-29T01:04:09Z</dcterms:modified>
</cp:coreProperties>
</file>

<file path=docProps/custom.xml><?xml version="1.0" encoding="utf-8"?>
<Properties xmlns="http://schemas.openxmlformats.org/officeDocument/2006/custom-properties" xmlns:vt="http://schemas.openxmlformats.org/officeDocument/2006/docPropsVTypes"/>
</file>