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RESPOSTA INCIDENTE</w:t>
      </w:r>
    </w:p>
    <w:p>
      <w:pPr>
        <w:pStyle w:val="BodyText"/>
      </w:pPr>
      <w:r>
        <w:t xml:space="preserve">** CONTINUIDADE DAS EMPRESAS &amp; RECUPERAÇÃO DE DESEMPENHO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Mostra como se preparar para a interrupção, detectar e gerenciar incidentes cibernéticos, continuar serviços críticos, restaurar a tecnologia com segurança, testar evidências, usar ferramentas de código aberto e construir habilidades de analista prontas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Incidentes e interrupções não seguem um script conveniente. Um ataque cibernético pode se tornar uma crise legal, de segurança, cliente, financeira, operacional e de reputação. Boa resiliência conecta resposta incidente, continuidade de negócios, recuperação de desastres, liderança em crises, comunicações, fornecedores e melhoria contínua.</w:t>
      </w:r>
    </w:p>
    <w:p>
      <w:pPr>
        <w:pStyle w:val="BodyText"/>
      </w:pPr>
      <w:r>
        <w:t xml:space="preserve">Este manual usa linguagem simples e produtos de trabalho realistas. Não é um conselho jurídico ou uma garantia. Os requisitos variam de acordo com a organização, setor, contrato, país, regulador, tecnologia e evento. Durante uma emergência real, siga a autoridade aprovada, preserve a segurança e as evidências, e envolva profissionais qualificados legais, de privacidade, recursos humanos, comunicações, seguros, aplicação da lei e técnicos, conforme apropriado.</w:t>
      </w:r>
    </w:p>
    <w:p>
      <w:pPr>
        <w:pStyle w:val="BodyText"/>
      </w:pPr>
      <w:r>
        <w:t xml:space="preserve">Nota de informação actual:** As orientações oficiais foram verificadas em 14 de julho de 2026. A fundação de resposta a incidentes é NIST SP 800-61 Rev. 3, finalizada em 3 de abril de 2025. O conteúdo de continuidade também usa NIST SP 800-34 Rev. 1 Atualização 1 e ISO 22301:2019 com Emenda 1:2024.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Start w:id="20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7, 9–13, 19–25 e 27.</w:t>
      </w:r>
    </w:p>
    <w:p>
      <w:pPr>
        <w:numPr>
          <w:ilvl w:val="0"/>
          <w:numId w:val="1001"/>
        </w:numPr>
      </w:pPr>
      <w:r>
        <w:t xml:space="preserve">Analistas júnior: estudem em ordem e completem os Capítulos 26–29 com dados sintéticos e laboratórios autorizados.</w:t>
      </w:r>
    </w:p>
    <w:p>
      <w:pPr>
        <w:numPr>
          <w:ilvl w:val="0"/>
          <w:numId w:val="1001"/>
        </w:numPr>
      </w:pPr>
      <w:r>
        <w:t xml:space="preserve">Respondedores técnicos: foco nos capítulos 5–18, 21–24 e 26.</w:t>
      </w:r>
    </w:p>
    <w:p>
      <w:pPr>
        <w:numPr>
          <w:ilvl w:val="0"/>
          <w:numId w:val="1001"/>
        </w:numPr>
      </w:pPr>
      <w:r>
        <w:t xml:space="preserve">Equipes de continuidade e recuperação: foco nos capítulos 3, 11 e 19–24.</w:t>
      </w:r>
    </w:p>
    <w:p>
      <w:pPr>
        <w:numPr>
          <w:ilvl w:val="0"/>
          <w:numId w:val="1001"/>
        </w:numPr>
      </w:pPr>
      <w:r>
        <w:t xml:space="preserve">Alfaiate cada plano, limiar, contato, exigência e exercício para 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Word. O guia do capítulo na página seguinte é uma referência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r>
        <w:t xml:space="preserve">[1 [1] [#ir-business-continuity-and-disaster-recovery-foundations](#ir-business-continuity-and-disaster-recovery-foundations]</w:t>
      </w:r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Governação, Política e Funções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Princípios essenciais da governação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Avaliação dos riscos e análise do impacto das empresas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3,1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atual de resposta ao incidente de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Sequência de funcionamento prática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Preparação e preparação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verificação da disponibilidade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Desenho de livro de reprodução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Validação da detecção e do evento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Fontes de sinal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Questões de validação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Triagem, Severidade e Escalação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7,1 Saída de triagem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Investigação e Escova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8,1 Método de investigação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Estratégia de contenção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9,1 Opções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Registo da decisão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Erradicação e reparação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Trabalho de erradicação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Recuperação e regresso ao serviço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Portas de recuperação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Provas de recuperação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Lições aprendidas e melhoria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Processo pós-ação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Coordenação da Comunicação, Jurídica e Regulatória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Regras de funcionamento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Provas digitais e preparação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Registo de provas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Resgates e ataques destrutivos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Decisão de pagamento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Resposta ao incidente de nuvem e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Investigação em nuvem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Contenção em nuvem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Incidentes de identidade e de acesso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Âmbito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Ordem de recuperação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Incidentes de terceiros e de cadeia de abastecimento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Sistema de Gestão da Continuidade das Empresas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Estratégias e procedimentos de continuidade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Procedimento de continuidade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Planejamento de recuperação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processo de contingência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Conteúdo do plano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Garantias de apoio e recuperação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Desenho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Ensaio de restauração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Gestão de crises e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liderança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Exercícios, formação e manutenção de planos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Provas pós-acção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Mapeamento da conformidade, testes de provas e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Teste de provas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A colmeia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26,2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Volatilidade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Autópsia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 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26,14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26,15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26,16 GRR Resposta Rápida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Embaralhar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resiliência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Questões executivas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Guia de carreira do analista júnior e Laboratório de Portfólio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Laboratório de carteira fictícia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Preparação do plano e da entrevista de trinta dias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Qual é a diferença entre IR, BC e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O que é NIST SP 800-61 Rev. 3? [42](#what-is-nist-sp-800-61-rev.-3)</w:t>
        </w:r>
      </w:hyperlink>
    </w:p>
    <w:p>
      <w:pPr>
        <w:pStyle w:val="BodyText"/>
      </w:pPr>
      <w:r>
        <w:t xml:space="preserve">[29.4 RTO versus RPO? [42] (#rto-versus-rpo)] (#rto-versus-rpo)</w:t>
      </w:r>
    </w:p>
    <w:p>
      <w:pPr>
        <w:pStyle w:val="BodyText"/>
      </w:pPr>
      <w:r>
        <w:t xml:space="preserve">[29.5 Como é que se analisa um incidente?]</w:t>
      </w:r>
      <w:r>
        <w:t xml:space="preserve"> </w:t>
      </w:r>
      <w:hyperlink w:anchor="how-do-you-triage-an-incident">
        <w:r>
          <w:rPr>
            <w:rStyle w:val="Hyperlink"/>
          </w:rPr>
          <w:t xml:space="preserve">42</w:t>
        </w:r>
      </w:hyperlink>
      <w:r>
        <w:t xml:space="preserve">](#how-do-you-triage-an-incident)</w:t>
      </w:r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O que torna as provas fiáveis?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Quando a recuperação está concluída?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Como você fecha uma melhoria?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29,9 O que um analista júnior deve evitar?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Registo BIA e de continuidade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Registo de provas e de cadeia de custódia [44](#evidence-and-chain-of-custody-record)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Registo de exercício e de acção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0"/>
    <w:bookmarkStart w:id="21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1 IR, Continuidade de Negócios e Fundações de Recuperação de Desastres</w:t>
      </w:r>
      <w:r>
        <w:t xml:space="preserve"> </w:t>
      </w:r>
      <w:r>
        <w:t xml:space="preserve">2 Governança, Política e Funções</w:t>
      </w:r>
      <w:r>
        <w:t xml:space="preserve"> </w:t>
      </w:r>
      <w:r>
        <w:t xml:space="preserve">Avaliação de Risco e Análise de Impacto das Empresas</w:t>
      </w:r>
      <w:r>
        <w:t xml:space="preserve"> </w:t>
      </w:r>
      <w:r>
        <w:t xml:space="preserve">Modelo de resposta de incidentes NIST atual</w:t>
      </w:r>
      <w:r>
        <w:t xml:space="preserve"> </w:t>
      </w:r>
      <w:r>
        <w:t xml:space="preserve">Preparação e preparação</w:t>
      </w:r>
      <w:r>
        <w:t xml:space="preserve"> </w:t>
      </w:r>
      <w:r>
        <w:t xml:space="preserve">Detecção e Validação de Eventos</w:t>
      </w:r>
      <w:r>
        <w:t xml:space="preserve"> </w:t>
      </w:r>
      <w:r>
        <w:t xml:space="preserve">7 . . . Triagem, Severidade e Escalação . . .</w:t>
      </w:r>
      <w:r>
        <w:t xml:space="preserve"> </w:t>
      </w:r>
      <w:r>
        <w:t xml:space="preserve">8 Investigação e Escopo 13</w:t>
      </w:r>
      <w:r>
        <w:t xml:space="preserve"> </w:t>
      </w:r>
      <w:r>
        <w:t xml:space="preserve">Estratégia de contenção</w:t>
      </w:r>
      <w:r>
        <w:t xml:space="preserve"> </w:t>
      </w:r>
      <w:r>
        <w:t xml:space="preserve">10 , Erradicação e Remediação , 15 ,</w:t>
      </w:r>
      <w:r>
        <w:t xml:space="preserve"> </w:t>
      </w:r>
      <w:r>
        <w:t xml:space="preserve">Recuperação e retorno ao serviço 16</w:t>
      </w:r>
      <w:r>
        <w:t xml:space="preserve"> </w:t>
      </w:r>
      <w:r>
        <w:t xml:space="preserve">12 Lições aprendidas e Melhorias 17</w:t>
      </w:r>
      <w:r>
        <w:t xml:space="preserve"> </w:t>
      </w:r>
      <w:r>
        <w:t xml:space="preserve">• 13 • Coordenação da Comunicação, Jurídica e Regulatória □ 18</w:t>
      </w:r>
      <w:r>
        <w:t xml:space="preserve"> </w:t>
      </w:r>
      <w:r>
        <w:t xml:space="preserve">• 14 • Evidências Digitais e Prontidão Forense</w:t>
      </w:r>
      <w:r>
        <w:t xml:space="preserve"> </w:t>
      </w:r>
      <w:r>
        <w:t xml:space="preserve">15 Resgates e Ataques Destrutivos</w:t>
      </w:r>
      <w:r>
        <w:t xml:space="preserve"> </w:t>
      </w:r>
      <w:r>
        <w:t xml:space="preserve">Resposta ao Incidente da Nuvem e da SaaS</w:t>
      </w:r>
      <w:r>
        <w:t xml:space="preserve"> </w:t>
      </w:r>
      <w:r>
        <w:t xml:space="preserve">17 □ Incidentes de Identidade e Acesso Privilegiado</w:t>
      </w:r>
      <w:r>
        <w:t xml:space="preserve"> </w:t>
      </w:r>
      <w:r>
        <w:t xml:space="preserve">Incidentes da Terceira Parte e da Terceira Cadeia de Fornecimentos</w:t>
      </w:r>
      <w:r>
        <w:t xml:space="preserve"> </w:t>
      </w:r>
      <w:r>
        <w:t xml:space="preserve">Sistema de Gestão da Continuidade de Negócios ..</w:t>
      </w:r>
      <w:r>
        <w:t xml:space="preserve"> </w:t>
      </w:r>
      <w:r>
        <w:t xml:space="preserve">Estratégias e Procedimentos de Continuidade</w:t>
      </w:r>
      <w:r>
        <w:t xml:space="preserve"> </w:t>
      </w:r>
      <w:r>
        <w:t xml:space="preserve">Planejamento de Recuperação de Desastres</w:t>
      </w:r>
      <w:r>
        <w:t xml:space="preserve"> </w:t>
      </w:r>
      <w:r>
        <w:t xml:space="preserve">22 backups e garantia de recuperação 27</w:t>
      </w:r>
      <w:r>
        <w:t xml:space="preserve"> </w:t>
      </w:r>
      <w:r>
        <w:t xml:space="preserve">Gestão de Crises e Fatores Humanos</w:t>
      </w:r>
      <w:r>
        <w:t xml:space="preserve"> </w:t>
      </w:r>
      <w:r>
        <w:t xml:space="preserve">24 Exercícios, Treinamento e Manutenção do Plano</w:t>
      </w:r>
      <w:r>
        <w:t xml:space="preserve"> </w:t>
      </w:r>
      <w:r>
        <w:t xml:space="preserve">O mapeamento de conformidade, teste de evidência, e métrica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Jogo de Resiliência do Gerente ..27 .</w:t>
      </w:r>
      <w:r>
        <w:t xml:space="preserve"> </w:t>
      </w:r>
      <w:r>
        <w:t xml:space="preserve">Guia de Carreira e Laboratório de Portfólio do Junior</w:t>
      </w:r>
      <w:r>
        <w:t xml:space="preserve"> </w:t>
      </w:r>
      <w:r>
        <w:t xml:space="preserve">O Plano e a Preparação da Entrevista de Trinta Dias</w:t>
      </w:r>
      <w:r>
        <w:t xml:space="preserve"> </w:t>
      </w:r>
      <w:r>
        <w:t xml:space="preserve">Modelos, Glossário, Índice e Referências</w:t>
      </w:r>
    </w:p>
    <w:bookmarkEnd w:id="21"/>
    <w:bookmarkStart w:id="23" w:name="Xa31b884c93bf8be8cc0c2c12ea1565d5c0de5f3"/>
    <w:p>
      <w:pPr>
        <w:pStyle w:val="Heading1"/>
      </w:pPr>
      <w:r>
        <w:t xml:space="preserve">1. IR, Continuidade de Negócios e Fundações de Recuperação de Desastres</w:t>
      </w:r>
    </w:p>
    <w:p>
      <w:pPr>
        <w:numPr>
          <w:ilvl w:val="0"/>
          <w:numId w:val="1002"/>
        </w:numPr>
        <w:pStyle w:val="Compact"/>
      </w:pPr>
      <w:r>
        <w:t xml:space="preserve">Resiliência conecta resposta cibernética, operações críticas, restauração de tecnologia e liderança.*</w:t>
      </w:r>
    </w:p>
    <w:p>
      <w:pPr>
        <w:pStyle w:val="FirstParagraph"/>
      </w:pPr>
    </w:p>
    <w:p>
      <w:pPr>
        <w:pStyle w:val="BodyText"/>
      </w:pPr>
      <w:r>
        <w:t xml:space="preserve">Figura 1. Ciclo integrado de resiliência cibernética</w:t>
      </w:r>
    </w:p>
    <w:bookmarkStart w:id="22" w:name="capacidade-questão-primária-dono-típico"/>
    <w:p>
      <w:pPr>
        <w:pStyle w:val="Heading2"/>
      </w:pPr>
      <w:r>
        <w:t xml:space="preserve">Capacidade ** ** Questão primária ** ** Dono típico **</w:t>
      </w:r>
    </w:p>
    <w:p>
      <w:pPr>
        <w:pStyle w:val="FirstParagraph"/>
      </w:pPr>
      <w:r>
        <w:t xml:space="preserve">Como detectamos, concentramos, removemos, recuperamos e aprendemos com incidentes cibernéticos? Comandante de segurança / incidente</w:t>
      </w:r>
      <w:r>
        <w:t xml:space="preserve"> </w:t>
      </w:r>
      <w:r>
        <w:t xml:space="preserve">Como continuarão os produtos e serviços críticos durante a interrupção? Continuidade de negócios / proprietários de processos</w:t>
      </w:r>
      <w:r>
        <w:t xml:space="preserve"> </w:t>
      </w:r>
      <w:r>
        <w:t xml:space="preserve">Como a tecnologia e os dados serão restaurados aos alvos aprovados? Os proprietários de TI / sistema e recuperação</w:t>
      </w:r>
      <w:r>
        <w:t xml:space="preserve"> </w:t>
      </w:r>
      <w:r>
        <w:t xml:space="preserve">Como os líderes tomarão decisões de alto impacto e coordenarão as partes interessadas? Equipa de crise executiva</w:t>
      </w:r>
      <w:r>
        <w:t xml:space="preserve"> </w:t>
      </w:r>
      <w:r>
        <w:t xml:space="preserve">Como as pessoas serão protegidas durante o perigo físico? Instalações / segurança / autoridades públicas</w:t>
      </w:r>
    </w:p>
    <w:p>
      <w:pPr>
        <w:pStyle w:val="BodyText"/>
      </w:pPr>
      <w:r>
        <w:t xml:space="preserve">Não confunda os planos: Eles devem coordenar, mas têm objetivos diferentes, autoridades, gatilhos, equipes e evidências. Um documento raramente serve bem a todas as necessidades. □</w:t>
      </w:r>
      <w:r>
        <w:t xml:space="preserve"> </w:t>
      </w:r>
      <w:r>
        <w:t xml:space="preserve">O que é que se passa?</w:t>
      </w:r>
    </w:p>
    <w:bookmarkEnd w:id="22"/>
    <w:bookmarkEnd w:id="23"/>
    <w:bookmarkStart w:id="26" w:name="governança-política-e-funções"/>
    <w:p>
      <w:pPr>
        <w:pStyle w:val="Heading1"/>
      </w:pPr>
      <w:r>
        <w:t xml:space="preserve">2. Governança, Política e Funções</w:t>
      </w:r>
    </w:p>
    <w:p>
      <w:pPr>
        <w:numPr>
          <w:ilvl w:val="0"/>
          <w:numId w:val="1003"/>
        </w:numPr>
        <w:pStyle w:val="Compact"/>
      </w:pPr>
      <w:r>
        <w:t xml:space="preserve">Autoridade, direitos de decisão, contatos e recursos devem existir antes que a pressão comece.*</w:t>
      </w:r>
    </w:p>
    <w:bookmarkStart w:id="25" w:name="o-essencial-da-governança"/>
    <w:p>
      <w:pPr>
        <w:pStyle w:val="Heading2"/>
      </w:pPr>
      <w:r>
        <w:t xml:space="preserve">2.1 O essencial da governança</w:t>
      </w:r>
    </w:p>
    <w:p>
      <w:pPr>
        <w:numPr>
          <w:ilvl w:val="0"/>
          <w:numId w:val="1004"/>
        </w:numPr>
      </w:pPr>
      <w:r>
        <w:t xml:space="preserve">Política, âmbito de aplicação, objectivos, autoridades, critérios de risco e recursos aprovados pelo Executivo.</w:t>
      </w:r>
    </w:p>
    <w:p>
      <w:pPr>
        <w:numPr>
          <w:ilvl w:val="0"/>
          <w:numId w:val="1004"/>
        </w:numPr>
      </w:pPr>
      <w:r>
        <w:t xml:space="preserve">Nomeado comandante incidente, líder técnico, líder de continuidade, líder de recuperação, líder de comunicações, contatos legais/privacy e suplentes.</w:t>
      </w:r>
    </w:p>
    <w:p>
      <w:pPr>
        <w:numPr>
          <w:ilvl w:val="0"/>
          <w:numId w:val="1004"/>
        </w:numPr>
      </w:pPr>
      <w:r>
        <w:t xml:space="preserve">Limiares de gravidade e ativação, vias de escalada, autoridade de mudança de emergência, autoridade de despesa e aceitação de riscos comerciais.</w:t>
      </w:r>
    </w:p>
    <w:p>
      <w:pPr>
        <w:numPr>
          <w:ilvl w:val="0"/>
          <w:numId w:val="1004"/>
        </w:numPr>
      </w:pPr>
      <w:r>
        <w:t xml:space="preserve">Métodos de contato seguros, comunicações fora da faixa, árvores de chamada, fornecedores, seguradoras, reguladores e autoridades públicas.</w:t>
      </w:r>
    </w:p>
    <w:p>
      <w:pPr>
        <w:numPr>
          <w:ilvl w:val="0"/>
          <w:numId w:val="1004"/>
        </w:numPr>
      </w:pPr>
      <w:r>
        <w:t xml:space="preserve">Planejar a propriedade, controle de versão, distribuição, treinamento, exercício, revisão e programação de melhoria.</w:t>
      </w:r>
    </w:p>
    <w:p>
      <w:pPr>
        <w:numPr>
          <w:ilvl w:val="0"/>
          <w:numId w:val="1004"/>
        </w:numPr>
        <w:pStyle w:val="Heading2"/>
      </w:pPr>
      <w:bookmarkStart w:id="24" w:name="decisões-chave"/>
      <w:r>
        <w:t xml:space="preserve">** ** ** ** ** ** Decisões-chave**</w:t>
      </w:r>
      <w:bookmarkEnd w:id="24"/>
    </w:p>
    <w:p>
      <w:pPr>
        <w:numPr>
          <w:ilvl w:val="0"/>
          <w:numId w:val="1000"/>
        </w:numPr>
      </w:pPr>
      <w:r>
        <w:t xml:space="preserve">Comandante do incidente . Objetivos, prioridades, coordenação de tarefas, ritmo de status, escalada .</w:t>
      </w:r>
      <w:r>
        <w:t xml:space="preserve"> </w:t>
      </w:r>
      <w:r>
        <w:t xml:space="preserve">• Chumbo técnico • Investigação, âmbito, contenção, erradicação, critérios de recuperação</w:t>
      </w:r>
      <w:r>
        <w:t xml:space="preserve"> </w:t>
      </w:r>
      <w:r>
        <w:t xml:space="preserve">O proprietário da empresa O impacto operacional, solução alternativa, prioridade, aceitação do retorno ao serviço</w:t>
      </w:r>
      <w:r>
        <w:t xml:space="preserve"> </w:t>
      </w:r>
      <w:r>
        <w:t xml:space="preserve">□ Continuidade / DR lead □ Processo/site alternativo, sequência de recuperação, conflitos de recursos</w:t>
      </w:r>
      <w:r>
        <w:t xml:space="preserve"> </w:t>
      </w:r>
      <w:r>
        <w:t xml:space="preserve">□ Legal / privacidade □ Privilégio, preservação, análise de notificação, autoridades, contratos</w:t>
      </w:r>
      <w:r>
        <w:t xml:space="preserve"> </w:t>
      </w:r>
      <w:r>
        <w:t xml:space="preserve">□ Comunicações □ Funcionários, clientes, parceiros, público, mídia, aprovação de mensagens</w:t>
      </w:r>
      <w:r>
        <w:t xml:space="preserve"> </w:t>
      </w:r>
      <w:r>
        <w:t xml:space="preserve">□ Escriba / evidência de custódia</w:t>
      </w:r>
      <w:r>
        <w:t xml:space="preserve"> </w:t>
      </w:r>
      <w:r>
        <w:t xml:space="preserve">Segurança, risco material, estratégia, recursos, postura externa</w:t>
      </w:r>
    </w:p>
    <w:bookmarkEnd w:id="25"/>
    <w:bookmarkEnd w:id="26"/>
    <w:bookmarkStart w:id="30" w:name="Xb777adbff45fdce93bd870b2d4e7d1ac6bcf79d"/>
    <w:p>
      <w:pPr>
        <w:pStyle w:val="Heading1"/>
      </w:pPr>
      <w:r>
        <w:t xml:space="preserve">3. Avaliação de risco e análise de impacto empresarial</w:t>
      </w:r>
    </w:p>
    <w:p>
      <w:pPr>
        <w:pStyle w:val="FirstParagraph"/>
      </w:pPr>
      <w:r>
        <w:rPr>
          <w:iCs/>
          <w:i/>
        </w:rPr>
        <w:t xml:space="preserve">Uma análise de impacto empresarial torna vaga importância em requisitos de recuperação baseados no tempo.</w:t>
      </w:r>
    </w:p>
    <w:p>
      <w:pPr>
        <w:pStyle w:val="BodyText"/>
      </w:pPr>
    </w:p>
    <w:p>
      <w:pPr>
        <w:pStyle w:val="BodyText"/>
      </w:pPr>
      <w:r>
        <w:t xml:space="preserve">Figura 2. Cadeia de raciocínio BIA</w:t>
      </w:r>
    </w:p>
    <w:bookmarkStart w:id="28" w:name="método-bia"/>
    <w:p>
      <w:pPr>
        <w:pStyle w:val="Heading2"/>
      </w:pPr>
      <w:r>
        <w:t xml:space="preserve">3.1 Método BIA</w:t>
      </w:r>
    </w:p>
    <w:p>
      <w:pPr>
        <w:numPr>
          <w:ilvl w:val="0"/>
          <w:numId w:val="1005"/>
        </w:numPr>
      </w:pPr>
      <w:r>
        <w:t xml:space="preserve">Defina produtos, serviços, processos, proprietários, clientes e saída mínima aceitável.</w:t>
      </w:r>
    </w:p>
    <w:p>
      <w:pPr>
        <w:numPr>
          <w:ilvl w:val="0"/>
          <w:numId w:val="1005"/>
        </w:numPr>
      </w:pPr>
      <w:r>
        <w:t xml:space="preserve">Estimar a segurança, legal, cliente, financeira, operacional, privacidade, segurança e impacto reputacional à medida que o comprimento da ruptura aumenta.</w:t>
      </w:r>
    </w:p>
    <w:p>
      <w:pPr>
        <w:numPr>
          <w:ilvl w:val="0"/>
          <w:numId w:val="1005"/>
        </w:numPr>
      </w:pPr>
      <w:r>
        <w:t xml:space="preserve">Definir o período máximo tolerável de ruptura (MTPD/MAO) e um objetivo de tempo de recuperação (RTO) que se encaixa dentro dele.</w:t>
      </w:r>
    </w:p>
    <w:p>
      <w:pPr>
        <w:numPr>
          <w:ilvl w:val="0"/>
          <w:numId w:val="1005"/>
        </w:numPr>
      </w:pPr>
      <w:r>
        <w:t xml:space="preserve">Definir o objetivo ponto de recuperação (RPO): a perda máxima de dados toleráveis medidos no tempo.</w:t>
      </w:r>
    </w:p>
    <w:p>
      <w:pPr>
        <w:numPr>
          <w:ilvl w:val="0"/>
          <w:numId w:val="1005"/>
        </w:numPr>
      </w:pPr>
      <w:r>
        <w:t xml:space="preserve">Identificar pessoas, instalações, tecnologia, dados, fornecedores, utilitários, comunicações, registros e dependências upstream/downstream.</w:t>
      </w:r>
    </w:p>
    <w:p>
      <w:pPr>
        <w:numPr>
          <w:ilvl w:val="0"/>
          <w:numId w:val="1005"/>
        </w:numPr>
      </w:pPr>
      <w:r>
        <w:t xml:space="preserve">Validar suposições com proprietários de processos e liderança; resolver prioridades conflitantes.</w:t>
      </w:r>
    </w:p>
    <w:p>
      <w:pPr>
        <w:numPr>
          <w:ilvl w:val="0"/>
          <w:numId w:val="1005"/>
        </w:numPr>
      </w:pPr>
      <w:r>
        <w:t xml:space="preserve">Use resultados para selecionar estratégias, níveis de recuperação, testes, investimentos e planejar conteúdo.</w:t>
      </w:r>
    </w:p>
    <w:p>
      <w:pPr>
        <w:numPr>
          <w:ilvl w:val="0"/>
          <w:numId w:val="1005"/>
        </w:numPr>
        <w:pStyle w:val="Heading2"/>
      </w:pPr>
      <w:bookmarkStart w:id="27" w:name="exemplo"/>
      <w:r>
        <w:t xml:space="preserve">** ** ** ** ** ** ** ** Exemplo **</w:t>
      </w:r>
      <w:bookmarkEnd w:id="27"/>
    </w:p>
    <w:p>
      <w:pPr>
        <w:numPr>
          <w:ilvl w:val="0"/>
          <w:numId w:val="1000"/>
        </w:numPr>
      </w:pPr>
      <w:r>
        <w:t xml:space="preserve">Mais longo rompimento tolerável antes de danos inaceitáveis</w:t>
      </w:r>
      <w:r>
        <w:t xml:space="preserve"> </w:t>
      </w:r>
      <w:r>
        <w:t xml:space="preserve">Tempo de destino para restaurar um processo ou recurso</w:t>
      </w:r>
      <w:r>
        <w:t xml:space="preserve"> </w:t>
      </w:r>
      <w:r>
        <w:t xml:space="preserve">Perda máxima de dados toleráveis medida para trás a partir de rupturas</w:t>
      </w:r>
      <w:r>
        <w:t xml:space="preserve"> </w:t>
      </w:r>
      <w:r>
        <w:t xml:space="preserve">□ Nível mínimo de serviço □ Capacidade mais reduzida aceitável durante o modo de continuidade</w:t>
      </w:r>
      <w:r>
        <w:t xml:space="preserve"> </w:t>
      </w:r>
      <w:r>
        <w:t xml:space="preserve">Dependência Resource outro processo precisa entregar a sua saída Identidade, DNS, região de nuvem, pessoas, fornecedor</w:t>
      </w:r>
    </w:p>
    <w:bookmarkEnd w:id="28"/>
    <w:bookmarkStart w:id="29" w:name="X83d27d136705fab7fd08836cfd55eb866275e35"/>
    <w:p>
      <w:pPr>
        <w:pStyle w:val="Heading2"/>
      </w:pPr>
      <w:r>
        <w:t xml:space="preserve">Erro comum:** RTO e RPO são requisitos de negócios, não configurações de produtos de backup. Teste se o serviço completo de ponta a ponta pode realmente conhecê-los. □</w:t>
      </w:r>
    </w:p>
    <w:bookmarkEnd w:id="29"/>
    <w:bookmarkEnd w:id="30"/>
    <w:bookmarkStart w:id="34" w:name="X9c66590d4aada59a67f654a427146a8dc7741a2"/>
    <w:p>
      <w:pPr>
        <w:pStyle w:val="Heading1"/>
      </w:pPr>
      <w:r>
        <w:t xml:space="preserve">4. NIST atual Modelo de resposta a incidentes</w:t>
      </w:r>
    </w:p>
    <w:p>
      <w:pPr>
        <w:pStyle w:val="FirstParagraph"/>
      </w:pPr>
      <w:r>
        <w:rPr>
          <w:iCs/>
          <w:i/>
        </w:rPr>
        <w:t xml:space="preserve">NIST SP 800-61 Rev. 3 integra resposta incidente nas seis funções CSF 2.0.</w:t>
      </w:r>
    </w:p>
    <w:bookmarkStart w:id="31" w:name="Xe5f44f295907fe4ae675a7b3dcdbf3d54906005"/>
    <w:p>
      <w:pPr>
        <w:pStyle w:val="Heading2"/>
      </w:pPr>
      <w:r>
        <w:t xml:space="preserve">** ** CSF Função** ** ** Contribuição para a resposta a incidentes**</w:t>
      </w:r>
    </w:p>
    <w:p>
      <w:pPr>
        <w:pStyle w:val="FirstParagraph"/>
      </w:pPr>
      <w:r>
        <w:t xml:space="preserve">□ Governar □ Política, funções, autoridades, necessidades legais e contratuais, responsabilidades do fornecedor, supervisão, melhoria</w:t>
      </w:r>
      <w:r>
        <w:t xml:space="preserve"> </w:t>
      </w:r>
      <w:r>
        <w:t xml:space="preserve">□ Identificar ativos, serviços, dados, dependências, riscos, vulnerabilidades, necessidades de melhoria</w:t>
      </w:r>
      <w:r>
        <w:t xml:space="preserve"> </w:t>
      </w:r>
      <w:r>
        <w:t xml:space="preserve">Proteger a identidade, configuração, consciência, segurança de dados, manutenção, resiliência, tecnologia de proteção</w:t>
      </w:r>
      <w:r>
        <w:t xml:space="preserve"> </w:t>
      </w:r>
      <w:r>
        <w:t xml:space="preserve">Detectar □ Monitoramento contínuo e análise de eventos adversos</w:t>
      </w:r>
      <w:r>
        <w:t xml:space="preserve"> </w:t>
      </w:r>
      <w:r>
        <w:t xml:space="preserve">Responda □ Gestão, análise, comunicação, mitigação</w:t>
      </w:r>
      <w:r>
        <w:t xml:space="preserve"> </w:t>
      </w:r>
      <w:r>
        <w:t xml:space="preserve">Recuperar Recuperação-plano de execução, restauração, verificação e recuperação de comunicação</w:t>
      </w:r>
    </w:p>
    <w:p>
      <w:pPr>
        <w:pStyle w:val="BodyText"/>
      </w:pPr>
      <w:r>
        <w:t xml:space="preserve">O que mudou do Apocalipse 2:** A preparação mais antiga – detecção/análise – contenção/eradicação/recuperação – diagrama pós-incidente permanece útil operacionalmente, mas o Rev. 3 substitui o Rev. 2 e enquadra a resposta como gerenciamento de risco de segurança cibernética em toda a organização.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31"/>
    <w:bookmarkStart w:id="32" w:name="sequência-operacional-prática"/>
    <w:p>
      <w:pPr>
        <w:pStyle w:val="Heading2"/>
      </w:pPr>
      <w:r>
        <w:t xml:space="preserve">4.1 Sequência operacional prática</w:t>
      </w:r>
    </w:p>
    <w:p>
      <w:pPr>
        <w:numPr>
          <w:ilvl w:val="0"/>
          <w:numId w:val="1006"/>
        </w:numPr>
      </w:pPr>
      <w:r>
        <w:t xml:space="preserve">Preparar continuamente através de governança, identificação e proteção.</w:t>
      </w:r>
    </w:p>
    <w:p>
      <w:pPr>
        <w:numPr>
          <w:ilvl w:val="0"/>
          <w:numId w:val="1006"/>
        </w:numPr>
      </w:pPr>
      <w:r>
        <w:t xml:space="preserve">Detectar um possível evento adverso e validá-lo.</w:t>
      </w:r>
    </w:p>
    <w:p>
      <w:pPr>
        <w:numPr>
          <w:ilvl w:val="0"/>
          <w:numId w:val="1006"/>
        </w:numPr>
      </w:pPr>
      <w:r>
        <w:t xml:space="preserve">Gerenciar, analisar, comunicar, conter e mitigar o incidente.</w:t>
      </w:r>
    </w:p>
    <w:p>
      <w:pPr>
        <w:numPr>
          <w:ilvl w:val="0"/>
          <w:numId w:val="1006"/>
        </w:numPr>
      </w:pPr>
      <w:r>
        <w:t xml:space="preserve">Restaurar com segurança e comunicar recuperação.</w:t>
      </w:r>
    </w:p>
    <w:p>
      <w:pPr>
        <w:numPr>
          <w:ilvl w:val="0"/>
          <w:numId w:val="1006"/>
        </w:numPr>
      </w:pPr>
      <w:r>
        <w:t xml:space="preserve">Capture lições e melhore todas as seis funções.</w:t>
      </w:r>
    </w:p>
    <w:p>
      <w:pPr>
        <w:numPr>
          <w:ilvl w:val="0"/>
          <w:numId w:val="1007"/>
        </w:numPr>
        <w:pStyle w:val="Compact"/>
      </w:pPr>
      <w:r>
        <w:t xml:space="preserve">Preparação e preparação</w:t>
      </w:r>
    </w:p>
    <w:p>
      <w:pPr>
        <w:numPr>
          <w:ilvl w:val="0"/>
          <w:numId w:val="1008"/>
        </w:numPr>
        <w:pStyle w:val="Compact"/>
      </w:pPr>
      <w:r>
        <w:t xml:space="preserve">A preparação reduz a confusão, falhas de acesso, perda de provas e improvisação perigosa.*</w:t>
      </w:r>
    </w:p>
    <w:bookmarkEnd w:id="32"/>
    <w:bookmarkStart w:id="33" w:name="lista-de-verificação-de-prontidão"/>
    <w:p>
      <w:pPr>
        <w:pStyle w:val="Heading2"/>
      </w:pPr>
      <w:r>
        <w:t xml:space="preserve">5.1 Lista de verificação de prontidão</w:t>
      </w:r>
    </w:p>
    <w:p>
      <w:pPr>
        <w:numPr>
          <w:ilvl w:val="0"/>
          <w:numId w:val="1009"/>
        </w:numPr>
      </w:pPr>
      <w:r>
        <w:t xml:space="preserve">Activo actual, identidade, dados, aplicação, fornecedor, log-source e inventários de dependência.</w:t>
      </w:r>
    </w:p>
    <w:p>
      <w:pPr>
        <w:numPr>
          <w:ilvl w:val="0"/>
          <w:numId w:val="1009"/>
        </w:numPr>
      </w:pPr>
      <w:r>
        <w:t xml:space="preserve">Planos protegidos, contatos offline, diagramas, credenciais, kits de salto, ferramentas forenses, dispositivos limpos, licenças e comunicações seguras.</w:t>
      </w:r>
    </w:p>
    <w:p>
      <w:pPr>
        <w:numPr>
          <w:ilvl w:val="0"/>
          <w:numId w:val="1009"/>
        </w:numPr>
      </w:pPr>
      <w:r>
        <w:t xml:space="preserve">Sincronização de tempo central, registro suficiente, endpoint/rede/telemetria de nuvens, cobertura de detecção, retenção e acesso testado.</w:t>
      </w:r>
    </w:p>
    <w:p>
      <w:pPr>
        <w:numPr>
          <w:ilvl w:val="0"/>
          <w:numId w:val="1009"/>
        </w:numPr>
      </w:pPr>
      <w:r>
        <w:t xml:space="preserve">Ações de contenção pré-aprovadas, mudanças de emergência, métodos de isolamento, suspensão de conta, rotação token/key, bloqueio de domínio e critérios de desligamento do sistema.</w:t>
      </w:r>
    </w:p>
    <w:p>
      <w:pPr>
        <w:numPr>
          <w:ilvl w:val="0"/>
          <w:numId w:val="1009"/>
        </w:numPr>
      </w:pPr>
      <w:r>
        <w:t xml:space="preserve">Preservação de provas, privacidade, detenção legal, cadeia de custódia, seguro, aplicação da lei e procedimentos de notificação.</w:t>
      </w:r>
    </w:p>
    <w:p>
      <w:pPr>
        <w:numPr>
          <w:ilvl w:val="0"/>
          <w:numId w:val="1009"/>
        </w:numPr>
      </w:pPr>
      <w:r>
        <w:t xml:space="preserve">Imagens conhecidas, processo de construção seguro, backups protegidos, ordem de restauração, critérios de validação e aceitação de negócios.</w:t>
      </w:r>
    </w:p>
    <w:p>
      <w:pPr>
        <w:numPr>
          <w:ilvl w:val="0"/>
          <w:numId w:val="1009"/>
        </w:numPr>
      </w:pPr>
      <w:r>
        <w:t xml:space="preserve">Treinamento de papéis, exercícios técnicos e de mesa, testes de call-tree e melhorias rastreadas.</w:t>
      </w:r>
    </w:p>
    <w:bookmarkEnd w:id="33"/>
    <w:bookmarkEnd w:id="34"/>
    <w:bookmarkStart w:id="36" w:name="design-de-livro-de-jogos"/>
    <w:p>
      <w:pPr>
        <w:pStyle w:val="Heading1"/>
      </w:pPr>
      <w:r>
        <w:t xml:space="preserve"># 5.2 Design de livro de jogos</w:t>
      </w:r>
    </w:p>
    <w:p>
      <w:pPr>
        <w:numPr>
          <w:ilvl w:val="0"/>
          <w:numId w:val="1010"/>
        </w:numPr>
        <w:pStyle w:val="Heading2"/>
      </w:pPr>
      <w:bookmarkStart w:id="35" w:name="campo-conteúdo"/>
      <w:r>
        <w:t xml:space="preserve">Campo** * Conteúdo**</w:t>
      </w:r>
      <w:bookmarkEnd w:id="35"/>
    </w:p>
    <w:p>
      <w:pPr>
        <w:numPr>
          <w:ilvl w:val="0"/>
          <w:numId w:val="1000"/>
        </w:numPr>
        <w:pStyle w:val="Compact"/>
      </w:pPr>
      <w:r>
        <w:t xml:space="preserve">□ Trigger □ Condição observável que começa o playbook</w:t>
      </w:r>
      <w:r>
        <w:t xml:space="preserve"> </w:t>
      </w:r>
      <w:r>
        <w:t xml:space="preserve">Objectivos O que deve ser protegido ou aprendido</w:t>
      </w:r>
    </w:p>
    <w:p>
      <w:pPr>
        <w:numPr>
          <w:ilvl w:val="0"/>
          <w:numId w:val="1010"/>
        </w:numPr>
        <w:pStyle w:val="Compact"/>
      </w:pPr>
      <w:r>
        <w:t xml:space="preserve">Autoridade - Quem pode aprovar acções disruptivas</w:t>
      </w:r>
      <w:r>
        <w:t xml:space="preserve"> </w:t>
      </w:r>
      <w:r>
        <w:t xml:space="preserve">Passos □ Pontos de decisão, ações, dependências e alternativas seguras</w:t>
      </w:r>
      <w:r>
        <w:t xml:space="preserve"> </w:t>
      </w:r>
      <w:r>
        <w:t xml:space="preserve">O que capturar antes e depois da ação</w:t>
      </w:r>
      <w:r>
        <w:t xml:space="preserve"> </w:t>
      </w:r>
      <w:r>
        <w:t xml:space="preserve">• Comunicação – Audiência, canal, cadência, fatos aprovados</w:t>
      </w:r>
      <w:r>
        <w:t xml:space="preserve"> </w:t>
      </w:r>
      <w:r>
        <w:t xml:space="preserve">Recuperação . . Critérios de entrada, validação, monitoramento, aceitação .</w:t>
      </w:r>
      <w:r>
        <w:t xml:space="preserve"> </w:t>
      </w:r>
      <w:r>
        <w:t xml:space="preserve">Melhoramento □ Métrica, revisão, proprietário, reteste</w:t>
      </w:r>
    </w:p>
    <w:bookmarkEnd w:id="36"/>
    <w:bookmarkStart w:id="39" w:name="detecção-e-validação-de-eventos"/>
    <w:p>
      <w:pPr>
        <w:pStyle w:val="Heading1"/>
      </w:pPr>
      <w:r>
        <w:t xml:space="preserve">6. Detecção e validação de eventos</w:t>
      </w:r>
    </w:p>
    <w:p>
      <w:pPr>
        <w:pStyle w:val="FirstParagraph"/>
      </w:pPr>
      <w:r>
        <w:rPr>
          <w:iCs/>
          <w:i/>
        </w:rPr>
        <w:t xml:space="preserve">Deteção combina tecnologia, relatórios humanos, aviso externo e contexto.</w:t>
      </w:r>
    </w:p>
    <w:p>
      <w:pPr>
        <w:pStyle w:val="BodyText"/>
      </w:pPr>
    </w:p>
    <w:p>
      <w:pPr>
        <w:pStyle w:val="BodyText"/>
      </w:pPr>
      <w:r>
        <w:t xml:space="preserve">Figura 3. Fluxo de trabalho de detecção em caso</w:t>
      </w:r>
    </w:p>
    <w:p>
      <w:pPr>
        <w:pStyle w:val="BodyText"/>
      </w:pPr>
      <w:r>
        <w:t xml:space="preserve">6.1 Fontes de sinal</w:t>
      </w:r>
    </w:p>
    <w:p>
      <w:pPr>
        <w:numPr>
          <w:ilvl w:val="0"/>
          <w:numId w:val="1011"/>
        </w:numPr>
      </w:pPr>
      <w:r>
        <w:t xml:space="preserve">Endpoint, identidade, rede, e-mail, nuvem, aplicativo, banco de dados, perda de dados, sistemas físicos, de vulnerabilidade e de inteligência de ameaça.</w:t>
      </w:r>
    </w:p>
    <w:p>
      <w:pPr>
        <w:numPr>
          <w:ilvl w:val="0"/>
          <w:numId w:val="1011"/>
        </w:numPr>
      </w:pPr>
      <w:r>
        <w:t xml:space="preserve">Funcionários, clientes, parceiros, pesquisadores, fornecedores, reguladores, aplicação da lei, seguradoras e prestadores de serviços gerenciados.</w:t>
      </w:r>
    </w:p>
    <w:p>
      <w:pPr>
        <w:numPr>
          <w:ilvl w:val="0"/>
          <w:numId w:val="1011"/>
        </w:numPr>
      </w:pPr>
      <w:r>
        <w:t xml:space="preserve">Saúde do serviço, fraude financeira, atividade de apoio incomum, mudança de configuração, ação privilegiada e anomalias de qualidade de dados.</w:t>
      </w:r>
    </w:p>
    <w:p>
      <w:pPr>
        <w:pStyle w:val="FirstParagraph"/>
      </w:pPr>
      <w:r>
        <w:t xml:space="preserve">6.2 Questões de validação</w:t>
      </w:r>
    </w:p>
    <w:p>
      <w:pPr>
        <w:numPr>
          <w:ilvl w:val="0"/>
          <w:numId w:val="1012"/>
        </w:numPr>
      </w:pPr>
      <w:r>
        <w:t xml:space="preserve">O que gerou o sinal? A fonte é confiável e tempo sincronizado?</w:t>
      </w:r>
    </w:p>
    <w:p>
      <w:pPr>
        <w:numPr>
          <w:ilvl w:val="0"/>
          <w:numId w:val="1012"/>
        </w:numPr>
      </w:pPr>
      <w:r>
        <w:t xml:space="preserve">Pode a manutenção aprovada, testes, comportamento do usuário, ou a qualidade dos dados explicar isso?</w:t>
      </w:r>
    </w:p>
    <w:p>
      <w:pPr>
        <w:numPr>
          <w:ilvl w:val="0"/>
          <w:numId w:val="1012"/>
        </w:numPr>
      </w:pPr>
      <w:r>
        <w:t xml:space="preserve">Que usuário, dispositivo, serviço, inquilino, dados, região ou fornecedor é afetado?</w:t>
      </w:r>
    </w:p>
    <w:p>
      <w:pPr>
        <w:numPr>
          <w:ilvl w:val="0"/>
          <w:numId w:val="1012"/>
        </w:numPr>
      </w:pPr>
      <w:r>
        <w:t xml:space="preserve">Que provas existem em fontes independentes?</w:t>
      </w:r>
    </w:p>
    <w:p>
      <w:pPr>
        <w:numPr>
          <w:ilvl w:val="0"/>
          <w:numId w:val="1012"/>
        </w:numPr>
      </w:pPr>
      <w:r>
        <w:t xml:space="preserve">A atividade continua, se espalha, privilegiada, externamente exposta, destrutiva ou de segurança relacionada?</w:t>
      </w:r>
    </w:p>
    <w:p>
      <w:pPr>
        <w:pStyle w:val="FirstParagraph"/>
      </w:pPr>
      <w:r>
        <w:t xml:space="preserve">O que deve ser preservado antes que uma acção de contenção mude as provas?</w:t>
      </w:r>
    </w:p>
    <w:p>
      <w:pPr>
        <w:numPr>
          <w:ilvl w:val="0"/>
          <w:numId w:val="1013"/>
        </w:numPr>
        <w:pStyle w:val="Compact"/>
      </w:pPr>
      <w:r>
        <w:t xml:space="preserve">Triagem, Severidade e Escalação</w:t>
      </w:r>
    </w:p>
    <w:p>
      <w:pPr>
        <w:pStyle w:val="FirstParagraph"/>
      </w:pPr>
      <w:r>
        <w:rPr>
          <w:iCs/>
          <w:i/>
        </w:rPr>
        <w:t xml:space="preserve">Triage define prioridade e inicia os caminhos de autoridade, evidência e comunicação certos.</w:t>
      </w:r>
    </w:p>
    <w:bookmarkStart w:id="37" w:name="fator-de-gravidade"/>
    <w:p>
      <w:pPr>
        <w:pStyle w:val="Heading2"/>
      </w:pPr>
      <w:r>
        <w:t xml:space="preserve">Fator de gravidade</w:t>
      </w:r>
    </w:p>
    <w:p>
      <w:pPr>
        <w:pStyle w:val="FirstParagraph"/>
      </w:pPr>
      <w:r>
        <w:t xml:space="preserve">• Impacto funcional – Quais produtos, serviços, processos, pessoas ou resultados de segurança são afetados? □</w:t>
      </w:r>
      <w:r>
        <w:t xml:space="preserve"> </w:t>
      </w:r>
      <w:r>
        <w:t xml:space="preserve">• Impacto da informação • Os dados foram acessados, alterados, destruídos, expostos, criptografados ou indisponíveis?</w:t>
      </w:r>
      <w:r>
        <w:t xml:space="preserve"> </w:t>
      </w:r>
      <w:r>
        <w:t xml:space="preserve">Recuperabilidade Pode o problema ser contido e restaurado com pessoas, tempo e recursos disponíveis?</w:t>
      </w:r>
      <w:r>
        <w:t xml:space="preserve"> </w:t>
      </w:r>
      <w:r>
        <w:t xml:space="preserve">• Ameaça / persistência O ator é ativo, privilegiado, destrutivo, sofisticado ou se move lateralmente? □</w:t>
      </w:r>
      <w:r>
        <w:t xml:space="preserve"> </w:t>
      </w:r>
      <w:r>
        <w:t xml:space="preserve">• Escopo/concentração – Quantos sistemas, identidades, locais, clientes ou fornecedores podem compartilhar exposição?</w:t>
      </w:r>
      <w:r>
        <w:t xml:space="preserve"> </w:t>
      </w:r>
      <w:r>
        <w:t xml:space="preserve">- Obrigação / visibilidade - Pode ser legal, contratual, regulador, seguradora, cliente ou aviso público?</w:t>
      </w:r>
      <w:r>
        <w:t xml:space="preserve"> </w:t>
      </w:r>
      <w:r>
        <w:t xml:space="preserve">• Incerteza – Que fatos estão faltando, e poderiam aumentar materialmente a gravidade?</w:t>
      </w:r>
    </w:p>
    <w:bookmarkEnd w:id="37"/>
    <w:bookmarkStart w:id="38" w:name="saída-da-triagem"/>
    <w:p>
      <w:pPr>
        <w:pStyle w:val="Heading2"/>
      </w:pPr>
      <w:r>
        <w:t xml:space="preserve">7.1 Saída da triagem</w:t>
      </w:r>
    </w:p>
    <w:p>
      <w:pPr>
        <w:numPr>
          <w:ilvl w:val="0"/>
          <w:numId w:val="1014"/>
        </w:numPr>
      </w:pPr>
      <w:r>
        <w:t xml:space="preserve">Identificador de caso, tempo detectado, tempo de início conhecido, repórter, comandante, gravidade, status e espaço de trabalho seguro.</w:t>
      </w:r>
    </w:p>
    <w:p>
      <w:pPr>
        <w:numPr>
          <w:ilvl w:val="0"/>
          <w:numId w:val="1014"/>
        </w:numPr>
      </w:pPr>
      <w:r>
        <w:t xml:space="preserve">Fatos atuais separados de suposições e hipóteses.</w:t>
      </w:r>
    </w:p>
    <w:p>
      <w:pPr>
        <w:numPr>
          <w:ilvl w:val="0"/>
          <w:numId w:val="1014"/>
        </w:numPr>
      </w:pPr>
      <w:r>
        <w:t xml:space="preserve">Populações afetadas e potencialmente afetadas, impacto empresarial, evidências preservadas e proteção imediata.</w:t>
      </w:r>
    </w:p>
    <w:p>
      <w:pPr>
        <w:numPr>
          <w:ilvl w:val="0"/>
          <w:numId w:val="1014"/>
        </w:numPr>
      </w:pPr>
      <w:r>
        <w:t xml:space="preserve">Tarefas, proprietários, prazos, próxima atualização, escalada, e relógios de notificação.</w:t>
      </w:r>
    </w:p>
    <w:p>
      <w:pPr>
        <w:numPr>
          <w:ilvl w:val="0"/>
          <w:numId w:val="1014"/>
        </w:numPr>
      </w:pPr>
      <w:r>
        <w:t xml:space="preserve">Razão para mudanças de gravidade e grandes decisões.</w:t>
      </w:r>
    </w:p>
    <w:bookmarkEnd w:id="38"/>
    <w:bookmarkEnd w:id="39"/>
    <w:bookmarkStart w:id="44" w:name="investigação-e-scoping"/>
    <w:p>
      <w:pPr>
        <w:pStyle w:val="Heading1"/>
      </w:pPr>
      <w:r>
        <w:t xml:space="preserve">8. Investigação e Scoping</w:t>
      </w:r>
    </w:p>
    <w:p>
      <w:pPr>
        <w:pStyle w:val="FirstParagraph"/>
      </w:pPr>
      <w:r>
        <w:rPr>
          <w:iCs/>
          <w:i/>
        </w:rPr>
        <w:t xml:space="preserve">Investigação constrói e testa explicações enquanto o ambiente e o atacante podem estar mudando.</w:t>
      </w:r>
    </w:p>
    <w:bookmarkStart w:id="40" w:name="método-de-investigação"/>
    <w:p>
      <w:pPr>
        <w:pStyle w:val="Heading2"/>
      </w:pPr>
      <w:r>
        <w:t xml:space="preserve">8.1 Método de investigação</w:t>
      </w:r>
    </w:p>
    <w:p>
      <w:pPr>
        <w:numPr>
          <w:ilvl w:val="0"/>
          <w:numId w:val="1015"/>
        </w:numPr>
      </w:pPr>
      <w:r>
        <w:t xml:space="preserve">Escreva as perguntas iniciais: ponto de entrada, identidade, ação, persistência, privilégio, movimento, dados, comando e controle, impacto e acesso remanescente.</w:t>
      </w:r>
    </w:p>
    <w:p>
      <w:pPr>
        <w:numPr>
          <w:ilvl w:val="0"/>
          <w:numId w:val="1015"/>
        </w:numPr>
      </w:pPr>
      <w:r>
        <w:t xml:space="preserve">Criar uma linha do tempo normalizada de eventos e fonte de registro, fuso horário, confiança e lacunas.</w:t>
      </w:r>
    </w:p>
    <w:p>
      <w:pPr>
        <w:numPr>
          <w:ilvl w:val="0"/>
          <w:numId w:val="1015"/>
        </w:numPr>
      </w:pPr>
      <w:r>
        <w:t xml:space="preserve">Escopo de indicadores conhecidos para identidades relacionadas, hosts, recursos de nuvem, aplicações, dados e fornecedores; não confie em um indicador.</w:t>
      </w:r>
    </w:p>
    <w:p>
      <w:pPr>
        <w:numPr>
          <w:ilvl w:val="0"/>
          <w:numId w:val="1015"/>
        </w:numPr>
      </w:pPr>
      <w:r>
        <w:t xml:space="preserve">Preservar provas voláteis antes de desligar quando seguro, autorizado e útil.</w:t>
      </w:r>
    </w:p>
    <w:p>
      <w:pPr>
        <w:numPr>
          <w:ilvl w:val="0"/>
          <w:numId w:val="1015"/>
        </w:numPr>
      </w:pPr>
      <w:r>
        <w:t xml:space="preserve">Teste hipóteses concorrentes e procure provas de confirmação.</w:t>
      </w:r>
    </w:p>
    <w:p>
      <w:pPr>
        <w:numPr>
          <w:ilvl w:val="0"/>
          <w:numId w:val="1015"/>
        </w:numPr>
      </w:pPr>
      <w:r>
        <w:t xml:space="preserve">Método de coleta de documentos, consultas, hashes, versões, limitações e conclusões do analista.</w:t>
      </w:r>
    </w:p>
    <w:p>
      <w:pPr>
        <w:numPr>
          <w:ilvl w:val="0"/>
          <w:numId w:val="1015"/>
        </w:numPr>
      </w:pPr>
      <w:r>
        <w:t xml:space="preserve">Breves tomadores de decisão com fatos, incerteza, efeito comercial, opções e recomendado próximo passo.</w:t>
      </w:r>
    </w:p>
    <w:bookmarkEnd w:id="40"/>
    <w:bookmarkStart w:id="41" w:name="pergunta-possível-evidência"/>
    <w:p>
      <w:pPr>
        <w:pStyle w:val="Heading2"/>
      </w:pPr>
      <w:r>
        <w:t xml:space="preserve">Pergunta** Possível evidência**</w:t>
      </w:r>
    </w:p>
    <w:p>
      <w:pPr>
        <w:pStyle w:val="FirstParagraph"/>
      </w:pPr>
      <w:r>
        <w:t xml:space="preserve">Como começou o acesso? E-mail, identidade, endpoint, web, VPN, nuvem, vulnerabilidade e registros de suporte</w:t>
      </w:r>
      <w:r>
        <w:t xml:space="preserve"> </w:t>
      </w:r>
      <w:r>
        <w:t xml:space="preserve">O que fez o ator? Processo, comando, auditoria, arquivo, registro, memória, rede e atividade na nuvem</w:t>
      </w:r>
      <w:r>
        <w:t xml:space="preserve"> </w:t>
      </w:r>
      <w:r>
        <w:t xml:space="preserve">O que foi acessado? • Aplicação, banco de dados, objeto, DLP, consulta, API e registros de acesso a arquivos</w:t>
      </w:r>
      <w:r>
        <w:t xml:space="preserve"> </w:t>
      </w:r>
      <w:r>
        <w:t xml:space="preserve">□ Permanece a persistência? Contas, tokens, chaves, tarefas agendadas, serviços, aplicativos OAuth, funções na nuvem</w:t>
      </w:r>
      <w:r>
        <w:t xml:space="preserve"> </w:t>
      </w:r>
      <w:r>
        <w:t xml:space="preserve">□ Quão longe se espalhou? □ Gráfico de identidade, consultas de endpoint, fluxos de rede, DNS, acesso remoto, ferramentas compartilhadas</w:t>
      </w:r>
      <w:r>
        <w:t xml:space="preserve"> </w:t>
      </w:r>
      <w:r>
        <w:t xml:space="preserve">O que se pode confiar? • Controlos de integridade, linhas de base conhecidas, telemetria independente, origem de reconstrução</w:t>
      </w:r>
    </w:p>
    <w:p>
      <w:pPr>
        <w:numPr>
          <w:ilvl w:val="0"/>
          <w:numId w:val="1016"/>
        </w:numPr>
        <w:pStyle w:val="Compact"/>
      </w:pPr>
      <w:r>
        <w:t xml:space="preserve">Estratégia de contenção</w:t>
      </w:r>
    </w:p>
    <w:p>
      <w:pPr>
        <w:pStyle w:val="FirstParagraph"/>
      </w:pPr>
      <w:r>
        <w:rPr>
          <w:iCs/>
          <w:i/>
        </w:rPr>
        <w:t xml:space="preserve">Contenção limita danos ao preservar a segurança, operações, provas e opções de recuperação.</w:t>
      </w:r>
    </w:p>
    <w:p>
      <w:pPr>
        <w:pStyle w:val="BodyText"/>
      </w:pPr>
    </w:p>
    <w:p>
      <w:pPr>
        <w:pStyle w:val="BodyText"/>
      </w:pPr>
      <w:r>
        <w:t xml:space="preserve">Figura 4. Decisão de contenção</w:t>
      </w:r>
    </w:p>
    <w:bookmarkEnd w:id="41"/>
    <w:bookmarkStart w:id="42" w:name="opções"/>
    <w:p>
      <w:pPr>
        <w:pStyle w:val="Heading2"/>
      </w:pPr>
      <w:r>
        <w:t xml:space="preserve">9.1 Opções</w:t>
      </w:r>
    </w:p>
    <w:p>
      <w:pPr>
        <w:numPr>
          <w:ilvl w:val="0"/>
          <w:numId w:val="1017"/>
        </w:numPr>
      </w:pPr>
      <w:r>
        <w:t xml:space="preserve">Isole endpoint, segment network, block indicator, desative a conta, revogue sessões, gire tokens/keys, remova a exposição pública, pare a integração, restrinja dados, pause implantação, falhe ou desligue.</w:t>
      </w:r>
    </w:p>
    <w:p>
      <w:pPr>
        <w:numPr>
          <w:ilvl w:val="0"/>
          <w:numId w:val="1017"/>
        </w:numPr>
      </w:pPr>
      <w:r>
        <w:t xml:space="preserve">O confinamento a curto prazo pode ser rápido e temporário; o confinamento a longo prazo suporta uma operação mais segura até à erradicação.</w:t>
      </w:r>
    </w:p>
    <w:p>
      <w:pPr>
        <w:numPr>
          <w:ilvl w:val="0"/>
          <w:numId w:val="1017"/>
        </w:numPr>
      </w:pPr>
      <w:r>
        <w:t xml:space="preserve">Usar ações encenadas ou coordenadas quando etapas isoladas alertam um atacante ou quebram o serviço crítico.</w:t>
      </w:r>
    </w:p>
    <w:bookmarkEnd w:id="42"/>
    <w:bookmarkStart w:id="43" w:name="registro-de-decisão"/>
    <w:p>
      <w:pPr>
        <w:pStyle w:val="Heading2"/>
      </w:pPr>
      <w:r>
        <w:t xml:space="preserve">9.2 Registro de decisão</w:t>
      </w:r>
    </w:p>
    <w:p>
      <w:pPr>
        <w:numPr>
          <w:ilvl w:val="0"/>
          <w:numId w:val="1018"/>
        </w:numPr>
      </w:pPr>
      <w:r>
        <w:t xml:space="preserve">Objectivo e ameaça serem limitados.</w:t>
      </w:r>
    </w:p>
    <w:p>
      <w:pPr>
        <w:numPr>
          <w:ilvl w:val="0"/>
          <w:numId w:val="1018"/>
        </w:numPr>
      </w:pPr>
      <w:r>
        <w:t xml:space="preserve">Serviço de negócios afetado, segurança, cliente, evidência, privacidade e impacto de recuperação.</w:t>
      </w:r>
    </w:p>
    <w:p>
      <w:pPr>
        <w:numPr>
          <w:ilvl w:val="0"/>
          <w:numId w:val="1018"/>
        </w:numPr>
      </w:pPr>
      <w:r>
        <w:t xml:space="preserve">Alternativas consideradas e razões selecionadas.</w:t>
      </w:r>
    </w:p>
    <w:p>
      <w:pPr>
        <w:numPr>
          <w:ilvl w:val="0"/>
          <w:numId w:val="1018"/>
        </w:numPr>
      </w:pPr>
      <w:r>
        <w:t xml:space="preserve">Approver, executor, tempo, comandos / mudar ticket, antes e depois de provas, retrocesso e verificação.</w:t>
      </w:r>
    </w:p>
    <w:p>
      <w:pPr>
        <w:numPr>
          <w:ilvl w:val="0"/>
          <w:numId w:val="1018"/>
        </w:numPr>
      </w:pPr>
      <w:r>
        <w:t xml:space="preserve">Exposição residual e ponto de decisão seguinte.</w:t>
      </w:r>
    </w:p>
    <w:bookmarkEnd w:id="43"/>
    <w:bookmarkEnd w:id="44"/>
    <w:bookmarkStart w:id="46" w:name="erradicação-e-remediação"/>
    <w:p>
      <w:pPr>
        <w:pStyle w:val="Heading1"/>
      </w:pPr>
      <w:r>
        <w:t xml:space="preserve">10. Erradicação e Remediação</w:t>
      </w:r>
    </w:p>
    <w:p>
      <w:pPr>
        <w:numPr>
          <w:ilvl w:val="0"/>
          <w:numId w:val="1019"/>
        </w:numPr>
        <w:pStyle w:val="Compact"/>
      </w:pPr>
      <w:r>
        <w:t xml:space="preserve">A erradicação remove a causa, o acesso do atacante, a persistência, as mudanças inseguras e as fraquezas relacionadas.*</w:t>
      </w:r>
    </w:p>
    <w:bookmarkStart w:id="45" w:name="trabalho-de-erradicação"/>
    <w:p>
      <w:pPr>
        <w:pStyle w:val="Heading2"/>
      </w:pPr>
      <w:r>
        <w:t xml:space="preserve">10.1 Trabalho de erradicação</w:t>
      </w:r>
    </w:p>
    <w:p>
      <w:pPr>
        <w:numPr>
          <w:ilvl w:val="0"/>
          <w:numId w:val="1020"/>
        </w:numPr>
      </w:pPr>
      <w:r>
        <w:t xml:space="preserve">Remova arquivos, processos, tarefas, serviços, contas, aplicativos, regras, caminhos de acesso e infraestrutura maliciosos.</w:t>
      </w:r>
    </w:p>
    <w:p>
      <w:pPr>
        <w:numPr>
          <w:ilvl w:val="0"/>
          <w:numId w:val="1020"/>
        </w:numPr>
      </w:pPr>
      <w:r>
        <w:t xml:space="preserve">Revogar sessões e tokens; girar senhas expostas, chaves, certificados, segredos, códigos de recuperação, e relacionamentos de confiança em uma ordem segura.</w:t>
      </w:r>
    </w:p>
    <w:p>
      <w:pPr>
        <w:numPr>
          <w:ilvl w:val="0"/>
          <w:numId w:val="1020"/>
        </w:numPr>
      </w:pPr>
      <w:r>
        <w:t xml:space="preserve">Patch ou mitigar vulnerabilidades exploradas; endurecer configuração; fechar serviços expostos; corrigir identidade e caminhos de rede.</w:t>
      </w:r>
    </w:p>
    <w:p>
      <w:pPr>
        <w:numPr>
          <w:ilvl w:val="0"/>
          <w:numId w:val="1020"/>
        </w:numPr>
      </w:pPr>
      <w:r>
        <w:t xml:space="preserve">Reconstruir a partir de fontes confiáveis quando a integridade não pode ser demonstrada.</w:t>
      </w:r>
    </w:p>
    <w:p>
      <w:pPr>
        <w:numPr>
          <w:ilvl w:val="0"/>
          <w:numId w:val="1020"/>
        </w:numPr>
      </w:pPr>
      <w:r>
        <w:t xml:space="preserve">Pesquise toda a população potencial para a mesma condição e valide nenhuma persistência alternativa permanece.</w:t>
      </w:r>
    </w:p>
    <w:p>
      <w:pPr>
        <w:numPr>
          <w:ilvl w:val="0"/>
          <w:numId w:val="1020"/>
        </w:numPr>
      </w:pPr>
      <w:r>
        <w:t xml:space="preserve">Preservar provas e separar a reparação da prova; registrar cada mudança.</w:t>
      </w:r>
    </w:p>
    <w:p>
      <w:pPr>
        <w:pStyle w:val="FirstParagraph"/>
      </w:pPr>
      <w:r>
        <w:t xml:space="preserve">□ ** Causa da raiz versus ponto de entrada:** O ponto de entrada explica como este incidente começou. As causas profundas podem incluir processos, design, propriedade, visibilidade, habilidades, incentivos ou fraquezas de controle que lhe permitiram ter sucesso ou persistir.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45"/>
    <w:bookmarkEnd w:id="46"/>
    <w:bookmarkStart w:id="47" w:name="recuperação-e-retorno-ao-serviço"/>
    <w:p>
      <w:pPr>
        <w:pStyle w:val="Heading1"/>
      </w:pPr>
      <w:r>
        <w:t xml:space="preserve">11. Recuperação e retorno ao serviço</w:t>
      </w:r>
    </w:p>
    <w:p>
      <w:pPr>
        <w:numPr>
          <w:ilvl w:val="0"/>
          <w:numId w:val="1021"/>
        </w:numPr>
        <w:pStyle w:val="Compact"/>
      </w:pPr>
      <w:r>
        <w:t xml:space="preserve">Recuperar restaura o serviço crítico através de etapas controladas, verificadas e monitoradas.*</w:t>
      </w:r>
    </w:p>
    <w:p>
      <w:pPr>
        <w:pStyle w:val="FirstParagraph"/>
      </w:pPr>
    </w:p>
    <w:p>
      <w:pPr>
        <w:pStyle w:val="BodyText"/>
      </w:pPr>
      <w:r>
        <w:t xml:space="preserve">Figura 5. Retorno confiável ao serviço</w:t>
      </w:r>
    </w:p>
    <w:bookmarkEnd w:id="47"/>
    <w:bookmarkStart w:id="48" w:name="portões-de-recuperação"/>
    <w:p>
      <w:pPr>
        <w:pStyle w:val="Heading1"/>
      </w:pPr>
      <w:r>
        <w:t xml:space="preserve"># 11.1 Portões de recuperação</w:t>
      </w:r>
    </w:p>
    <w:p>
      <w:pPr>
        <w:numPr>
          <w:ilvl w:val="0"/>
          <w:numId w:val="1022"/>
        </w:numPr>
      </w:pPr>
      <w:r>
        <w:t xml:space="preserve">A contenção é estável e a recuperação não se ligará ao compromisso activo.</w:t>
      </w:r>
    </w:p>
    <w:p>
      <w:pPr>
        <w:numPr>
          <w:ilvl w:val="0"/>
          <w:numId w:val="1022"/>
        </w:numPr>
      </w:pPr>
      <w:r>
        <w:t xml:space="preserve">Fonte de restauração, build pipeline, backups, credenciais, dependências e caminho de administração são confiáveis.</w:t>
      </w:r>
    </w:p>
    <w:p>
      <w:pPr>
        <w:numPr>
          <w:ilvl w:val="0"/>
          <w:numId w:val="1022"/>
        </w:numPr>
      </w:pPr>
      <w:r>
        <w:t xml:space="preserve">Atualizações de segurança, endurecimento, rotação de identidade e monitoramento necessários estão ativos.</w:t>
      </w:r>
    </w:p>
    <w:p>
      <w:pPr>
        <w:numPr>
          <w:ilvl w:val="0"/>
          <w:numId w:val="1022"/>
        </w:numPr>
      </w:pPr>
      <w:r>
        <w:t xml:space="preserve">Integridade dos dados, completude, função de aplicação, interfaces, capacidade e resultados de RTO/RPO são testados.</w:t>
      </w:r>
    </w:p>
    <w:p>
      <w:pPr>
        <w:numPr>
          <w:ilvl w:val="0"/>
          <w:numId w:val="1022"/>
        </w:numPr>
      </w:pPr>
      <w:r>
        <w:t xml:space="preserve">A reconexão é faseada; maior monitoramento tem proprietários claros e duração.</w:t>
      </w:r>
    </w:p>
    <w:p>
      <w:pPr>
        <w:numPr>
          <w:ilvl w:val="0"/>
          <w:numId w:val="1022"/>
        </w:numPr>
      </w:pPr>
      <w:r>
        <w:t xml:space="preserve">Os proprietários de empresas e técnicos aprovam o retorno ao serviço, com exceções e risco residual registrado.</w:t>
      </w:r>
    </w:p>
    <w:bookmarkEnd w:id="48"/>
    <w:bookmarkStart w:id="51" w:name="provas-de-recuperação"/>
    <w:p>
      <w:pPr>
        <w:pStyle w:val="Heading1"/>
      </w:pPr>
      <w:r>
        <w:t xml:space="preserve"># 11.2 Provas de recuperação</w:t>
      </w:r>
    </w:p>
    <w:p>
      <w:pPr>
        <w:numPr>
          <w:ilvl w:val="0"/>
          <w:numId w:val="1023"/>
        </w:numPr>
      </w:pPr>
      <w:r>
        <w:t xml:space="preserve">Sequência de recuperação e datas reais.</w:t>
      </w:r>
    </w:p>
    <w:p>
      <w:pPr>
        <w:numPr>
          <w:ilvl w:val="0"/>
          <w:numId w:val="1023"/>
        </w:numPr>
      </w:pPr>
      <w:r>
        <w:t xml:space="preserve">Versão restaurada, fontes, hashes/configuração, ponto de dados e estado de dependência.</w:t>
      </w:r>
    </w:p>
    <w:p>
      <w:pPr>
        <w:numPr>
          <w:ilvl w:val="0"/>
          <w:numId w:val="1023"/>
        </w:numPr>
      </w:pPr>
      <w:r>
        <w:t xml:space="preserve">Segurança, funcional, reconciliação de dados, desempenho e resultados de aceitação do usuário.</w:t>
      </w:r>
    </w:p>
    <w:p>
      <w:pPr>
        <w:numPr>
          <w:ilvl w:val="0"/>
          <w:numId w:val="1023"/>
        </w:numPr>
      </w:pPr>
      <w:r>
        <w:t xml:space="preserve">RTO/RPO alcançado ou perdido, causa, impacto, solução alternativa e ação corretiva.</w:t>
      </w:r>
    </w:p>
    <w:p>
      <w:pPr>
        <w:numPr>
          <w:ilvl w:val="0"/>
          <w:numId w:val="1023"/>
        </w:numPr>
      </w:pPr>
      <w:r>
        <w:t xml:space="preserve">Resultados de monitorização melhorados e decisão de recorrência.</w:t>
      </w:r>
    </w:p>
    <w:p>
      <w:pPr>
        <w:numPr>
          <w:ilvl w:val="0"/>
          <w:numId w:val="1024"/>
        </w:numPr>
        <w:pStyle w:val="Compact"/>
      </w:pPr>
      <w:r>
        <w:t xml:space="preserve">Lições aprendidas e Melhorias</w:t>
      </w:r>
    </w:p>
    <w:p>
      <w:pPr>
        <w:pStyle w:val="FirstParagraph"/>
      </w:pPr>
      <w:r>
        <w:t xml:space="preserve">A melhoria converte a experiência em sistemas mais seguros e melhores decisões.</w:t>
      </w:r>
    </w:p>
    <w:bookmarkStart w:id="49" w:name="processo-pós-ação"/>
    <w:p>
      <w:pPr>
        <w:pStyle w:val="Heading2"/>
      </w:pPr>
      <w:r>
        <w:t xml:space="preserve">12.1 Processo pós-ação</w:t>
      </w:r>
    </w:p>
    <w:p>
      <w:pPr>
        <w:numPr>
          <w:ilvl w:val="0"/>
          <w:numId w:val="1025"/>
        </w:numPr>
      </w:pPr>
      <w:r>
        <w:t xml:space="preserve">Faça uma revisão irrepreensível, mas responsável, logo que os fatos e decisões possam ser reconstruídos.</w:t>
      </w:r>
    </w:p>
    <w:p>
      <w:pPr>
        <w:numPr>
          <w:ilvl w:val="0"/>
          <w:numId w:val="1025"/>
        </w:numPr>
      </w:pPr>
      <w:r>
        <w:t xml:space="preserve">Construir a linha do tempo factual: sinal, reconhecimento, escalada, decisões, contenção, erradicação, restauração, comunicação e encerramento.</w:t>
      </w:r>
    </w:p>
    <w:p>
      <w:pPr>
        <w:numPr>
          <w:ilvl w:val="0"/>
          <w:numId w:val="1025"/>
        </w:numPr>
      </w:pPr>
      <w:r>
        <w:t xml:space="preserve">Compare o desempenho esperado versus real de pessoas, planos, dados, ferramentas, fornecedores, comunicações e recuperação.</w:t>
      </w:r>
    </w:p>
    <w:p>
      <w:pPr>
        <w:numPr>
          <w:ilvl w:val="0"/>
          <w:numId w:val="1025"/>
        </w:numPr>
      </w:pPr>
      <w:r>
        <w:t xml:space="preserve">Identificar condições contribuintes e causas sistêmicas, não apenas erros individuais.</w:t>
      </w:r>
    </w:p>
    <w:p>
      <w:pPr>
        <w:numPr>
          <w:ilvl w:val="0"/>
          <w:numId w:val="1025"/>
        </w:numPr>
      </w:pPr>
      <w:r>
        <w:t xml:space="preserve">Atribuir ações específicas, proprietários, recursos, datas baseadas em risco, proteção provisória e medidas de sucesso.</w:t>
      </w:r>
    </w:p>
    <w:p>
      <w:pPr>
        <w:numPr>
          <w:ilvl w:val="0"/>
          <w:numId w:val="1025"/>
        </w:numPr>
      </w:pPr>
      <w:r>
        <w:t xml:space="preserve">Teste novamente a capacidade falhada e atualizar políticas, arquitetura, detecçãos, playbooks, contratos, treinamento, BIA, continuidade e planos de recuperação.</w:t>
      </w:r>
    </w:p>
    <w:bookmarkEnd w:id="49"/>
    <w:bookmarkStart w:id="50" w:name="ação-fraca-ação-de-stronger"/>
    <w:p>
      <w:pPr>
        <w:pStyle w:val="Heading2"/>
      </w:pPr>
      <w:r>
        <w:t xml:space="preserve">Ação fraca ** ** Ação de Stronger **</w:t>
      </w:r>
    </w:p>
    <w:p>
      <w:pPr>
        <w:pStyle w:val="FirstParagraph"/>
      </w:pPr>
      <w:r>
        <w:t xml:space="preserve">Melhore o monitoramento □ Adicione eventos de administração de provedor de identidade ao SIEM, alerta sobre o novo papel privilegiado dentro de cinco minutos, e teste mensal</w:t>
      </w:r>
      <w:r>
        <w:t xml:space="preserve"> </w:t>
      </w:r>
      <w:r>
        <w:t xml:space="preserve">O pessoal do comboio executa um exercício direcionado para verificação de identidade do serviço-desk e manipulação da medição de falhas</w:t>
      </w:r>
      <w:r>
        <w:t xml:space="preserve"> </w:t>
      </w:r>
      <w:r>
        <w:t xml:space="preserve">Corrigir backups Adicionar cópia diária isolada para a base de dados Tier 1 e provar a restauração dentro de quatro horas RTO trimestral</w:t>
      </w:r>
      <w:r>
        <w:t xml:space="preserve"> </w:t>
      </w:r>
      <w:r>
        <w:t xml:space="preserve">O plano de atualização .. Adicionar nome de tomada de decisão alternativa, contato fora da banda e passo de ativação testado ..</w:t>
      </w:r>
    </w:p>
    <w:bookmarkEnd w:id="50"/>
    <w:bookmarkEnd w:id="51"/>
    <w:bookmarkStart w:id="52" w:name="X5882ccb133ab926c87787f5488cd3be51b816c5"/>
    <w:p>
      <w:pPr>
        <w:pStyle w:val="Heading1"/>
      </w:pPr>
      <w:r>
        <w:t xml:space="preserve">13. Coordenação de Comunicação, Legal e Reguladora</w:t>
      </w:r>
    </w:p>
    <w:p>
      <w:pPr>
        <w:numPr>
          <w:ilvl w:val="0"/>
          <w:numId w:val="1026"/>
        </w:numPr>
        <w:pStyle w:val="Compact"/>
      </w:pPr>
      <w:r>
        <w:t xml:space="preserve">A comunicação deve ser precisa, oportuna, autorizada, específica do público e protegida.*</w:t>
      </w:r>
    </w:p>
    <w:bookmarkEnd w:id="52"/>
    <w:bookmarkStart w:id="55" w:name="regras-de-funcionamento"/>
    <w:p>
      <w:pPr>
        <w:pStyle w:val="Heading1"/>
      </w:pPr>
      <w:r>
        <w:t xml:space="preserve"># 13.1 Regras de funcionamento</w:t>
      </w:r>
    </w:p>
    <w:p>
      <w:pPr>
        <w:numPr>
          <w:ilvl w:val="0"/>
          <w:numId w:val="1027"/>
        </w:numPr>
      </w:pPr>
      <w:r>
        <w:t xml:space="preserve">Mantenha uma base de fatos aprovada com tempo, fonte, confiança, proprietário e última atualização.</w:t>
      </w:r>
    </w:p>
    <w:p>
      <w:pPr>
        <w:numPr>
          <w:ilvl w:val="0"/>
          <w:numId w:val="1027"/>
        </w:numPr>
      </w:pPr>
      <w:r>
        <w:t xml:space="preserve">Situação operacional separada, análise jurídica, hipóteses técnicas e mensagens públicas.</w:t>
      </w:r>
    </w:p>
    <w:p>
      <w:pPr>
        <w:numPr>
          <w:ilvl w:val="0"/>
          <w:numId w:val="1027"/>
        </w:numPr>
      </w:pPr>
      <w:r>
        <w:t xml:space="preserve">Usar canais seguros adequados para possível compromisso e preservar registros necessários.</w:t>
      </w:r>
    </w:p>
    <w:p>
      <w:pPr>
        <w:numPr>
          <w:ilvl w:val="0"/>
          <w:numId w:val="1027"/>
        </w:numPr>
      </w:pPr>
      <w:r>
        <w:t xml:space="preserve">Diga o que é conhecido, desconhecido, sendo feito, necessário do público, e próxima atualização.</w:t>
      </w:r>
    </w:p>
    <w:p>
      <w:pPr>
        <w:numPr>
          <w:ilvl w:val="0"/>
          <w:numId w:val="1027"/>
        </w:numPr>
      </w:pPr>
      <w:r>
        <w:t xml:space="preserve">Acompanhar gatilhos de notificação e relógios por lei, regulador, contrato, seguradora, cliente, empregado e jurisdição.</w:t>
      </w:r>
    </w:p>
    <w:p>
      <w:pPr>
        <w:numPr>
          <w:ilvl w:val="0"/>
          <w:numId w:val="1027"/>
        </w:numPr>
      </w:pPr>
      <w:r>
        <w:t xml:space="preserve">Coordenar legal, privacidade, comunicações, recursos humanos, segurança, executivos, fornecedores, seguradoras e autoridades públicas.</w:t>
      </w:r>
    </w:p>
    <w:p>
      <w:pPr>
        <w:numPr>
          <w:ilvl w:val="0"/>
          <w:numId w:val="1027"/>
        </w:numPr>
      </w:pPr>
      <w:r>
        <w:t xml:space="preserve">Não especule, esconda fatos materiais, destrua registros, ou prometa tempo que os respondedores não podem apoiar.</w:t>
      </w:r>
    </w:p>
    <w:p>
      <w:pPr>
        <w:numPr>
          <w:ilvl w:val="0"/>
          <w:numId w:val="1027"/>
        </w:numPr>
        <w:pStyle w:val="Heading2"/>
      </w:pPr>
      <w:bookmarkStart w:id="53" w:name="audiência-necessidades"/>
      <w:r>
        <w:t xml:space="preserve">Audiência** * Necessidades**</w:t>
      </w:r>
      <w:bookmarkEnd w:id="53"/>
    </w:p>
    <w:p>
      <w:pPr>
        <w:numPr>
          <w:ilvl w:val="0"/>
          <w:numId w:val="1000"/>
        </w:numPr>
      </w:pPr>
      <w:r>
        <w:t xml:space="preserve">Responsáveis Objetivos, escopo, tarefas, evidências, perigos, decisões</w:t>
      </w:r>
      <w:r>
        <w:t xml:space="preserve"> </w:t>
      </w:r>
      <w:r>
        <w:t xml:space="preserve">• Executivos • Impacto empresarial, incerteza, opções, recomendação, recursos, próxima decisão</w:t>
      </w:r>
      <w:r>
        <w:t xml:space="preserve"> </w:t>
      </w:r>
      <w:r>
        <w:t xml:space="preserve">Os funcionários O que aconteceu, ações seguras, suporte, canal de relatórios, atualização de timing</w:t>
      </w:r>
      <w:r>
        <w:t xml:space="preserve"> </w:t>
      </w:r>
      <w:r>
        <w:t xml:space="preserve">• Clientes / parceiros • Atendimento/dados afetados, ação protetora, suporte, atualizações verificadas</w:t>
      </w:r>
      <w:r>
        <w:t xml:space="preserve"> </w:t>
      </w:r>
      <w:r>
        <w:t xml:space="preserve">□ Regulador / autoridade</w:t>
      </w:r>
      <w:r>
        <w:t xml:space="preserve"> </w:t>
      </w:r>
      <w:r>
        <w:t xml:space="preserve">□ Público / mídia □ Aprovada mensagem precisa, porta-voz, atualizações consistentes</w:t>
      </w:r>
    </w:p>
    <w:bookmarkStart w:id="54" w:name="Xac39b2c94883c5192ab745c05188b69bd4889ba"/>
    <w:p>
      <w:pPr>
        <w:pStyle w:val="Heading2"/>
      </w:pPr>
      <w:r>
        <w:t xml:space="preserve">Nota legal:** Os deveres de notificação e preservação são específicos de fato e jurisdição. Envolver conselho qualificado cedo; não usar este manual como uma determinação legal. □</w:t>
      </w:r>
    </w:p>
    <w:bookmarkEnd w:id="54"/>
    <w:bookmarkEnd w:id="55"/>
    <w:bookmarkStart w:id="56" w:name="evidência-digital-e-pronto-forense"/>
    <w:p>
      <w:pPr>
        <w:pStyle w:val="Heading1"/>
      </w:pPr>
      <w:r>
        <w:t xml:space="preserve">14. Evidência Digital e Pronto Forense</w:t>
      </w:r>
    </w:p>
    <w:p>
      <w:pPr>
        <w:numPr>
          <w:ilvl w:val="0"/>
          <w:numId w:val="1028"/>
        </w:numPr>
        <w:pStyle w:val="Compact"/>
      </w:pPr>
      <w:r>
        <w:t xml:space="preserve">A prontidão Forense torna a evidência confiável, útil, proporcionada e disponível quando necessário.*</w:t>
      </w:r>
    </w:p>
    <w:p>
      <w:pPr>
        <w:pStyle w:val="FirstParagraph"/>
      </w:pPr>
    </w:p>
    <w:p>
      <w:pPr>
        <w:pStyle w:val="BodyText"/>
      </w:pPr>
      <w:r>
        <w:t xml:space="preserve">Figura 6. Integridade e custódia das provas</w:t>
      </w:r>
    </w:p>
    <w:bookmarkEnd w:id="56"/>
    <w:bookmarkStart w:id="58" w:name="registro-de-provas"/>
    <w:p>
      <w:pPr>
        <w:pStyle w:val="Heading1"/>
      </w:pPr>
      <w:r>
        <w:t xml:space="preserve"># 14.1 Registro de provas</w:t>
      </w:r>
    </w:p>
    <w:p>
      <w:pPr>
        <w:numPr>
          <w:ilvl w:val="0"/>
          <w:numId w:val="1029"/>
        </w:numPr>
      </w:pPr>
      <w:r>
        <w:t xml:space="preserve">ID do item único, descrição, sistema de origem/dispositivo/conta, coletor, autoridade, data/hora/zona temporal, localização e razão.</w:t>
      </w:r>
    </w:p>
    <w:p>
      <w:pPr>
        <w:numPr>
          <w:ilvl w:val="0"/>
          <w:numId w:val="1029"/>
        </w:numPr>
      </w:pPr>
      <w:r>
        <w:t xml:space="preserve">Método de coleta, ferramenta/versão, configurações, cópia original e de trabalho, hash criptográfico, quando apropriado, e proteção de armazenamento.</w:t>
      </w:r>
    </w:p>
    <w:p>
      <w:pPr>
        <w:numPr>
          <w:ilvl w:val="0"/>
          <w:numId w:val="1029"/>
        </w:numPr>
      </w:pPr>
      <w:r>
        <w:t xml:space="preserve">Cada transferência: de, até, data/hora, finalidade, assinaturas ou registro autenticado, e verificação de integridade.</w:t>
      </w:r>
    </w:p>
    <w:p>
      <w:pPr>
        <w:numPr>
          <w:ilvl w:val="0"/>
          <w:numId w:val="1029"/>
        </w:numPr>
      </w:pPr>
      <w:r>
        <w:t xml:space="preserve">Passos de análise, consultas, transformações, normalização do tempo, screenshots/exportações, achados, explicação alternativa e limitação.</w:t>
      </w:r>
    </w:p>
    <w:p>
      <w:pPr>
        <w:numPr>
          <w:ilvl w:val="0"/>
          <w:numId w:val="1029"/>
        </w:numPr>
      </w:pPr>
      <w:r>
        <w:t xml:space="preserve">Retenção, detenção legal, privacidade/minimização, log de acesso, divulgação e disposição aprovada.</w:t>
      </w:r>
    </w:p>
    <w:bookmarkStart w:id="57" w:name="X43cfbb3bde4095d704b1fbde1238e69735276f9"/>
    <w:p>
      <w:pPr>
        <w:pStyle w:val="Heading2"/>
      </w:pPr>
      <w:r>
        <w:t xml:space="preserve">Segurança e autoridade: Não acessar contas pessoais, interceptar comunicações, coletar amplamente, ou executar ações invasivas sem autoridade adequada. Siga as regras de lei, política, privacidade, emprego e evidência. □</w:t>
      </w:r>
    </w:p>
    <w:bookmarkEnd w:id="57"/>
    <w:bookmarkEnd w:id="58"/>
    <w:bookmarkStart w:id="60" w:name="ransomware-e-ataques-destrutivos"/>
    <w:p>
      <w:pPr>
        <w:pStyle w:val="Heading1"/>
      </w:pPr>
      <w:r>
        <w:t xml:space="preserve">15. Ransomware e Ataques Destrutivos</w:t>
      </w:r>
    </w:p>
    <w:p>
      <w:pPr>
        <w:numPr>
          <w:ilvl w:val="0"/>
          <w:numId w:val="1030"/>
        </w:numPr>
        <w:pStyle w:val="Compact"/>
      </w:pPr>
      <w:r>
        <w:t xml:space="preserve">Ransomware pode combinar acesso, roubo, extorsão, criptografia, destruição e pressão pública.*</w:t>
      </w:r>
    </w:p>
    <w:bookmarkStart w:id="59" w:name="prioridades-imediatas"/>
    <w:p>
      <w:pPr>
        <w:pStyle w:val="Heading2"/>
      </w:pPr>
      <w:r>
        <w:t xml:space="preserve">15.1 Prioridades imediatas</w:t>
      </w:r>
    </w:p>
    <w:p>
      <w:pPr>
        <w:numPr>
          <w:ilvl w:val="0"/>
          <w:numId w:val="1031"/>
        </w:numPr>
      </w:pPr>
      <w:r>
        <w:t xml:space="preserve">Proteger a vida e a segurança; ativar a liderança incidente e crise.</w:t>
      </w:r>
    </w:p>
    <w:p>
      <w:pPr>
        <w:numPr>
          <w:ilvl w:val="0"/>
          <w:numId w:val="1031"/>
        </w:numPr>
      </w:pPr>
      <w:r>
        <w:t xml:space="preserve">Isolar sistemas e redes afetados de forma coordenada; preservar evidências antes de desligar a energia quando seguro e útil.</w:t>
      </w:r>
    </w:p>
    <w:p>
      <w:pPr>
        <w:numPr>
          <w:ilvl w:val="0"/>
          <w:numId w:val="1031"/>
        </w:numPr>
      </w:pPr>
      <w:r>
        <w:t xml:space="preserve">Infraestrutura de identidade segura, caminhos administrativos, backups, hipervisores, consoles de nuvem, ferramentas remotas e sistemas de gerenciamento.</w:t>
      </w:r>
    </w:p>
    <w:p>
      <w:pPr>
        <w:numPr>
          <w:ilvl w:val="0"/>
          <w:numId w:val="1031"/>
        </w:numPr>
      </w:pPr>
      <w:r>
        <w:t xml:space="preserve">Determinar escopo, atividade do ator, persistência, acesso/exfiltração de dados, criptografia, impacto comercial e exposição do fornecedor.</w:t>
      </w:r>
    </w:p>
    <w:p>
      <w:pPr>
        <w:numPr>
          <w:ilvl w:val="0"/>
          <w:numId w:val="1031"/>
        </w:numPr>
      </w:pPr>
      <w:r>
        <w:t xml:space="preserve">Utilizar comunicações fora da banda e dispositivos/credenciais limpos conhecidos.</w:t>
      </w:r>
    </w:p>
    <w:p>
      <w:pPr>
        <w:numPr>
          <w:ilvl w:val="0"/>
          <w:numId w:val="1031"/>
        </w:numPr>
      </w:pPr>
      <w:r>
        <w:t xml:space="preserve">Engajar aconselhamento jurídico, seguradora, respondedores qualificados e autoridades apropriadas sob procedimentos aprovados.</w:t>
      </w:r>
    </w:p>
    <w:p>
      <w:pPr>
        <w:numPr>
          <w:ilvl w:val="0"/>
          <w:numId w:val="1031"/>
        </w:numPr>
      </w:pPr>
      <w:r>
        <w:t xml:space="preserve">Priorizar restauração confiável de serviços críticos; validar backups e não reconectar em compromisso ativo.</w:t>
      </w:r>
    </w:p>
    <w:bookmarkEnd w:id="59"/>
    <w:bookmarkEnd w:id="60"/>
    <w:bookmarkStart w:id="61" w:name="decisão-de-pagamento"/>
    <w:p>
      <w:pPr>
        <w:pStyle w:val="Heading1"/>
      </w:pPr>
      <w:r>
        <w:t xml:space="preserve"># 15.2 Decisão de pagamento</w:t>
      </w:r>
    </w:p>
    <w:p>
      <w:pPr>
        <w:numPr>
          <w:ilvl w:val="0"/>
          <w:numId w:val="1032"/>
        </w:numPr>
      </w:pPr>
      <w:r>
        <w:t xml:space="preserve">O pagamento é legal, seguro, ético, sanções, negócios e decisão de risco para a liderança autorizada – não um analista júnior.</w:t>
      </w:r>
    </w:p>
    <w:p>
      <w:pPr>
        <w:numPr>
          <w:ilvl w:val="0"/>
          <w:numId w:val="1032"/>
        </w:numPr>
      </w:pPr>
      <w:r>
        <w:t xml:space="preserve">O pagamento não garante descriptografia, exclusão, silêncio ou ausência de ataques futuros.</w:t>
      </w:r>
    </w:p>
    <w:p>
      <w:pPr>
        <w:numPr>
          <w:ilvl w:val="0"/>
          <w:numId w:val="1032"/>
        </w:numPr>
      </w:pPr>
      <w:r>
        <w:t xml:space="preserve">Preservar os factos, as autoridades, as alternativas, as condições da seguradora e a fundamentação da decisão; utilizar o aconselhamento qualificado e as autoridades públicas, conforme adequado.</w:t>
      </w:r>
    </w:p>
    <w:bookmarkEnd w:id="61"/>
    <w:bookmarkStart w:id="62" w:name="resposta-de-incidente-cloud-e-saas"/>
    <w:p>
      <w:pPr>
        <w:pStyle w:val="Heading1"/>
      </w:pPr>
      <w:r>
        <w:t xml:space="preserve">16. Resposta de Incidente Cloud e SaaS</w:t>
      </w:r>
    </w:p>
    <w:p>
      <w:pPr>
        <w:numPr>
          <w:ilvl w:val="0"/>
          <w:numId w:val="1033"/>
        </w:numPr>
        <w:pStyle w:val="Compact"/>
      </w:pPr>
      <w:r>
        <w:t xml:space="preserve">A resposta em nuvem depende da telemetria do provedor, responsabilidade compartilhada, controle do inquilino e acesso ao suporte.*</w:t>
      </w:r>
    </w:p>
    <w:bookmarkEnd w:id="62"/>
    <w:bookmarkStart w:id="63" w:name="investigação-em-nuvem"/>
    <w:p>
      <w:pPr>
        <w:pStyle w:val="Heading1"/>
      </w:pPr>
      <w:r>
        <w:t xml:space="preserve"># 16.1 Investigação em nuvem</w:t>
      </w:r>
    </w:p>
    <w:p>
      <w:pPr>
        <w:numPr>
          <w:ilvl w:val="0"/>
          <w:numId w:val="1034"/>
        </w:numPr>
      </w:pPr>
      <w:r>
        <w:t xml:space="preserve">Preservar auditoria de provedor, identidade, API, objeto, rede, carga de trabalho, banco de dados, gerenciamento de chaves, segurança, faturamento e registros de suporte antes da retenção expirar.</w:t>
      </w:r>
    </w:p>
    <w:p>
      <w:pPr>
        <w:numPr>
          <w:ilvl w:val="0"/>
          <w:numId w:val="1034"/>
        </w:numPr>
      </w:pPr>
      <w:r>
        <w:t xml:space="preserve">Identificar locatário, assinatura/projeto/conta, região, recurso, identidade, papel, token, chave, automação, aplicação e ação do provedor.</w:t>
      </w:r>
    </w:p>
    <w:p>
      <w:pPr>
        <w:numPr>
          <w:ilvl w:val="0"/>
          <w:numId w:val="1034"/>
        </w:numPr>
      </w:pPr>
      <w:r>
        <w:t xml:space="preserve">Reveja a actividade do plano de controlo e do plano de dados separadamente.</w:t>
      </w:r>
    </w:p>
    <w:p>
      <w:pPr>
        <w:numPr>
          <w:ilvl w:val="0"/>
          <w:numId w:val="1034"/>
        </w:numPr>
      </w:pPr>
      <w:r>
        <w:t xml:space="preserve">Instantâneo ou exportação de evidências usando métodos suportados; tempo do provedor de registro, identificadores, hashes e limitações.</w:t>
      </w:r>
    </w:p>
    <w:p>
      <w:pPr>
        <w:numPr>
          <w:ilvl w:val="0"/>
          <w:numId w:val="1034"/>
        </w:numPr>
      </w:pPr>
      <w:r>
        <w:t xml:space="preserve">Coordenar a escalada do provedor, solicitação legal, aviso de incidente, subprocessador, e deveres de responsabilidade compartilhada.</w:t>
      </w:r>
    </w:p>
    <w:bookmarkEnd w:id="63"/>
    <w:bookmarkStart w:id="65" w:name="contenção-de-nuvens"/>
    <w:p>
      <w:pPr>
        <w:pStyle w:val="Heading1"/>
      </w:pPr>
      <w:r>
        <w:t xml:space="preserve"># 16.2 Contenção de nuvens</w:t>
      </w:r>
    </w:p>
    <w:p>
      <w:pPr>
        <w:numPr>
          <w:ilvl w:val="0"/>
          <w:numId w:val="1035"/>
        </w:numPr>
      </w:pPr>
      <w:r>
        <w:t xml:space="preserve">Revogar sessões e tokens, desativar identidades comprometidas, girar segredos/chaves, restringir políticas e redes, cargas de trabalho de quarentena, parar a automação insegura e preservar caminhos de recuperação.</w:t>
      </w:r>
    </w:p>
    <w:p>
      <w:pPr>
        <w:numPr>
          <w:ilvl w:val="0"/>
          <w:numId w:val="1035"/>
        </w:numPr>
      </w:pPr>
      <w:r>
        <w:t xml:space="preserve">Evite excluir recursos antes que as necessidades de evidência, dependência e retorno sejam entendidas.</w:t>
      </w:r>
    </w:p>
    <w:p>
      <w:pPr>
        <w:numPr>
          <w:ilvl w:val="0"/>
          <w:numId w:val="1035"/>
        </w:numPr>
      </w:pPr>
      <w:r>
        <w:t xml:space="preserve">Validar infraestrutura-como-código, imagens, pipelines, federação de identidade, registro, e linha de base de inquilino antes de reconstruir.</w:t>
      </w:r>
    </w:p>
    <w:p>
      <w:pPr>
        <w:numPr>
          <w:ilvl w:val="0"/>
          <w:numId w:val="1036"/>
        </w:numPr>
        <w:pStyle w:val="Compact"/>
      </w:pPr>
      <w:r>
        <w:t xml:space="preserve">Incidentes de Identidade e Acesso Privilegiado</w:t>
      </w:r>
    </w:p>
    <w:p>
      <w:pPr>
        <w:pStyle w:val="FirstParagraph"/>
      </w:pPr>
      <w:r>
        <w:rPr>
          <w:iCs/>
          <w:i/>
        </w:rPr>
        <w:t xml:space="preserve">Compromisso de identidade pode cruzar endpoints, serviços de nuvem, fornecedores e canais de recuperação.</w:t>
      </w:r>
    </w:p>
    <w:bookmarkStart w:id="64" w:name="âmbito-de-aplicação"/>
    <w:p>
      <w:pPr>
        <w:pStyle w:val="Heading2"/>
      </w:pPr>
      <w:r>
        <w:t xml:space="preserve">17.1 Âmbito de aplicação</w:t>
      </w:r>
    </w:p>
    <w:p>
      <w:pPr>
        <w:numPr>
          <w:ilvl w:val="0"/>
          <w:numId w:val="1037"/>
        </w:numPr>
      </w:pPr>
      <w:r>
        <w:t xml:space="preserve">Senha, método MFA, sessões, tokens de atualização/acesso, chaves API, bolsas OAuth, diretores de serviço, certificados, métodos de recuperação, acesso delegado e papéis privilegiados.</w:t>
      </w:r>
    </w:p>
    <w:p>
      <w:pPr>
        <w:numPr>
          <w:ilvl w:val="0"/>
          <w:numId w:val="1037"/>
        </w:numPr>
      </w:pPr>
      <w:r>
        <w:t xml:space="preserve">Autenticação sucesso / falha, dispositivo, IP, localização, viagem impossível, registro, consentimento, mudança de papel, regra de caixa de correio, acesso ao aplicativo, reset de suporte, e mudança de registro de auditoria.</w:t>
      </w:r>
    </w:p>
    <w:p>
      <w:pPr>
        <w:numPr>
          <w:ilvl w:val="0"/>
          <w:numId w:val="1037"/>
        </w:numPr>
      </w:pPr>
      <w:r>
        <w:t xml:space="preserve">Identidades relacionadas, dispositivos compartilhados, ferramentas de administração, sistemas federados, help desk, fornecedores e contas de vidro quebrado.</w:t>
      </w:r>
    </w:p>
    <w:p>
      <w:pPr>
        <w:pStyle w:val="FirstParagraph"/>
      </w:pPr>
      <w:r>
        <w:t xml:space="preserve">17.2 Ordem de recuperação segura</w:t>
      </w:r>
    </w:p>
    <w:p>
      <w:pPr>
        <w:numPr>
          <w:ilvl w:val="0"/>
          <w:numId w:val="1038"/>
        </w:numPr>
      </w:pPr>
      <w:r>
        <w:t xml:space="preserve">Primeiro, o acesso administrativo seguro e o controlo de identidade.</w:t>
      </w:r>
    </w:p>
    <w:p>
      <w:pPr>
        <w:numPr>
          <w:ilvl w:val="0"/>
          <w:numId w:val="1038"/>
        </w:numPr>
      </w:pPr>
      <w:r>
        <w:t xml:space="preserve">Desactivar ou restringir caminhos comprometidos, preservando as provas necessárias.</w:t>
      </w:r>
    </w:p>
    <w:p>
      <w:pPr>
        <w:numPr>
          <w:ilvl w:val="0"/>
          <w:numId w:val="1038"/>
        </w:numPr>
      </w:pPr>
      <w:r>
        <w:t xml:space="preserve">Revogar sessões/tokens e remover fatores não autorizados, papéis, aplicações, regras e métodos de recuperação.</w:t>
      </w:r>
    </w:p>
    <w:p>
      <w:pPr>
        <w:numPr>
          <w:ilvl w:val="0"/>
          <w:numId w:val="1038"/>
        </w:numPr>
      </w:pPr>
      <w:r>
        <w:t xml:space="preserve">Rodar segredos em ordem consciente de dependência; verificar contas de serviço e automação.</w:t>
      </w:r>
    </w:p>
    <w:p>
      <w:pPr>
        <w:numPr>
          <w:ilvl w:val="0"/>
          <w:numId w:val="1038"/>
        </w:numPr>
      </w:pPr>
      <w:r>
        <w:t xml:space="preserve">Restaurar o acesso do usuário através de prova de identidade forte; monitor para recorrência.</w:t>
      </w:r>
    </w:p>
    <w:p>
      <w:pPr>
        <w:numPr>
          <w:ilvl w:val="0"/>
          <w:numId w:val="1038"/>
        </w:numPr>
      </w:pPr>
      <w:r>
        <w:t xml:space="preserve">Investigar como os controles foram contornados e testar o processo corrigido.</w:t>
      </w:r>
    </w:p>
    <w:bookmarkEnd w:id="64"/>
    <w:bookmarkEnd w:id="65"/>
    <w:bookmarkStart w:id="66" w:name="Xdf81a1f0af9480c8442234029ec70aed19e4426"/>
    <w:p>
      <w:pPr>
        <w:pStyle w:val="Heading1"/>
      </w:pPr>
      <w:r>
        <w:t xml:space="preserve">18. Incidentes de Terceiro-Parte e Supply-Chain</w:t>
      </w:r>
    </w:p>
    <w:p>
      <w:pPr>
        <w:pStyle w:val="FirstParagraph"/>
      </w:pPr>
      <w:r>
        <w:rPr>
          <w:iCs/>
          <w:i/>
        </w:rPr>
        <w:t xml:space="preserve">Um incidente de fornecedor requer fatos compartilhados, responsabilidades, relógios de notificação e decisões de recuperação.</w:t>
      </w:r>
    </w:p>
    <w:bookmarkEnd w:id="66"/>
    <w:bookmarkStart w:id="67" w:name="preparar"/>
    <w:p>
      <w:pPr>
        <w:pStyle w:val="Heading1"/>
      </w:pPr>
      <w:r>
        <w:t xml:space="preserve"># 18.1 Preparar</w:t>
      </w:r>
    </w:p>
    <w:p>
      <w:pPr>
        <w:numPr>
          <w:ilvl w:val="0"/>
          <w:numId w:val="1039"/>
        </w:numPr>
      </w:pPr>
      <w:r>
        <w:t xml:space="preserve">Mantenha os atuais serviços de fornecedores, proprietários, dados, acesso, integrações, quartas partes, contatos incidentes, termos de contrato e alternativas.</w:t>
      </w:r>
    </w:p>
    <w:p>
      <w:pPr>
        <w:numPr>
          <w:ilvl w:val="0"/>
          <w:numId w:val="1039"/>
        </w:numPr>
      </w:pPr>
      <w:r>
        <w:t xml:space="preserve">Definir eventos relatáveis, tempo de notificação e canal, fatos mínimos, evidência/cooperação, atualizações, contenção, recuperação, comunicação pública e deveres pós-incidentes.</w:t>
      </w:r>
    </w:p>
    <w:p>
      <w:pPr>
        <w:numPr>
          <w:ilvl w:val="0"/>
          <w:numId w:val="1039"/>
        </w:numPr>
      </w:pPr>
      <w:r>
        <w:t xml:space="preserve">Incluir fornecedores críticos em exercícios e testes de continuidade/saída.</w:t>
      </w:r>
    </w:p>
    <w:bookmarkEnd w:id="67"/>
    <w:bookmarkStart w:id="68" w:name="responder"/>
    <w:p>
      <w:pPr>
        <w:pStyle w:val="Heading1"/>
      </w:pPr>
      <w:r>
        <w:t xml:space="preserve">18.2 Responder</w:t>
      </w:r>
    </w:p>
    <w:p>
      <w:pPr>
        <w:numPr>
          <w:ilvl w:val="0"/>
          <w:numId w:val="1040"/>
        </w:numPr>
      </w:pPr>
      <w:r>
        <w:t xml:space="preserve">Confirmar produto afetado, versão, inquilino, região, dados, contas, integrações, subprocessadores, e período de tempo.</w:t>
      </w:r>
    </w:p>
    <w:p>
      <w:pPr>
        <w:numPr>
          <w:ilvl w:val="0"/>
          <w:numId w:val="1040"/>
        </w:numPr>
      </w:pPr>
      <w:r>
        <w:t xml:space="preserve">Separar as alegações do fornecedor de factos apoiados independentemente e registar incerteza.</w:t>
      </w:r>
    </w:p>
    <w:p>
      <w:pPr>
        <w:numPr>
          <w:ilvl w:val="0"/>
          <w:numId w:val="1040"/>
        </w:numPr>
      </w:pPr>
      <w:r>
        <w:t xml:space="preserve">Proteja o acesso da organização, chaves, sessões, integrações, fluxos de dados e clientes.</w:t>
      </w:r>
    </w:p>
    <w:p>
      <w:pPr>
        <w:numPr>
          <w:ilvl w:val="0"/>
          <w:numId w:val="1040"/>
        </w:numPr>
      </w:pPr>
      <w:r>
        <w:t xml:space="preserve">Coordenar fornecedor, equipes internas, clientes, autoridades, seguradoras e outros fornecedores afetados.</w:t>
      </w:r>
    </w:p>
    <w:p>
      <w:pPr>
        <w:numPr>
          <w:ilvl w:val="0"/>
          <w:numId w:val="1040"/>
        </w:numPr>
      </w:pPr>
      <w:r>
        <w:t xml:space="preserve">Reavaliar risco, resultados, desempenho do contrato, concentração e opções de saída/continuidade após a recuperação.</w:t>
      </w:r>
    </w:p>
    <w:bookmarkEnd w:id="68"/>
    <w:bookmarkStart w:id="71" w:name="Xd8880b3dce01a5c81ce6a09124154ce18b8cafc"/>
    <w:p>
      <w:pPr>
        <w:pStyle w:val="Heading1"/>
      </w:pPr>
      <w:r>
        <w:t xml:space="preserve">19. Sistema de Gestão de Continuidade de Negócios</w:t>
      </w:r>
    </w:p>
    <w:p>
      <w:pPr>
        <w:pStyle w:val="FirstParagraph"/>
      </w:pPr>
      <w:r>
        <w:rPr>
          <w:iCs/>
          <w:i/>
        </w:rPr>
        <w:t xml:space="preserve">A BCMS faz da continuidade uma capacidade de gestão governada, medida e melhorada.</w:t>
      </w:r>
    </w:p>
    <w:p>
      <w:pPr>
        <w:pStyle w:val="BodyText"/>
      </w:pPr>
    </w:p>
    <w:p>
      <w:pPr>
        <w:pStyle w:val="BodyText"/>
      </w:pPr>
      <w:r>
        <w:t xml:space="preserve">Figura 7. Sistema de gestão da continuidade empresarial</w:t>
      </w:r>
    </w:p>
    <w:bookmarkStart w:id="69" w:name="área-iso-22301"/>
    <w:p>
      <w:pPr>
        <w:pStyle w:val="Heading2"/>
      </w:pPr>
      <w:r>
        <w:t xml:space="preserve">Área ISO 22301</w:t>
      </w:r>
    </w:p>
    <w:p>
      <w:pPr>
        <w:pStyle w:val="FirstParagraph"/>
      </w:pPr>
      <w:r>
        <w:t xml:space="preserve">□ Contexto • Compreender questões internas/externas, partes interessadas, escopo e necessidades de continuidade</w:t>
      </w:r>
      <w:r>
        <w:t xml:space="preserve"> </w:t>
      </w:r>
      <w:r>
        <w:t xml:space="preserve">Liderança Política, funções, responsabilização, integração e recursos</w:t>
      </w:r>
      <w:r>
        <w:t xml:space="preserve"> </w:t>
      </w:r>
      <w:r>
        <w:t xml:space="preserve">• Planeamento • Riscos/oportunidades, objectivos, alterações planeadas</w:t>
      </w:r>
      <w:r>
        <w:t xml:space="preserve"> </w:t>
      </w:r>
      <w:r>
        <w:t xml:space="preserve">Apoiar pessoas, competência, consciência, comunicação, informação documentada</w:t>
      </w:r>
      <w:r>
        <w:t xml:space="preserve"> </w:t>
      </w:r>
      <w:r>
        <w:t xml:space="preserve">□ Operação □ BIA, avaliação de risco, estratégia, procedimentos, exercícios, avaliação</w:t>
      </w:r>
      <w:r>
        <w:t xml:space="preserve"> </w:t>
      </w:r>
      <w:r>
        <w:t xml:space="preserve">• Avaliação do desempenho • Acompanhamento, medição, análise, auditoria interna, análise da gestão</w:t>
      </w:r>
      <w:r>
        <w:t xml:space="preserve"> </w:t>
      </w:r>
      <w:r>
        <w:t xml:space="preserve">Melhoramento □ Não conformidade, ação corretiva e melhoria contínua</w:t>
      </w:r>
    </w:p>
    <w:bookmarkEnd w:id="69"/>
    <w:bookmarkStart w:id="70" w:name="X45eb8f944c07d73e74cbde275d83ed91c5f2a0b"/>
    <w:p>
      <w:pPr>
        <w:pStyle w:val="Heading2"/>
      </w:pPr>
      <w:r>
        <w:t xml:space="preserve">Emenda climática:** ISO 22301:2019/Amd 1:2024 adiciona texto de ação climática aos requisitos de contexto de gestão-sistema. As organizações devem considerar se as alterações climáticas são relevantes e reconhecer que as partes interessadas podem ter requisitos relacionados com o clima. □</w:t>
      </w:r>
    </w:p>
    <w:bookmarkEnd w:id="70"/>
    <w:bookmarkEnd w:id="71"/>
    <w:bookmarkStart w:id="74" w:name="Xaab3a98060ec8cfafdbfa699fdac32fa4176a0b"/>
    <w:p>
      <w:pPr>
        <w:pStyle w:val="Heading1"/>
      </w:pPr>
      <w:r>
        <w:t xml:space="preserve">20. Estratégias e procedimentos de continuidade</w:t>
      </w:r>
    </w:p>
    <w:p>
      <w:pPr>
        <w:numPr>
          <w:ilvl w:val="0"/>
          <w:numId w:val="1041"/>
        </w:numPr>
        <w:pStyle w:val="Compact"/>
      </w:pPr>
      <w:r>
        <w:t xml:space="preserve">As estratégias de continuidade mantêm as atividades prioritárias dentro do impacto tolerável e dos níveis mínimos de serviço.*</w:t>
      </w:r>
    </w:p>
    <w:bookmarkStart w:id="72" w:name="Xb356a74e37435ee557d9607051fe6c3e51064d4"/>
    <w:p>
      <w:pPr>
        <w:pStyle w:val="Heading2"/>
      </w:pPr>
      <w:r>
        <w:t xml:space="preserve">*Recurso</w:t>
      </w:r>
      <w:r>
        <w:rPr>
          <w:bCs/>
          <w:b/>
        </w:rPr>
        <w:t xml:space="preserve"> </w:t>
      </w:r>
      <w:r>
        <w:t xml:space="preserve">Exemplos de estratégia</w:t>
      </w:r>
      <w:r>
        <w:rPr>
          <w:bCs/>
          <w:b/>
        </w:rPr>
        <w:t xml:space="preserve"> </w:t>
      </w:r>
      <w:r>
        <w:t xml:space="preserve">Questão de teste**</w:t>
      </w:r>
    </w:p>
    <w:p>
      <w:pPr>
        <w:pStyle w:val="FirstParagraph"/>
      </w:pPr>
      <w:r>
        <w:t xml:space="preserve">As pessoas podem treinar, alternar, trabalho remoto, equipes divididas, suporte contratado.</w:t>
      </w:r>
      <w:r>
        <w:t xml:space="preserve"> </w:t>
      </w:r>
      <w:r>
        <w:t xml:space="preserve">□ Instalações □ Local alternativo, espaço recíproco, operação remota, capacidade móvel □ As pessoas podem acessar um local seguro utilizável? □</w:t>
      </w:r>
      <w:r>
        <w:t xml:space="preserve"> </w:t>
      </w:r>
      <w:r>
        <w:t xml:space="preserve">• Tecnologia • Alta disponibilidade, failover, plataforma alternativa, modo manual • O serviço de ponta a ponta atende a RTO/RPO?</w:t>
      </w:r>
      <w:r>
        <w:t xml:space="preserve"> </w:t>
      </w:r>
      <w:r>
        <w:t xml:space="preserve">Dados/registros – Cópias protegidas, registros offline, exportação, acesso alternativo A informação é completa, atual, segura e utilizável?</w:t>
      </w:r>
      <w:r>
        <w:t xml:space="preserve"> </w:t>
      </w:r>
      <w:r>
        <w:t xml:space="preserve">Os fornecedores podem fornecer alternativa dentro da tolerância? □</w:t>
      </w:r>
      <w:r>
        <w:t xml:space="preserve"> </w:t>
      </w:r>
      <w:r>
        <w:t xml:space="preserve">□ Utilitários/comunicações □ Potência, rede, voz diferentes, canal fora da banda □ A infraestrutura comum cria uma falha? □</w:t>
      </w:r>
      <w:r>
        <w:t xml:space="preserve"> </w:t>
      </w:r>
      <w:r>
        <w:t xml:space="preserve">• Processo • Priorização, serviço reduzido, plano de backlog, solução manual • Pode a saída mínima ser mantida com segurança?</w:t>
      </w:r>
    </w:p>
    <w:bookmarkEnd w:id="72"/>
    <w:bookmarkStart w:id="73" w:name="procedimento-de-continuidade"/>
    <w:p>
      <w:pPr>
        <w:pStyle w:val="Heading2"/>
      </w:pPr>
      <w:r>
        <w:t xml:space="preserve">20.1 Procedimento de continuidade</w:t>
      </w:r>
    </w:p>
    <w:p>
      <w:pPr>
        <w:numPr>
          <w:ilvl w:val="0"/>
          <w:numId w:val="1042"/>
        </w:numPr>
      </w:pPr>
      <w:r>
        <w:t xml:space="preserve">Activação e autoridade.</w:t>
      </w:r>
    </w:p>
    <w:p>
      <w:pPr>
        <w:numPr>
          <w:ilvl w:val="0"/>
          <w:numId w:val="1042"/>
        </w:numPr>
      </w:pPr>
      <w:r>
        <w:t xml:space="preserve">Saída prioritária, nível mínimo de serviço, duração máxima e meta de recuperação.</w:t>
      </w:r>
    </w:p>
    <w:p>
      <w:pPr>
        <w:numPr>
          <w:ilvl w:val="0"/>
          <w:numId w:val="1042"/>
        </w:numPr>
      </w:pPr>
      <w:r>
        <w:t xml:space="preserve">Pessoas, contato, localização, tecnologia, informação, fornecedor e necessidades de segurança.</w:t>
      </w:r>
    </w:p>
    <w:p>
      <w:pPr>
        <w:numPr>
          <w:ilvl w:val="0"/>
          <w:numId w:val="1042"/>
        </w:numPr>
      </w:pPr>
      <w:r>
        <w:t xml:space="preserve">Passo a passo com controles, aprovações, registros, privacidade, reconciliação e recuperação de backlog.</w:t>
      </w:r>
    </w:p>
    <w:p>
      <w:pPr>
        <w:numPr>
          <w:ilvl w:val="0"/>
          <w:numId w:val="1042"/>
        </w:numPr>
      </w:pPr>
      <w:r>
        <w:t xml:space="preserve">Comunicação cliente/empregado e ritmo de status.</w:t>
      </w:r>
    </w:p>
    <w:p>
      <w:pPr>
        <w:numPr>
          <w:ilvl w:val="0"/>
          <w:numId w:val="1042"/>
        </w:numPr>
      </w:pPr>
      <w:r>
        <w:t xml:space="preserve">Retorno aos critérios normais, validação, aceitação do proprietário e revisão pós-ação.</w:t>
      </w:r>
    </w:p>
    <w:bookmarkEnd w:id="73"/>
    <w:bookmarkEnd w:id="74"/>
    <w:bookmarkStart w:id="75" w:name="planejamento-de-recuperação-de-desastres"/>
    <w:p>
      <w:pPr>
        <w:pStyle w:val="Heading1"/>
      </w:pPr>
      <w:r>
        <w:t xml:space="preserve">21. Planejamento de recuperação de desastres</w:t>
      </w:r>
    </w:p>
    <w:p>
      <w:pPr>
        <w:numPr>
          <w:ilvl w:val="0"/>
          <w:numId w:val="1043"/>
        </w:numPr>
        <w:pStyle w:val="Compact"/>
      </w:pPr>
      <w:r>
        <w:t xml:space="preserve">Um plano de recuperação de desastres restaura a tecnologia em ordem empresarial-prioridade.*</w:t>
      </w:r>
    </w:p>
    <w:bookmarkEnd w:id="75"/>
    <w:bookmarkStart w:id="76" w:name="nist-sp-800-34-processo-de-contingência"/>
    <w:p>
      <w:pPr>
        <w:pStyle w:val="Heading1"/>
      </w:pPr>
      <w:r>
        <w:t xml:space="preserve"># 21,1 NIST SP 800-34 processo de contingência</w:t>
      </w:r>
    </w:p>
    <w:p>
      <w:pPr>
        <w:numPr>
          <w:ilvl w:val="0"/>
          <w:numId w:val="1044"/>
        </w:numPr>
      </w:pPr>
      <w:r>
        <w:t xml:space="preserve">Desenvolva a política de planeamento de contingência.</w:t>
      </w:r>
    </w:p>
    <w:p>
      <w:pPr>
        <w:numPr>
          <w:ilvl w:val="0"/>
          <w:numId w:val="1044"/>
        </w:numPr>
      </w:pPr>
      <w:r>
        <w:t xml:space="preserve">Realizar a análise de impacto empresarial.</w:t>
      </w:r>
    </w:p>
    <w:p>
      <w:pPr>
        <w:numPr>
          <w:ilvl w:val="0"/>
          <w:numId w:val="1044"/>
        </w:numPr>
      </w:pPr>
      <w:r>
        <w:t xml:space="preserve">Identificar os controlos preventivos.</w:t>
      </w:r>
    </w:p>
    <w:p>
      <w:pPr>
        <w:numPr>
          <w:ilvl w:val="0"/>
          <w:numId w:val="1044"/>
        </w:numPr>
      </w:pPr>
      <w:r>
        <w:t xml:space="preserve">Criar estratégias de contingência.</w:t>
      </w:r>
    </w:p>
    <w:p>
      <w:pPr>
        <w:numPr>
          <w:ilvl w:val="0"/>
          <w:numId w:val="1044"/>
        </w:numPr>
      </w:pPr>
      <w:r>
        <w:t xml:space="preserve">Desenvolver o plano de contingência do sistema de informação.</w:t>
      </w:r>
    </w:p>
    <w:p>
      <w:pPr>
        <w:numPr>
          <w:ilvl w:val="0"/>
          <w:numId w:val="1044"/>
        </w:numPr>
      </w:pPr>
      <w:r>
        <w:t xml:space="preserve">Assegurar testes de plano, treinamento e exercícios.</w:t>
      </w:r>
    </w:p>
    <w:p>
      <w:pPr>
        <w:numPr>
          <w:ilvl w:val="0"/>
          <w:numId w:val="1044"/>
        </w:numPr>
      </w:pPr>
      <w:r>
        <w:t xml:space="preserve">Assegurar a manutenção do plano.</w:t>
      </w:r>
    </w:p>
    <w:bookmarkEnd w:id="76"/>
    <w:bookmarkStart w:id="77" w:name="dr-planejar-conteúdo"/>
    <w:p>
      <w:pPr>
        <w:pStyle w:val="Heading1"/>
      </w:pPr>
      <w:r>
        <w:t xml:space="preserve"># 21,2 DR planejar conteúdo</w:t>
      </w:r>
    </w:p>
    <w:p>
      <w:pPr>
        <w:numPr>
          <w:ilvl w:val="0"/>
          <w:numId w:val="1045"/>
        </w:numPr>
      </w:pPr>
      <w:r>
        <w:t xml:space="preserve">Escopo, pressupostos, ativação, autoridades, contatos, fornecedores, sites, arquiteturas, dependências e níveis de recuperação.</w:t>
      </w:r>
    </w:p>
    <w:p>
      <w:pPr>
        <w:numPr>
          <w:ilvl w:val="0"/>
          <w:numId w:val="1045"/>
        </w:numPr>
      </w:pPr>
      <w:r>
        <w:t xml:space="preserve">Avaliação de danos, declaração, failover, restaurar, reconstruir, validação, reconexão, retorno ao primário, e encerramento.</w:t>
      </w:r>
    </w:p>
    <w:p>
      <w:pPr>
        <w:numPr>
          <w:ilvl w:val="0"/>
          <w:numId w:val="1045"/>
        </w:numPr>
      </w:pPr>
      <w:r>
        <w:t xml:space="preserve">Runbooks sistema a sistema com pré-requisitos, credenciais, administração limpa, pontos de dados, interfaces, segurança, testes e rollback.</w:t>
      </w:r>
    </w:p>
    <w:p>
      <w:pPr>
        <w:numPr>
          <w:ilvl w:val="0"/>
          <w:numId w:val="1045"/>
        </w:numPr>
      </w:pPr>
      <w:r>
        <w:t xml:space="preserve">Conflitos de recursos, capacidade, licenciamento, logística, comunicações e soluções manuais.</w:t>
      </w:r>
    </w:p>
    <w:p>
      <w:pPr>
        <w:numPr>
          <w:ilvl w:val="0"/>
          <w:numId w:val="1045"/>
        </w:numPr>
      </w:pPr>
      <w:r>
        <w:t xml:space="preserve">Real RTO/RPO, exceções, aceitação e evidência de melhoria.</w:t>
      </w:r>
    </w:p>
    <w:bookmarkEnd w:id="77"/>
    <w:bookmarkStart w:id="78" w:name="backups-e-garantia-de-recuperação"/>
    <w:p>
      <w:pPr>
        <w:pStyle w:val="Heading1"/>
      </w:pPr>
      <w:r>
        <w:t xml:space="preserve">22. Backups e garantia de recuperação</w:t>
      </w:r>
    </w:p>
    <w:p>
      <w:pPr>
        <w:numPr>
          <w:ilvl w:val="0"/>
          <w:numId w:val="1046"/>
        </w:numPr>
        <w:pStyle w:val="Compact"/>
      </w:pPr>
      <w:r>
        <w:t xml:space="preserve">Os backups requerem escopo protegido, separação, monitoramento, testes de restauração e administração confiável.*</w:t>
      </w:r>
    </w:p>
    <w:p>
      <w:pPr>
        <w:pStyle w:val="FirstParagraph"/>
      </w:pPr>
    </w:p>
    <w:p>
      <w:pPr>
        <w:pStyle w:val="BodyText"/>
      </w:pPr>
      <w:r>
        <w:t xml:space="preserve">Figura 8. Garantia de backup para recuperação</w:t>
      </w:r>
    </w:p>
    <w:bookmarkEnd w:id="78"/>
    <w:bookmarkStart w:id="79" w:name="design"/>
    <w:p>
      <w:pPr>
        <w:pStyle w:val="Heading1"/>
      </w:pPr>
      <w:r>
        <w:t xml:space="preserve"># 22.1 Design</w:t>
      </w:r>
    </w:p>
    <w:p>
      <w:pPr>
        <w:numPr>
          <w:ilvl w:val="0"/>
          <w:numId w:val="1047"/>
        </w:numPr>
      </w:pPr>
      <w:r>
        <w:t xml:space="preserve">Mapa de sistemas críticos, configurações, identidade, chaves, código, dados SaaS, logs e dependências para alvos BIA.</w:t>
      </w:r>
    </w:p>
    <w:p>
      <w:pPr>
        <w:numPr>
          <w:ilvl w:val="0"/>
          <w:numId w:val="1047"/>
        </w:numPr>
      </w:pPr>
      <w:r>
        <w:t xml:space="preserve">Use várias cópias protegidas com separação adequada, imutabilidade/controle offline, criptografia, segregação de acesso, monitoramento e retenção.</w:t>
      </w:r>
    </w:p>
    <w:p>
      <w:pPr>
        <w:numPr>
          <w:ilvl w:val="0"/>
          <w:numId w:val="1047"/>
        </w:numPr>
      </w:pPr>
      <w:r>
        <w:t xml:space="preserve">Proteja consoles de backup, contas de serviço, exclusão, replicação, catálogos, credenciais de recuperação e redes de gerenciamento.</w:t>
      </w:r>
    </w:p>
    <w:p>
      <w:pPr>
        <w:numPr>
          <w:ilvl w:val="0"/>
          <w:numId w:val="1047"/>
        </w:numPr>
      </w:pPr>
      <w:r>
        <w:t xml:space="preserve">Evite reproduzir corrupção ou mudanças atacantes sem pontos de recuperação históricos utilizáveis.</w:t>
      </w:r>
    </w:p>
    <w:bookmarkEnd w:id="79"/>
    <w:bookmarkStart w:id="80" w:name="teste-de-restauração"/>
    <w:p>
      <w:pPr>
        <w:pStyle w:val="Heading1"/>
      </w:pPr>
      <w:r>
        <w:t xml:space="preserve"># 22.2 Teste de restauração</w:t>
      </w:r>
    </w:p>
    <w:p>
      <w:pPr>
        <w:numPr>
          <w:ilvl w:val="0"/>
          <w:numId w:val="1048"/>
        </w:numPr>
      </w:pPr>
      <w:r>
        <w:t xml:space="preserve">Selecione um sistema representativo e ponto de recuperação em um cenário aprovado.</w:t>
      </w:r>
    </w:p>
    <w:p>
      <w:pPr>
        <w:numPr>
          <w:ilvl w:val="0"/>
          <w:numId w:val="1048"/>
        </w:numPr>
      </w:pPr>
      <w:r>
        <w:t xml:space="preserve">Use pessoas autorizadas, administração limpa, runbook documentado e restauração isolada, quando apropriado.</w:t>
      </w:r>
    </w:p>
    <w:p>
      <w:pPr>
        <w:numPr>
          <w:ilvl w:val="0"/>
          <w:numId w:val="1048"/>
        </w:numPr>
      </w:pPr>
      <w:r>
        <w:t xml:space="preserve">Meça tempo real e perda de dados; valide completude, integridade, segurança, interfaces, desempenho e uso de negócios.</w:t>
      </w:r>
    </w:p>
    <w:p>
      <w:pPr>
        <w:numPr>
          <w:ilvl w:val="0"/>
          <w:numId w:val="1048"/>
        </w:numPr>
      </w:pPr>
      <w:r>
        <w:t xml:space="preserve">Gravar falhas e soluções; corrigir e reteste.</w:t>
      </w:r>
    </w:p>
    <w:p>
      <w:pPr>
        <w:numPr>
          <w:ilvl w:val="0"/>
          <w:numId w:val="1048"/>
        </w:numPr>
      </w:pPr>
      <w:r>
        <w:t xml:space="preserve">Relate se o serviço completo – não apenas um arquivo – atende aos requisitos de RTO, RPO e serviço mínimo.</w:t>
      </w:r>
    </w:p>
    <w:bookmarkEnd w:id="80"/>
    <w:bookmarkStart w:id="83" w:name="gestão-de-crises-e-fatores-humanos"/>
    <w:p>
      <w:pPr>
        <w:pStyle w:val="Heading1"/>
      </w:pPr>
      <w:r>
        <w:t xml:space="preserve">23. Gestão de Crises e Fatores Humanos</w:t>
      </w:r>
    </w:p>
    <w:p>
      <w:pPr>
        <w:pStyle w:val="FirstParagraph"/>
      </w:pPr>
      <w:r>
        <w:rPr>
          <w:iCs/>
          <w:i/>
        </w:rPr>
        <w:t xml:space="preserve">O gerenciamento de crises coordena decisões de alto impacto quando a informação está incompleta e o tempo importa.</w:t>
      </w:r>
    </w:p>
    <w:bookmarkStart w:id="81" w:name="ritmo-de-liderança"/>
    <w:p>
      <w:pPr>
        <w:pStyle w:val="Heading2"/>
      </w:pPr>
      <w:r>
        <w:t xml:space="preserve">23.1 Ritmo de liderança</w:t>
      </w:r>
    </w:p>
    <w:p>
      <w:pPr>
        <w:numPr>
          <w:ilvl w:val="0"/>
          <w:numId w:val="1049"/>
        </w:numPr>
      </w:pPr>
      <w:r>
        <w:t xml:space="preserve">Definir objetivos de segurança, serviço, jurídico, cliente, evidência e recuperação em ordem prioritária.</w:t>
      </w:r>
    </w:p>
    <w:p>
      <w:pPr>
        <w:numPr>
          <w:ilvl w:val="0"/>
          <w:numId w:val="1049"/>
        </w:numPr>
      </w:pPr>
      <w:r>
        <w:t xml:space="preserve">Manter uma imagem operacional comum: fatos, incerteza, efeitos comerciais, decisões, ações, recursos e próxima atualização.</w:t>
      </w:r>
    </w:p>
    <w:p>
      <w:pPr>
        <w:numPr>
          <w:ilvl w:val="0"/>
          <w:numId w:val="1049"/>
        </w:numPr>
      </w:pPr>
      <w:r>
        <w:t xml:space="preserve">Atribuir um proprietário de decisão e um proprietário de ação; registrar a lógica e o tempo.</w:t>
      </w:r>
    </w:p>
    <w:p>
      <w:pPr>
        <w:numPr>
          <w:ilvl w:val="0"/>
          <w:numId w:val="1049"/>
        </w:numPr>
      </w:pPr>
      <w:r>
        <w:t xml:space="preserve">Use briefings curtos e canais protegidos; controle rumores e instruções conflitantes.</w:t>
      </w:r>
    </w:p>
    <w:p>
      <w:pPr>
        <w:numPr>
          <w:ilvl w:val="0"/>
          <w:numId w:val="1049"/>
        </w:numPr>
      </w:pPr>
      <w:r>
        <w:t xml:space="preserve">Assista a fadiga do respondedor, turnover, viés cognitivo, estresse, segurança pessoal e necessidades familiares.</w:t>
      </w:r>
    </w:p>
    <w:p>
      <w:pPr>
        <w:numPr>
          <w:ilvl w:val="0"/>
          <w:numId w:val="1049"/>
        </w:numPr>
      </w:pPr>
      <w:r>
        <w:t xml:space="preserve">Plano de alívio, alimentos, descanso, transporte, acessibilidade, apoio à saúde mental, e transferências respeitosas.</w:t>
      </w:r>
    </w:p>
    <w:bookmarkEnd w:id="81"/>
    <w:bookmarkStart w:id="82" w:name="elemento-de-cruzamento-pergunta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Elemento de cruzamento</w:t>
      </w:r>
      <w:r>
        <w:rPr>
          <w:bCs/>
          <w:b/>
        </w:rPr>
        <w:t xml:space="preserve"> </w:t>
      </w:r>
      <w:r>
        <w:t xml:space="preserve"> </w:t>
      </w:r>
      <w:r>
        <w:t xml:space="preserve">** Pergunta **</w:t>
      </w:r>
    </w:p>
    <w:p>
      <w:pPr>
        <w:pStyle w:val="FirstParagraph"/>
      </w:pPr>
      <w:r>
        <w:t xml:space="preserve">Situação O que mudou desde a última atualização?</w:t>
      </w:r>
      <w:r>
        <w:t xml:space="preserve"> </w:t>
      </w:r>
      <w:r>
        <w:t xml:space="preserve">Impacto Quem ou o que é afetado agora e ao longo do tempo?</w:t>
      </w:r>
      <w:r>
        <w:t xml:space="preserve"> </w:t>
      </w:r>
      <w:r>
        <w:t xml:space="preserve">□ Incerteza</w:t>
      </w:r>
      <w:r>
        <w:t xml:space="preserve"> </w:t>
      </w:r>
      <w:r>
        <w:t xml:space="preserve">Objectivos □ Que resultados importam no próximo período de funcionamento?</w:t>
      </w:r>
      <w:r>
        <w:t xml:space="preserve"> </w:t>
      </w:r>
      <w:r>
        <w:t xml:space="preserve">Opções Quais são os benefícios, danos, dependências e reversibilidade?</w:t>
      </w:r>
      <w:r>
        <w:t xml:space="preserve"> </w:t>
      </w:r>
      <w:r>
        <w:t xml:space="preserve">- Decisão - Quem decide quando?</w:t>
      </w:r>
      <w:r>
        <w:t xml:space="preserve"> </w:t>
      </w:r>
      <w:r>
        <w:t xml:space="preserve">Ações Quem faz o quê, quando, com que evidência?</w:t>
      </w:r>
      <w:r>
        <w:t xml:space="preserve"> </w:t>
      </w:r>
      <w:r>
        <w:t xml:space="preserve">Comunicação Quem precisa que a mensagem verificada e quando?</w:t>
      </w:r>
    </w:p>
    <w:bookmarkEnd w:id="82"/>
    <w:bookmarkEnd w:id="83"/>
    <w:bookmarkStart w:id="85" w:name="Xd83bccc3d717405078e7695ffd912c1ead9298b"/>
    <w:p>
      <w:pPr>
        <w:pStyle w:val="Heading1"/>
      </w:pPr>
      <w:r>
        <w:t xml:space="preserve">24. Exercícios, Treinamento e Manutenção do Plano</w:t>
      </w:r>
    </w:p>
    <w:p>
      <w:pPr>
        <w:numPr>
          <w:ilvl w:val="0"/>
          <w:numId w:val="1050"/>
        </w:numPr>
        <w:pStyle w:val="Compact"/>
      </w:pPr>
      <w:r>
        <w:t xml:space="preserve">Os exercícios devem avaliar a capacidade, não recompensar um desempenho ensaiado.*</w:t>
      </w:r>
    </w:p>
    <w:p>
      <w:pPr>
        <w:pStyle w:val="FirstParagraph"/>
      </w:pPr>
    </w:p>
    <w:p>
      <w:pPr>
        <w:pStyle w:val="BodyText"/>
      </w:pPr>
      <w:r>
        <w:t xml:space="preserve">Figura 9. Ciclo de exercício e melhoria</w:t>
      </w:r>
    </w:p>
    <w:bookmarkStart w:id="84" w:name="tipo-de-exercício"/>
    <w:p>
      <w:pPr>
        <w:pStyle w:val="Heading2"/>
      </w:pPr>
      <w:r>
        <w:t xml:space="preserve">Tipo de exercício</w:t>
      </w:r>
    </w:p>
    <w:p>
      <w:pPr>
        <w:numPr>
          <w:ilvl w:val="0"/>
          <w:numId w:val="1051"/>
        </w:numPr>
        <w:pStyle w:val="Compact"/>
      </w:pPr>
      <w:r>
        <w:t xml:space="preserve">Checklist / call-tree test * Validar registros, contatos, acesso e passos simples *</w:t>
      </w:r>
      <w:r>
        <w:t xml:space="preserve"> </w:t>
      </w:r>
      <w:r>
        <w:t xml:space="preserve">□ Tabletop □ Discuta decisões, papéis, informações e coordenação utilizando um cenário □</w:t>
      </w:r>
      <w:r>
        <w:t xml:space="preserve"> </w:t>
      </w:r>
      <w:r>
        <w:t xml:space="preserve">Simulação Operar equipes e comunicações em um ambiente realístico controlado</w:t>
      </w:r>
      <w:r>
        <w:t xml:space="preserve"> </w:t>
      </w:r>
      <w:r>
        <w:t xml:space="preserve">• Teste técnico de recuperação • Restaurar, reconstruir, falhar, validar e medir a tecnologia</w:t>
      </w:r>
      <w:r>
        <w:t xml:space="preserve"> </w:t>
      </w:r>
      <w:r>
        <w:t xml:space="preserve">O teste paralelo é executado capacidade de recuperação sem substituir a produção</w:t>
      </w:r>
      <w:r>
        <w:t xml:space="preserve"> </w:t>
      </w:r>
      <w:r>
        <w:t xml:space="preserve">• Interrupção total • Deslocar o serviço real sob autoridade fortemente controlada; maior risco</w:t>
      </w:r>
      <w:r>
        <w:t xml:space="preserve"> </w:t>
      </w:r>
      <w:r>
        <w:t xml:space="preserve">Exercício Purple-equipe □ Teste colaborativamente ataque, detecção, resposta e melhoria</w:t>
      </w:r>
    </w:p>
    <w:bookmarkEnd w:id="84"/>
    <w:bookmarkEnd w:id="85"/>
    <w:bookmarkStart w:id="86" w:name="provas-pós-acção"/>
    <w:p>
      <w:pPr>
        <w:pStyle w:val="Heading1"/>
      </w:pPr>
      <w:r>
        <w:t xml:space="preserve"># 24.1 Provas pós-acção</w:t>
      </w:r>
    </w:p>
    <w:p>
      <w:pPr>
        <w:numPr>
          <w:ilvl w:val="0"/>
          <w:numId w:val="1052"/>
        </w:numPr>
      </w:pPr>
      <w:r>
        <w:t xml:space="preserve">Objetivo e capacidade testada, cenário, pressupostos, participantes, observadores, regras e controles de segurança.</w:t>
      </w:r>
    </w:p>
    <w:p>
      <w:pPr>
        <w:numPr>
          <w:ilvl w:val="0"/>
          <w:numId w:val="1052"/>
        </w:numPr>
      </w:pPr>
      <w:r>
        <w:t xml:space="preserve">Ações esperadas e critérios de sucesso mensuráveis.</w:t>
      </w:r>
    </w:p>
    <w:p>
      <w:pPr>
        <w:numPr>
          <w:ilvl w:val="0"/>
          <w:numId w:val="1052"/>
        </w:numPr>
      </w:pPr>
      <w:r>
        <w:t xml:space="preserve">Real timeline, decisões, comunicações, uso de ferramenta/plano, resultados de recuperação e limitações.</w:t>
      </w:r>
    </w:p>
    <w:p>
      <w:pPr>
        <w:numPr>
          <w:ilvl w:val="0"/>
          <w:numId w:val="1052"/>
        </w:numPr>
      </w:pPr>
      <w:r>
        <w:t xml:space="preserve">Pontos fortes, lacunas, causas radiculares/contributivas, risco, proprietários, datas, controles provisórios e reteste.</w:t>
      </w:r>
    </w:p>
    <w:bookmarkEnd w:id="86"/>
    <w:bookmarkStart w:id="88" w:name="X3d1c86cfbe8f5200e7d2d841597b69e864590d1"/>
    <w:p>
      <w:pPr>
        <w:pStyle w:val="Heading1"/>
      </w:pPr>
      <w:r>
        <w:t xml:space="preserve">25. Mapeamento de Compliance, Teste de Evidência e Métricas</w:t>
      </w:r>
    </w:p>
    <w:p>
      <w:pPr>
        <w:pStyle w:val="FirstParagraph"/>
      </w:pPr>
      <w:r>
        <w:rPr>
          <w:iCs/>
          <w:i/>
        </w:rPr>
        <w:t xml:space="preserve">Frameworks sobrepõem-se, mas as provas devem ser testadas contra o requisito exato aplicável.</w:t>
      </w:r>
    </w:p>
    <w:bookmarkStart w:id="87" w:name="fonte-fonte-foco-relevante-atenção"/>
    <w:p>
      <w:pPr>
        <w:pStyle w:val="Heading2"/>
      </w:pPr>
      <w:r>
        <w:t xml:space="preserve">Fonte** Fonte** Foco relevante** Atenção**</w:t>
      </w:r>
    </w:p>
    <w:p>
      <w:pPr>
        <w:pStyle w:val="FirstParagraph"/>
      </w:pPr>
      <w:r>
        <w:t xml:space="preserve">NIST SP 800-61 Rev. 3 □ CSF 2.0 Comunidade Perfil para a resposta de incidente em toda a organização; Sobresedes Rev. 2; alfaiate o perfil .</w:t>
      </w:r>
      <w:r>
        <w:t xml:space="preserve"> </w:t>
      </w:r>
      <w:r>
        <w:t xml:space="preserve">NIST SP 800-34 Rev. 1 Atualização 1 □ Processo de planejamento de contingência do sistema de informação federal □ Mais antigo, mas atual NIST final; adaptar-se fora do uso federal</w:t>
      </w:r>
      <w:r>
        <w:t xml:space="preserve"> </w:t>
      </w:r>
      <w:r>
        <w:t xml:space="preserve">• ISO 22301:2019 + Amd 1:2024 • Requisitos para um sistema de gestão de continuidade de negócios</w:t>
      </w:r>
      <w:r>
        <w:t xml:space="preserve"> </w:t>
      </w:r>
      <w:r>
        <w:t xml:space="preserve">ISO 22313:2020 □ Orientação para a utilização de ISO 22301 □ Orientação não é certificação</w:t>
      </w:r>
      <w:r>
        <w:t xml:space="preserve"> </w:t>
      </w:r>
      <w:r>
        <w:t xml:space="preserve">SOC 2 Disponibilidade, segurança, confidencialidade, privacidade, comprometimentos de processamento e controles</w:t>
      </w:r>
      <w:r>
        <w:t xml:space="preserve"> </w:t>
      </w:r>
      <w:r>
        <w:t xml:space="preserve">ISO/IEC 27001:2022 □ Gestão de incidentes, prontidão para a continuidade, backup, registro, fornecedores</w:t>
      </w:r>
      <w:r>
        <w:t xml:space="preserve"> </w:t>
      </w:r>
      <w:r>
        <w:t xml:space="preserve">□ PCI DSS v4.0.1 □ Resposta ao incidente, testes, provedores de serviços, backups e controles relacionados à recuperação</w:t>
      </w:r>
      <w:r>
        <w:t xml:space="preserve"> </w:t>
      </w:r>
      <w:r>
        <w:t xml:space="preserve">□ HIPAA □ Plano de contingência, procedimentos incidentes, backup, DR, operação de emergência</w:t>
      </w:r>
      <w:r>
        <w:t xml:space="preserve"> </w:t>
      </w:r>
      <w:r>
        <w:t xml:space="preserve">□ GDPR □ Segurança, avaliação/notificação de violação, cooperação de processadores, resiliência/restauração □ Funções legais, risco, timing, jurisdição requerem aconselhamento</w:t>
      </w:r>
    </w:p>
    <w:bookmarkEnd w:id="87"/>
    <w:bookmarkEnd w:id="88"/>
    <w:bookmarkStart w:id="90" w:name="teste-de-evidência"/>
    <w:p>
      <w:pPr>
        <w:pStyle w:val="Heading1"/>
      </w:pPr>
      <w:r>
        <w:t xml:space="preserve"># 25.1 Teste de evidência</w:t>
      </w:r>
    </w:p>
    <w:p>
      <w:pPr>
        <w:numPr>
          <w:ilvl w:val="0"/>
          <w:numId w:val="1053"/>
        </w:numPr>
      </w:pPr>
      <w:r>
        <w:t xml:space="preserve">Definir critérios, escopo, período, sistemas, processos, fornecedores e exclusões.</w:t>
      </w:r>
    </w:p>
    <w:p>
      <w:pPr>
        <w:numPr>
          <w:ilvl w:val="0"/>
          <w:numId w:val="1053"/>
        </w:numPr>
      </w:pPr>
      <w:r>
        <w:t xml:space="preserve">Validar a população completa: incidentes, alertas, planos, testes, recuperações, fornecedores, backups, sistemas, ou ações.</w:t>
      </w:r>
    </w:p>
    <w:p>
      <w:pPr>
        <w:numPr>
          <w:ilvl w:val="0"/>
          <w:numId w:val="1053"/>
        </w:numPr>
      </w:pPr>
      <w:r>
        <w:t xml:space="preserve">Inspecionar o design e as provas operacionais; inquérito por si só é fraco.</w:t>
      </w:r>
    </w:p>
    <w:p>
      <w:pPr>
        <w:numPr>
          <w:ilvl w:val="0"/>
          <w:numId w:val="1053"/>
        </w:numPr>
      </w:pPr>
      <w:r>
        <w:t xml:space="preserve">Amostra defensivamente ou testar a população completa; método de registro e limitações.</w:t>
      </w:r>
    </w:p>
    <w:p>
      <w:pPr>
        <w:numPr>
          <w:ilvl w:val="0"/>
          <w:numId w:val="1053"/>
        </w:numPr>
      </w:pPr>
      <w:r>
        <w:t xml:space="preserve">Avaliar exceções, padrões, impacto, causa, controles compensadores e risco residual.</w:t>
      </w:r>
    </w:p>
    <w:p>
      <w:pPr>
        <w:numPr>
          <w:ilvl w:val="0"/>
          <w:numId w:val="1053"/>
        </w:numPr>
      </w:pPr>
      <w:r>
        <w:t xml:space="preserve">Seguir medidas correctivas e testar novamente de forma independente antes do encerramento.</w:t>
      </w:r>
    </w:p>
    <w:bookmarkStart w:id="89" w:name="section"/>
    <w:p>
      <w:pPr>
        <w:pStyle w:val="Heading2"/>
      </w:pPr>
      <w:r>
        <w:t xml:space="preserve">* ** ** ** ** ** ** ** ** ** ** ** ** **</w:t>
      </w:r>
    </w:p>
    <w:p>
      <w:pPr>
        <w:pStyle w:val="FirstParagraph"/>
      </w:pPr>
      <w:r>
        <w:t xml:space="preserve">O tempo médio para detectar o tempo desde o início do evento/primeira evidência até à detecção</w:t>
      </w:r>
      <w:r>
        <w:t xml:space="preserve"> </w:t>
      </w:r>
      <w:r>
        <w:t xml:space="preserve">O tempo médio para conter a detecção/activação para a contenção verificada.</w:t>
      </w:r>
      <w:r>
        <w:t xml:space="preserve"> </w:t>
      </w:r>
      <w:r>
        <w:t xml:space="preserve">• Alcance do objetivo de recuperação; • Testes/incidentes que atendem STO e RPO; • Testes/incidentes em ambiente;</w:t>
      </w:r>
      <w:r>
        <w:t xml:space="preserve"> </w:t>
      </w:r>
      <w:r>
        <w:t xml:space="preserve">□ Cobertura do exercício do Playbook □ Cenários críticos exercitados □ Cenários críticos aprovados</w:t>
      </w:r>
      <w:r>
        <w:t xml:space="preserve"> </w:t>
      </w:r>
      <w:r>
        <w:t xml:space="preserve">□ Idade da ação corretiva □ Dias abertos por gravidade e proprietário</w:t>
      </w:r>
      <w:r>
        <w:t xml:space="preserve"> </w:t>
      </w:r>
      <w:r>
        <w:t xml:space="preserve">Restaurar o sucesso do backup; Restaurações representativas bem sucedidas; testes programados; Restaurar o arquivo pode não provar a recuperação do serviço;</w:t>
      </w:r>
      <w:r>
        <w:t xml:space="preserve"> </w:t>
      </w:r>
      <w:r>
        <w:t xml:space="preserve">Recorrência de incidentes □ Repetir incidentes relacionados com a mesma causa não corrigida</w:t>
      </w:r>
    </w:p>
    <w:bookmarkEnd w:id="89"/>
    <w:bookmarkEnd w:id="90"/>
    <w:bookmarkStart w:id="92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gerenciamento de casos, evidências, detecção, investigação, automação e relatórios.*</w:t>
      </w:r>
    </w:p>
    <w:bookmarkStart w:id="91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□ TheHive □ Gestão de casos e colaboração incidente</w:t>
      </w:r>
      <w:r>
        <w:t xml:space="preserve"> </w:t>
      </w:r>
      <w:r>
        <w:t xml:space="preserve">□ Cortex □ Análise e acções de resposta observáveis</w:t>
      </w:r>
      <w:r>
        <w:t xml:space="preserve"> </w:t>
      </w:r>
      <w:r>
        <w:t xml:space="preserve">O MISP O compartilhamento e correlação de informações de ameaças</w:t>
      </w:r>
      <w:r>
        <w:t xml:space="preserve"> </w:t>
      </w:r>
      <w:r>
        <w:t xml:space="preserve">Wazuh, monitoramento de endpoint, análise de log, integridade do arquivo e alertas</w:t>
      </w:r>
      <w:r>
        <w:t xml:space="preserve"> </w:t>
      </w:r>
      <w:r>
        <w:t xml:space="preserve">O Velociraptor O Endpoint Visibilidade e recolha de respostas a incidentes</w:t>
      </w:r>
      <w:r>
        <w:t xml:space="preserve"> </w:t>
      </w:r>
      <w:r>
        <w:t xml:space="preserve">Volatilidade 3 Memória forense</w:t>
      </w:r>
      <w:r>
        <w:t xml:space="preserve"> </w:t>
      </w:r>
      <w:r>
        <w:t xml:space="preserve">□ Autópsia; análise forense de disco e sistema de arquivos;</w:t>
      </w:r>
      <w:r>
        <w:t xml:space="preserve"> </w:t>
      </w:r>
      <w:r>
        <w:t xml:space="preserve">O Timesketch O timelines forenses colaborativos</w:t>
      </w:r>
      <w:r>
        <w:t xml:space="preserve"> </w:t>
      </w:r>
      <w:r>
        <w:t xml:space="preserve">□ Plaso / log2timeline □ Extração da linha do tempo de artefatos forenses</w:t>
      </w:r>
      <w:r>
        <w:t xml:space="preserve"> </w:t>
      </w:r>
      <w:r>
        <w:t xml:space="preserve">* Osquery * Endpoint state and threat-unting queries *</w:t>
      </w:r>
      <w:r>
        <w:t xml:space="preserve"> </w:t>
      </w:r>
      <w:r>
        <w:t xml:space="preserve">- Zeek - Telemetria de segurança de rede e metadados de protocolo</w:t>
      </w:r>
      <w:r>
        <w:t xml:space="preserve"> </w:t>
      </w:r>
      <w:r>
        <w:t xml:space="preserve">□ Suricata □ Detecção e prevenção de intrusões em rede</w:t>
      </w:r>
      <w:r>
        <w:t xml:space="preserve"> </w:t>
      </w:r>
      <w:r>
        <w:t xml:space="preserve">O padrão de YARA que combina para arquivos e memória</w:t>
      </w:r>
      <w:r>
        <w:t xml:space="preserve"> </w:t>
      </w:r>
      <w:r>
        <w:t xml:space="preserve">Regras portáteis de detecção de logs</w:t>
      </w:r>
      <w:r>
        <w:t xml:space="preserve"> </w:t>
      </w:r>
      <w:r>
        <w:t xml:space="preserve">• DFIR-IRIS • Resposta a incidentes e gestão de casos de investigação</w:t>
      </w:r>
      <w:r>
        <w:t xml:space="preserve"> </w:t>
      </w:r>
      <w:r>
        <w:t xml:space="preserve">Resposta rápida do GRR; Perícias remotas ao vivo na escala de endpoint</w:t>
      </w:r>
      <w:r>
        <w:t xml:space="preserve"> </w:t>
      </w:r>
      <w:r>
        <w:t xml:space="preserve">embaralhar em segurança orquestração e automação</w:t>
      </w:r>
      <w:r>
        <w:t xml:space="preserve"> </w:t>
      </w:r>
      <w:r>
        <w:t xml:space="preserve">Pesquisa, análise, painéis e registros de segurança</w:t>
      </w:r>
    </w:p>
    <w:p>
      <w:pPr>
        <w:pStyle w:val="BodyText"/>
      </w:pPr>
      <w:r>
        <w:t xml:space="preserve">Autorização e segurança das provas: Use ferramentas apenas em sistemas, redes, contas, repositórios e dados que você possui ou tem autoridade escrita para examinar. Isole laboratórios, proteja evidências, minimize dados pessoais, ações de registro e nunca deixe a automação realizar etapas destrutivas sem salvaguardas aprovadas. □</w:t>
      </w:r>
      <w:r>
        <w:t xml:space="preserve"> </w:t>
      </w:r>
      <w:r>
        <w:t xml:space="preserve">O que é que se passa?</w:t>
      </w:r>
    </w:p>
    <w:bookmarkEnd w:id="91"/>
    <w:bookmarkEnd w:id="92"/>
    <w:bookmarkStart w:id="94" w:name="a-colmeia"/>
    <w:p>
      <w:pPr>
        <w:pStyle w:val="Heading1"/>
      </w:pPr>
      <w:r>
        <w:t xml:space="preserve"># 26.1 A Colmeia</w:t>
      </w:r>
    </w:p>
    <w:p>
      <w:pPr>
        <w:pStyle w:val="FirstParagraph"/>
      </w:pPr>
      <w:r>
        <w:t xml:space="preserve">Objetivo: Gestão de casos e colaboração incidente. Projeto oficial:</w:t>
      </w:r>
      <w:r>
        <w:t xml:space="preserve"> </w:t>
      </w:r>
      <w:hyperlink r:id="rId93">
        <w:r>
          <w:rPr>
            <w:rStyle w:val="Hyperlink"/>
          </w:rPr>
          <w:t xml:space="preserve">TheHive</w:t>
        </w:r>
      </w:hyperlink>
    </w:p>
    <w:p>
      <w:pPr>
        <w:pStyle w:val="BodyText"/>
      </w:pPr>
      <w:r>
        <w:t xml:space="preserve">Início rápido seguro: Crie um caso de laboratório, defina tarefas e severidade, adicione observáveis sintéticos, registre decisões, proteja permissões e feche apenas após revisão.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94"/>
    <w:bookmarkStart w:id="96" w:name="cortex"/>
    <w:p>
      <w:pPr>
        <w:pStyle w:val="Heading1"/>
      </w:pPr>
      <w:r>
        <w:t xml:space="preserve"># 26,2 Cortex</w:t>
      </w:r>
    </w:p>
    <w:p>
      <w:pPr>
        <w:pStyle w:val="FirstParagraph"/>
      </w:pPr>
      <w:r>
        <w:t xml:space="preserve">Objetivo: Análise observável e ações de resposta. Projeto oficial:</w:t>
      </w:r>
      <w:r>
        <w:t xml:space="preserve"> </w:t>
      </w:r>
      <w:hyperlink r:id="rId95">
        <w:r>
          <w:rPr>
            <w:rStyle w:val="Hyperlink"/>
          </w:rPr>
          <w:t xml:space="preserve">Cortex</w:t>
        </w:r>
      </w:hyperlink>
    </w:p>
    <w:p>
      <w:pPr>
        <w:pStyle w:val="BodyText"/>
      </w:pPr>
      <w:r>
        <w:t xml:space="preserve">Início rápido seguro: Conecte somente analisadores aprovados em um laboratório, envie observáveis sintéticos, valide resultados, restrinja os respondedores e retenha registros de 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96"/>
    <w:bookmarkStart w:id="98" w:name="misp"/>
    <w:p>
      <w:pPr>
        <w:pStyle w:val="Heading1"/>
      </w:pPr>
      <w:r>
        <w:t xml:space="preserve"># 26.3 MISP</w:t>
      </w:r>
    </w:p>
    <w:p>
      <w:pPr>
        <w:pStyle w:val="FirstParagraph"/>
      </w:pPr>
      <w:r>
        <w:t xml:space="preserve">Objectivo: Partilha e correlação de informações sobre ameaças. Projecto oficial:</w:t>
      </w:r>
      <w:r>
        <w:t xml:space="preserve"> </w:t>
      </w:r>
      <w:hyperlink r:id="rId97">
        <w:r>
          <w:rPr>
            <w:rStyle w:val="Hyperlink"/>
          </w:rPr>
          <w:t xml:space="preserve">MISP</w:t>
        </w:r>
      </w:hyperlink>
    </w:p>
    <w:p>
      <w:pPr>
        <w:pStyle w:val="BodyText"/>
      </w:pPr>
      <w:r>
        <w:t xml:space="preserve">Início rápido seguro: Crie um evento de laboratório privado, adicione indicadores sintéticos com marcação de contexto e manipulação, correlacione, exporte apenas dados aprovados e expire indicadores obsoletos.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98"/>
    <w:bookmarkStart w:id="100" w:name="wazuh"/>
    <w:p>
      <w:pPr>
        <w:pStyle w:val="Heading1"/>
      </w:pPr>
      <w:r>
        <w:t xml:space="preserve"># 26.4 Wazuh</w:t>
      </w:r>
    </w:p>
    <w:p>
      <w:pPr>
        <w:pStyle w:val="FirstParagraph"/>
      </w:pPr>
      <w:r>
        <w:t xml:space="preserve">Objetivo: Monitoramento de endpoint, análise de log, integridade do arquivo e alertas. Projecto oficial:</w:t>
      </w:r>
      <w:r>
        <w:t xml:space="preserve"> </w:t>
      </w:r>
      <w:hyperlink r:id="rId99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gere um evento inofensivo, confirme a coleta e o alerta, investigue, a cobertura do documento e ajuste cuidadosamente.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0"/>
    <w:bookmarkStart w:id="102" w:name="velociraptor"/>
    <w:p>
      <w:pPr>
        <w:pStyle w:val="Heading1"/>
      </w:pPr>
      <w:r>
        <w:t xml:space="preserve"># 26.5 Velociraptor</w:t>
      </w:r>
    </w:p>
    <w:p>
      <w:pPr>
        <w:pStyle w:val="FirstParagraph"/>
      </w:pPr>
      <w:r>
        <w:t xml:space="preserve">Objetivo: Visibilidade do ponto final e coleta de resposta a incidentes. Projecto oficial:</w:t>
      </w:r>
      <w:r>
        <w:t xml:space="preserve"> </w:t>
      </w:r>
      <w:hyperlink r:id="rId101">
        <w:r>
          <w:rPr>
            <w:rStyle w:val="Hyperlink"/>
          </w:rPr>
          <w:t xml:space="preserve">Velociraptor</w:t>
        </w:r>
      </w:hyperlink>
    </w:p>
    <w:p>
      <w:pPr>
        <w:pStyle w:val="BodyText"/>
      </w:pPr>
      <w:r>
        <w:t xml:space="preserve">Início rápido seguro: Use um laboratório autorizado isolado, colete um artefato estreito, alcance de registro e acesso, verifique os resultados e remova os dados de laboratório mantidos de acordo com a política.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2"/>
    <w:bookmarkStart w:id="104" w:name="volatilidade-3"/>
    <w:p>
      <w:pPr>
        <w:pStyle w:val="Heading1"/>
      </w:pPr>
      <w:r>
        <w:t xml:space="preserve"># 26.6 Volatilidade 3</w:t>
      </w:r>
    </w:p>
    <w:p>
      <w:pPr>
        <w:pStyle w:val="FirstParagraph"/>
      </w:pPr>
      <w:r>
        <w:t xml:space="preserve">Objetivo: Perícia de memória. Projecto oficial:</w:t>
      </w:r>
      <w:r>
        <w:t xml:space="preserve"> </w:t>
      </w:r>
      <w:hyperlink r:id="rId103">
        <w:r>
          <w:rPr>
            <w:rStyle w:val="Hyperlink"/>
          </w:rPr>
          <w:t xml:space="preserve">Volatilidade 3</w:t>
        </w:r>
      </w:hyperlink>
    </w:p>
    <w:p>
      <w:pPr>
        <w:pStyle w:val="BodyText"/>
      </w:pPr>
      <w:r>
        <w:t xml:space="preserve">Início rápido seguro: Analise uma imagem de memória de treinamento legalmente obtida, registre hashes e versão da ferramenta, execute plugins focados, valide descobertas e preserve notas.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4"/>
    <w:bookmarkStart w:id="106" w:name="autópsia"/>
    <w:p>
      <w:pPr>
        <w:pStyle w:val="Heading1"/>
      </w:pPr>
      <w:r>
        <w:t xml:space="preserve"># 26,7 Autópsia</w:t>
      </w:r>
    </w:p>
    <w:p>
      <w:pPr>
        <w:pStyle w:val="FirstParagraph"/>
      </w:pPr>
      <w:r>
        <w:t xml:space="preserve">Objetivo: Análise forense de disco e sistema de arquivos. Projecto oficial:</w:t>
      </w:r>
      <w:r>
        <w:t xml:space="preserve"> </w:t>
      </w:r>
      <w:hyperlink r:id="rId105">
        <w:r>
          <w:rPr>
            <w:rStyle w:val="Hyperlink"/>
          </w:rPr>
          <w:t xml:space="preserve">Autopsia</w:t>
        </w:r>
      </w:hyperlink>
    </w:p>
    <w:p>
      <w:pPr>
        <w:pStyle w:val="BodyText"/>
      </w:pPr>
      <w:r>
        <w:t xml:space="preserve">Início rápido seguro: Crie um caso a partir de uma imagem de treinamento, verifique o hash fonte, use análise somente leitura, tag evidence, exporte um relatório e proteja o caso.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6"/>
    <w:bookmarkStart w:id="108" w:name="timesketch"/>
    <w:p>
      <w:pPr>
        <w:pStyle w:val="Heading1"/>
      </w:pPr>
      <w:r>
        <w:t xml:space="preserve"># 26.8 Timesketch</w:t>
      </w:r>
    </w:p>
    <w:p>
      <w:pPr>
        <w:pStyle w:val="FirstParagraph"/>
      </w:pPr>
      <w:r>
        <w:t xml:space="preserve">Objetivo: Tempos forenses colaborativos. Projeto oficial:</w:t>
      </w:r>
      <w:r>
        <w:t xml:space="preserve"> </w:t>
      </w:r>
      <w:hyperlink r:id="rId107">
        <w:r>
          <w:rPr>
            <w:rStyle w:val="Hyperlink"/>
          </w:rPr>
          <w:t xml:space="preserve">Timesketch</w:t>
        </w:r>
      </w:hyperlink>
    </w:p>
    <w:p>
      <w:pPr>
        <w:pStyle w:val="BodyText"/>
      </w:pPr>
      <w:r>
        <w:t xml:space="preserve">Início rápido e seguro: Importar uma linha do tempo sintética, rotular eventos-chave, hipóteses de pesquisa, conclusões de analista de registros e incerteza e controlar o acesso.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8"/>
    <w:bookmarkStart w:id="110" w:name="plaso-log2timeline"/>
    <w:p>
      <w:pPr>
        <w:pStyle w:val="Heading1"/>
      </w:pPr>
      <w:r>
        <w:t xml:space="preserve"># 26.9 Plaso / log2timeline</w:t>
      </w:r>
    </w:p>
    <w:p>
      <w:pPr>
        <w:pStyle w:val="FirstParagraph"/>
      </w:pPr>
      <w:r>
        <w:t xml:space="preserve">Objetivo: Extração temporal de artefatos forenses. Projeto oficial:</w:t>
      </w:r>
      <w:r>
        <w:t xml:space="preserve"> </w:t>
      </w:r>
      <w:hyperlink r:id="rId109">
        <w:r>
          <w:rPr>
            <w:rStyle w:val="Hyperlink"/>
          </w:rPr>
          <w:t xml:space="preserve">Plaso / log2timeline</w:t>
        </w:r>
      </w:hyperlink>
    </w:p>
    <w:p>
      <w:pPr>
        <w:pStyle w:val="BodyText"/>
      </w:pPr>
      <w:r>
        <w:t xml:space="preserve">Início rápido e seguro: Processe uma imagem de treinamento ou o conjunto de artefato aprovado, o analisador de documentos e as escolhas de fuso horário, exporte uma linha do tempo e valide eventos chave.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0"/>
    <w:bookmarkStart w:id="112" w:name="osquery"/>
    <w:p>
      <w:pPr>
        <w:pStyle w:val="Heading1"/>
      </w:pPr>
      <w:r>
        <w:t xml:space="preserve"># 26.10 Osquery</w:t>
      </w:r>
    </w:p>
    <w:p>
      <w:pPr>
        <w:pStyle w:val="FirstParagraph"/>
      </w:pPr>
      <w:r>
        <w:t xml:space="preserve">Finalidade: Endpoint state e consultas de caça à ameaça. Projeto oficial:</w:t>
      </w:r>
      <w:r>
        <w:t xml:space="preserve"> </w:t>
      </w:r>
      <w:hyperlink r:id="rId111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somente de leitura em um laboratório, documente a consulta e população, compare endpoints, valide anomalias e evite coleta descontrolada.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2"/>
    <w:bookmarkStart w:id="114" w:name="zeek"/>
    <w:p>
      <w:pPr>
        <w:pStyle w:val="Heading1"/>
      </w:pPr>
      <w:r>
        <w:t xml:space="preserve"># 26.11 Zeek</w:t>
      </w:r>
    </w:p>
    <w:p>
      <w:pPr>
        <w:pStyle w:val="FirstParagraph"/>
      </w:pPr>
      <w:r>
        <w:t xml:space="preserve">Objetivo: Telemetria de segurança de rede e metadados de protocolo. Projeto oficial:</w:t>
      </w:r>
      <w:r>
        <w:t xml:space="preserve"> </w:t>
      </w:r>
      <w:hyperlink r:id="rId113">
        <w:r>
          <w:rPr>
            <w:rStyle w:val="Hyperlink"/>
          </w:rPr>
          <w:t xml:space="preserve">Zeek</w:t>
        </w:r>
      </w:hyperlink>
    </w:p>
    <w:p>
      <w:pPr>
        <w:pStyle w:val="BodyText"/>
      </w:pPr>
      <w:r>
        <w:t xml:space="preserve">Início rápido e seguro: Use um sensor de laboratório ou uma captura aprovada de pacotes, gere tráfego seguro, inspecione registros, crie uma linha do tempo e registre limites de tráfego criptografados.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4"/>
    <w:bookmarkStart w:id="116" w:name="suricata"/>
    <w:p>
      <w:pPr>
        <w:pStyle w:val="Heading1"/>
      </w:pPr>
      <w:r>
        <w:t xml:space="preserve"># 26.12 Suricata</w:t>
      </w:r>
    </w:p>
    <w:p>
      <w:pPr>
        <w:pStyle w:val="FirstParagraph"/>
      </w:pPr>
      <w:r>
        <w:t xml:space="preserve">Objecto: Detecção e prevenção de intrusões em rede. Projeto oficial:</w:t>
      </w:r>
      <w:r>
        <w:t xml:space="preserve"> </w:t>
      </w:r>
      <w:hyperlink r:id="rId115">
        <w:r>
          <w:rPr>
            <w:rStyle w:val="Hyperlink"/>
          </w:rPr>
          <w:t xml:space="preserve">Suricata</w:t>
        </w:r>
      </w:hyperlink>
    </w:p>
    <w:p>
      <w:pPr>
        <w:pStyle w:val="BodyText"/>
      </w:pPr>
      <w:r>
        <w:t xml:space="preserve">Início rápido e seguro: Use uma interface de laboratório, atualize regras aprovadas, gere tráfego de teste, valide alertas, ajuste com controle de mudança e preserve versões.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6"/>
    <w:bookmarkStart w:id="118" w:name="yara"/>
    <w:p>
      <w:pPr>
        <w:pStyle w:val="Heading1"/>
      </w:pPr>
      <w:r>
        <w:t xml:space="preserve"># 26.13 YARA</w:t>
      </w:r>
    </w:p>
    <w:p>
      <w:pPr>
        <w:pStyle w:val="FirstParagraph"/>
      </w:pPr>
      <w:r>
        <w:t xml:space="preserve">Finalidade: Padrão de correspondência para arquivos e memória. Projeto oficial:</w:t>
      </w:r>
      <w:r>
        <w:t xml:space="preserve"> </w:t>
      </w:r>
      <w:hyperlink r:id="rId117">
        <w:r>
          <w:rPr>
            <w:rStyle w:val="Hyperlink"/>
          </w:rPr>
          <w:t xml:space="preserve">YARA</w:t>
        </w:r>
      </w:hyperlink>
    </w:p>
    <w:p>
      <w:pPr>
        <w:pStyle w:val="BodyText"/>
      </w:pPr>
      <w:r>
        <w:t xml:space="preserve">Início rápido seguro: Teste uma regra estreita contra amostras inofensivas, fonte de regras do documento e falsos positivos, reveja-o por pares e escaneie apenas dados autorizados.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8"/>
    <w:bookmarkStart w:id="120" w:name="sigma"/>
    <w:p>
      <w:pPr>
        <w:pStyle w:val="Heading1"/>
      </w:pPr>
      <w:r>
        <w:t xml:space="preserve"># 26.14 Sigma</w:t>
      </w:r>
    </w:p>
    <w:p>
      <w:pPr>
        <w:pStyle w:val="FirstParagraph"/>
      </w:pPr>
      <w:r>
        <w:t xml:space="preserve">Objetivo: Regras portáteis de detecção de log. Projeto oficial:</w:t>
      </w:r>
      <w:r>
        <w:t xml:space="preserve"> </w:t>
      </w:r>
      <w:hyperlink r:id="rId119">
        <w:r>
          <w:rPr>
            <w:rStyle w:val="Hyperlink"/>
          </w:rPr>
          <w:t xml:space="preserve">Sigma</w:t>
        </w:r>
      </w:hyperlink>
    </w:p>
    <w:p>
      <w:pPr>
        <w:pStyle w:val="BodyText"/>
      </w:pPr>
      <w:r>
        <w:t xml:space="preserve">Início rápido e seguro: Selecione uma regra, mapeie-a para campos disponíveis, converta-a para uma plataforma de laboratório, teste com registros sintéticos, afinação, revisão por pares e versões de faixas.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0"/>
    <w:bookmarkStart w:id="122" w:name="dfir-iris"/>
    <w:p>
      <w:pPr>
        <w:pStyle w:val="Heading1"/>
      </w:pPr>
      <w:r>
        <w:t xml:space="preserve"># 26.15 DFIR-IRIS</w:t>
      </w:r>
    </w:p>
    <w:p>
      <w:pPr>
        <w:pStyle w:val="FirstParagraph"/>
      </w:pPr>
      <w:r>
        <w:t xml:space="preserve">Objetivo: Resposta a incidentes e gestão de casos de investigação. Projecto oficial:</w:t>
      </w:r>
      <w:r>
        <w:t xml:space="preserve"> </w:t>
      </w:r>
      <w:hyperlink r:id="rId121">
        <w:r>
          <w:rPr>
            <w:rStyle w:val="Hyperlink"/>
          </w:rPr>
          <w:t xml:space="preserve">DFIR-IRIS</w:t>
        </w:r>
      </w:hyperlink>
    </w:p>
    <w:p>
      <w:pPr>
        <w:pStyle w:val="BodyText"/>
      </w:pPr>
      <w:r>
        <w:t xml:space="preserve">Início rápido seguro: Crie um caso fictício, atribua tarefas, registre timeline e evidências, restrinja papéis, gere um relatório e teste backup/exportação.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2"/>
    <w:bookmarkStart w:id="124" w:name="grr-resposta-rápida"/>
    <w:p>
      <w:pPr>
        <w:pStyle w:val="Heading1"/>
      </w:pPr>
      <w:r>
        <w:t xml:space="preserve"># 26.16 GRR Resposta Rápida</w:t>
      </w:r>
    </w:p>
    <w:p>
      <w:pPr>
        <w:pStyle w:val="FirstParagraph"/>
      </w:pPr>
      <w:r>
        <w:t xml:space="preserve">Finalidade: Perícias remotas em escala de endpoint. Projecto oficial:</w:t>
      </w:r>
      <w:r>
        <w:t xml:space="preserve"> </w:t>
      </w:r>
      <w:hyperlink r:id="rId123">
        <w:r>
          <w:rPr>
            <w:rStyle w:val="Hyperlink"/>
          </w:rPr>
          <w:t xml:space="preserve">GRR Resposta rápida</w:t>
        </w:r>
      </w:hyperlink>
    </w:p>
    <w:p>
      <w:pPr>
        <w:pStyle w:val="BodyText"/>
      </w:pPr>
      <w:r>
        <w:t xml:space="preserve">Início rápido seguro: Implantar apenas em um ambiente autorizado isolado, aprovar um fluxo de coleta estreito, verificar registros de auditoria e controlar os resultados retidos.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4"/>
    <w:bookmarkStart w:id="126" w:name="shuffle"/>
    <w:p>
      <w:pPr>
        <w:pStyle w:val="Heading1"/>
      </w:pPr>
      <w:r>
        <w:t xml:space="preserve"># 26.17 Shuffle</w:t>
      </w:r>
    </w:p>
    <w:p>
      <w:pPr>
        <w:pStyle w:val="FirstParagraph"/>
      </w:pPr>
      <w:r>
        <w:t xml:space="preserve">Objetivo: Orquestração de segurança e automação. Projeto oficial:</w:t>
      </w:r>
      <w:r>
        <w:t xml:space="preserve"> </w:t>
      </w:r>
      <w:hyperlink r:id="rId125">
        <w:r>
          <w:rPr>
            <w:rStyle w:val="Hyperlink"/>
          </w:rPr>
          <w:t xml:space="preserve">Shuffle</w:t>
        </w:r>
      </w:hyperlink>
    </w:p>
    <w:p>
      <w:pPr>
        <w:pStyle w:val="BodyText"/>
      </w:pPr>
      <w:r>
        <w:t xml:space="preserve">Início rápido e seguro: Crie um fluxo de trabalho de laboratório com entradas e portões de aprovação inofensivos, caminhos de falha de teste, registre cada ação e mantenha ações destrutivas desabilitadas.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6"/>
    <w:bookmarkStart w:id="128" w:name="opensearch"/>
    <w:p>
      <w:pPr>
        <w:pStyle w:val="Heading1"/>
      </w:pPr>
      <w:r>
        <w:t xml:space="preserve"># 26.18 OpenSearch</w:t>
      </w:r>
    </w:p>
    <w:p>
      <w:pPr>
        <w:pStyle w:val="FirstParagraph"/>
      </w:pPr>
      <w:r>
        <w:t xml:space="preserve">Objetivo: Pesquisa, análise, painéis e registros de segurança. Projeto oficial:</w:t>
      </w:r>
      <w:r>
        <w:t xml:space="preserve"> </w:t>
      </w:r>
      <w:hyperlink r:id="rId127">
        <w:r>
          <w:rPr>
            <w:rStyle w:val="Hyperlink"/>
          </w:rPr>
          <w:t xml:space="preserve">OpenSearch</w:t>
        </w:r>
      </w:hyperlink>
    </w:p>
    <w:p>
      <w:pPr>
        <w:pStyle w:val="BodyText"/>
      </w:pPr>
      <w:r>
        <w:t xml:space="preserve">Início rápido e seguro: Ingera registros sintéticos, normalize o tempo e os campos, crie uma consulta focada e painel, restrinja o acesso e a retenção de documentos.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8"/>
    <w:bookmarkStart w:id="131" w:name="manual-de-resiliência-para-gerentes"/>
    <w:p>
      <w:pPr>
        <w:pStyle w:val="Heading1"/>
      </w:pPr>
      <w:r>
        <w:t xml:space="preserve">27. Manual de resiliência para gerentes</w:t>
      </w:r>
    </w:p>
    <w:p>
      <w:pPr>
        <w:numPr>
          <w:ilvl w:val="0"/>
          <w:numId w:val="1055"/>
        </w:numPr>
        <w:pStyle w:val="Compact"/>
      </w:pPr>
      <w:r>
        <w:t xml:space="preserve">Os gestores criam resiliência, definindo autoridade, preparando financiamento, desafiando evidências e removendo bloqueadores.*</w:t>
      </w:r>
    </w:p>
    <w:bookmarkStart w:id="129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Governança □ São claras as mudanças de autoridade, alternativas, severidade, escalada, gastos e emergência? □ Nenhum tomador de decisão após o horário</w:t>
      </w:r>
      <w:r>
        <w:t xml:space="preserve"> </w:t>
      </w:r>
      <w:r>
        <w:t xml:space="preserve">• Prontos: inventários, logs, contatos, acesso, ferramentas, comunicações e recursos de recuperação limpos são testados? Plano existe mas o acesso falha</w:t>
      </w:r>
      <w:r>
        <w:t xml:space="preserve"> </w:t>
      </w:r>
      <w:r>
        <w:t xml:space="preserve">• Resposta: Os fatos, incerteza, objetivos, ações, evidências e próxima atualização são controlados? □ Equipas conflitantes ou decisões não documentadas</w:t>
      </w:r>
      <w:r>
        <w:t xml:space="preserve"> </w:t>
      </w:r>
      <w:r>
        <w:t xml:space="preserve">Continuidade Pode a saída crítica continuar dentro do impacto tolerável? A solução ignora a segurança, privacidade ou reconciliação</w:t>
      </w:r>
      <w:r>
        <w:t xml:space="preserve"> </w:t>
      </w:r>
      <w:r>
        <w:t xml:space="preserve">Recuperação , pode completar serviços atender RTO / RPO testado de fontes confiáveis? Sucesso de backup relatado sem prova de restauração</w:t>
      </w:r>
      <w:r>
        <w:t xml:space="preserve"> </w:t>
      </w:r>
      <w:r>
        <w:t xml:space="preserve">Os fornecedores são contatos críticos, deveres, dependências e alternativas exercidas? □ Um provedor é uma dependência comum oculta</w:t>
      </w:r>
      <w:r>
        <w:t xml:space="preserve"> </w:t>
      </w:r>
      <w:r>
        <w:t xml:space="preserve">As pessoas são turnos, transferências, descanso, segurança e tensão psicológica gerenciados? Os respondedores exaustos tomam decisões críticas</w:t>
      </w:r>
      <w:r>
        <w:t xml:space="preserve"> </w:t>
      </w:r>
      <w:r>
        <w:t xml:space="preserve">□ Melhoria □ São ações severas financiadas, possuídas, medidas e retestadas? □ O mesmo gap aparece em exercícios/incidentes posteriores</w:t>
      </w:r>
    </w:p>
    <w:bookmarkEnd w:id="129"/>
    <w:bookmarkStart w:id="130" w:name="perguntas-executivas"/>
    <w:p>
      <w:pPr>
        <w:pStyle w:val="Heading2"/>
      </w:pPr>
      <w:r>
        <w:t xml:space="preserve">27.1 Perguntas executivas</w:t>
      </w:r>
    </w:p>
    <w:p>
      <w:pPr>
        <w:numPr>
          <w:ilvl w:val="0"/>
          <w:numId w:val="1056"/>
        </w:numPr>
      </w:pPr>
      <w:r>
        <w:t xml:space="preserve">Qual é o actual impacto nos negócios e na segurança?</w:t>
      </w:r>
    </w:p>
    <w:p>
      <w:pPr>
        <w:numPr>
          <w:ilvl w:val="0"/>
          <w:numId w:val="1056"/>
        </w:numPr>
      </w:pPr>
      <w:r>
        <w:t xml:space="preserve">Que factos apoiam a conclusão, e o que permanece incerto?</w:t>
      </w:r>
    </w:p>
    <w:p>
      <w:pPr>
        <w:pStyle w:val="FirstParagraph"/>
      </w:pPr>
      <w:r>
        <w:t xml:space="preserve">Quais são as próximas duas decisões, quem as possui, e quando são necessárias?</w:t>
      </w:r>
    </w:p>
    <w:p>
      <w:pPr>
        <w:numPr>
          <w:ilvl w:val="0"/>
          <w:numId w:val="1057"/>
        </w:numPr>
      </w:pPr>
      <w:r>
        <w:t xml:space="preserve">Que acção pode criar danos irreversíveis ou destruir provas?</w:t>
      </w:r>
    </w:p>
    <w:p>
      <w:pPr>
        <w:numPr>
          <w:ilvl w:val="0"/>
          <w:numId w:val="1057"/>
        </w:numPr>
      </w:pPr>
      <w:r>
        <w:t xml:space="preserve">Os serviços críticos podem continuar?</w:t>
      </w:r>
    </w:p>
    <w:p>
      <w:pPr>
        <w:numPr>
          <w:ilvl w:val="0"/>
          <w:numId w:val="1057"/>
        </w:numPr>
      </w:pPr>
      <w:r>
        <w:t xml:space="preserve">As obrigações legais, de privacidade, contratuais, seguradoras, clientes e autoridades estão sendo monitoradas?</w:t>
      </w:r>
    </w:p>
    <w:p>
      <w:pPr>
        <w:numPr>
          <w:ilvl w:val="0"/>
          <w:numId w:val="1057"/>
        </w:numPr>
      </w:pPr>
      <w:r>
        <w:t xml:space="preserve">Que recursos ou escolha de negócio está bloqueando contenção ou recuperação?</w:t>
      </w:r>
    </w:p>
    <w:p>
      <w:pPr>
        <w:numPr>
          <w:ilvl w:val="0"/>
          <w:numId w:val="1057"/>
        </w:numPr>
      </w:pPr>
      <w:r>
        <w:t xml:space="preserve">Como vamos verificar a recuperação e evitar a recorrência?</w:t>
      </w:r>
    </w:p>
    <w:bookmarkEnd w:id="130"/>
    <w:bookmarkEnd w:id="131"/>
    <w:bookmarkStart w:id="132" w:name="X3ac34a543331e4bf913bf655080aae44e00573f"/>
    <w:p>
      <w:pPr>
        <w:pStyle w:val="Heading1"/>
      </w:pPr>
      <w:r>
        <w:t xml:space="preserve">28. Guia de Carreira de Analista Júnior e Laboratório de Portfólio</w:t>
      </w:r>
    </w:p>
    <w:p>
      <w:pPr>
        <w:pStyle w:val="FirstParagraph"/>
      </w:pPr>
      <w:r>
        <w:rPr>
          <w:iCs/>
          <w:i/>
        </w:rPr>
        <w:t xml:space="preserve">Analistas juniores ganham confiança através de registros de casos disciplinados, manipulação de evidências, curiosidade técnica e escrita clara.</w:t>
      </w:r>
    </w:p>
    <w:p>
      <w:pPr>
        <w:pStyle w:val="BodyText"/>
      </w:pPr>
    </w:p>
    <w:p>
      <w:pPr>
        <w:pStyle w:val="BodyText"/>
      </w:pPr>
      <w:r>
        <w:t xml:space="preserve">Figura 10. Caminho do analista de resiliência júnior</w:t>
      </w:r>
    </w:p>
    <w:bookmarkEnd w:id="132"/>
    <w:bookmarkStart w:id="133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8"/>
        </w:numPr>
      </w:pPr>
      <w:r>
        <w:t xml:space="preserve">Analisador de Resposta a Incidentes Júnior</w:t>
      </w:r>
    </w:p>
    <w:p>
      <w:pPr>
        <w:numPr>
          <w:ilvl w:val="0"/>
          <w:numId w:val="1058"/>
        </w:numPr>
      </w:pPr>
      <w:r>
        <w:t xml:space="preserve">SOC Analisador</w:t>
      </w:r>
    </w:p>
    <w:p>
      <w:pPr>
        <w:numPr>
          <w:ilvl w:val="0"/>
          <w:numId w:val="1058"/>
        </w:numPr>
      </w:pPr>
      <w:r>
        <w:t xml:space="preserve">Analista de Operações de Cibersegurança</w:t>
      </w:r>
    </w:p>
    <w:p>
      <w:pPr>
        <w:numPr>
          <w:ilvl w:val="0"/>
          <w:numId w:val="1058"/>
        </w:numPr>
      </w:pPr>
      <w:r>
        <w:t xml:space="preserve">Analisador DFIR (junior)</w:t>
      </w:r>
    </w:p>
    <w:p>
      <w:pPr>
        <w:numPr>
          <w:ilvl w:val="0"/>
          <w:numId w:val="1058"/>
        </w:numPr>
      </w:pPr>
      <w:r>
        <w:t xml:space="preserve">Analista de continuidade de negócios</w:t>
      </w:r>
    </w:p>
    <w:p>
      <w:pPr>
        <w:numPr>
          <w:ilvl w:val="0"/>
          <w:numId w:val="1058"/>
        </w:numPr>
      </w:pPr>
      <w:r>
        <w:t xml:space="preserve">Analista de Recuperação de Desastres</w:t>
      </w:r>
    </w:p>
    <w:p>
      <w:pPr>
        <w:numPr>
          <w:ilvl w:val="0"/>
          <w:numId w:val="1058"/>
        </w:numPr>
      </w:pPr>
      <w:r>
        <w:t xml:space="preserve">Analista de resistência cibernética</w:t>
      </w:r>
    </w:p>
    <w:p>
      <w:pPr>
        <w:numPr>
          <w:ilvl w:val="0"/>
          <w:numId w:val="1058"/>
        </w:numPr>
      </w:pPr>
      <w:r>
        <w:t xml:space="preserve">Analisador de risco GRC / TI</w:t>
      </w:r>
    </w:p>
    <w:bookmarkEnd w:id="133"/>
    <w:bookmarkStart w:id="134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9"/>
        </w:numPr>
      </w:pPr>
      <w:r>
        <w:t xml:space="preserve">Validar e enriquecer alertas; abrir casos precisos; separar fatos das suposições.</w:t>
      </w:r>
    </w:p>
    <w:p>
      <w:pPr>
        <w:numPr>
          <w:ilvl w:val="0"/>
          <w:numId w:val="1059"/>
        </w:numPr>
      </w:pPr>
      <w:r>
        <w:t xml:space="preserve">Construir timelines, populações afetadas por escopo, preservar evidências aprovadas e registrar consultas/ações.</w:t>
      </w:r>
    </w:p>
    <w:p>
      <w:pPr>
        <w:numPr>
          <w:ilvl w:val="0"/>
          <w:numId w:val="1059"/>
        </w:numPr>
      </w:pPr>
      <w:r>
        <w:t xml:space="preserve">Siga os playbooks, aumente a gravidade, coordene tarefas e prepare resumos de status.</w:t>
      </w:r>
    </w:p>
    <w:p>
      <w:pPr>
        <w:numPr>
          <w:ilvl w:val="0"/>
          <w:numId w:val="1059"/>
        </w:numPr>
      </w:pPr>
      <w:r>
        <w:t xml:space="preserve">Retenção, remediação, provas de recuperação, acções correctivas e retestes.</w:t>
      </w:r>
    </w:p>
    <w:p>
      <w:pPr>
        <w:numPr>
          <w:ilvl w:val="0"/>
          <w:numId w:val="1059"/>
        </w:numPr>
      </w:pPr>
      <w:r>
        <w:t xml:space="preserve">Mantenha contatos, planos, dados BIA/dependência, runbooks de recuperação, registros de exercícios e métricas.</w:t>
      </w:r>
    </w:p>
    <w:p>
      <w:pPr>
        <w:numPr>
          <w:ilvl w:val="0"/>
          <w:numId w:val="1059"/>
        </w:numPr>
      </w:pPr>
      <w:r>
        <w:t xml:space="preserve">Use ferramentas de código aberto autorizadas em um laboratório e explique limitações.</w:t>
      </w:r>
    </w:p>
    <w:bookmarkEnd w:id="134"/>
    <w:bookmarkStart w:id="135" w:name="laboratório-de-portfólio-fictício"/>
    <w:p>
      <w:pPr>
        <w:pStyle w:val="Heading1"/>
      </w:pPr>
      <w:r>
        <w:t xml:space="preserve"># 28.3 Laboratório de portfólio fictício</w:t>
      </w:r>
    </w:p>
    <w:p>
      <w:pPr>
        <w:numPr>
          <w:ilvl w:val="0"/>
          <w:numId w:val="1060"/>
        </w:numPr>
      </w:pPr>
      <w:r>
        <w:t xml:space="preserve">Criar uma organização fictícia de 80 pessoas com e-mail na nuvem, endpoints, CRM SaaS, aplicação web, dados do cliente, fornecedores e um processo de faturamento crítico.</w:t>
      </w:r>
    </w:p>
    <w:p>
      <w:pPr>
        <w:numPr>
          <w:ilvl w:val="0"/>
          <w:numId w:val="1060"/>
        </w:numPr>
      </w:pPr>
      <w:r>
        <w:t xml:space="preserve">Escreva uma BIA com impacto ao longo do tempo, dependências, MTPD, RTO, RPO e nível mínimo de serviço.</w:t>
      </w:r>
    </w:p>
    <w:p>
      <w:pPr>
        <w:numPr>
          <w:ilvl w:val="0"/>
          <w:numId w:val="1060"/>
        </w:numPr>
      </w:pPr>
      <w:r>
        <w:t xml:space="preserve">Construir política de incidentes, RACI, matriz de gravidade, contatos, comunicações, ransomware, identidade, nuvem e playbooks de fornecedores.</w:t>
      </w:r>
    </w:p>
    <w:p>
      <w:pPr>
        <w:numPr>
          <w:ilvl w:val="0"/>
          <w:numId w:val="1060"/>
        </w:numPr>
      </w:pPr>
      <w:r>
        <w:t xml:space="preserve">Use registros sintéticos para investigar uma conta ficcional comprometida; crie uma linha do tempo, memorando de escopo, registro de contenção e atualização do gerente.</w:t>
      </w:r>
    </w:p>
    <w:p>
      <w:pPr>
        <w:numPr>
          <w:ilvl w:val="0"/>
          <w:numId w:val="1060"/>
        </w:numPr>
      </w:pPr>
      <w:r>
        <w:t xml:space="preserve">Analise um disco de treinamento legal ou imagem de memória com Autópsia ou Volatilidade; fonte de documento, hash, método, achados e limites.</w:t>
      </w:r>
    </w:p>
    <w:p>
      <w:pPr>
        <w:numPr>
          <w:ilvl w:val="0"/>
          <w:numId w:val="1060"/>
        </w:numPr>
      </w:pPr>
      <w:r>
        <w:t xml:space="preserve">Crie um DR runbook e realize um teste de restauração seguro com timings reais e validação de dados.</w:t>
      </w:r>
    </w:p>
    <w:p>
      <w:pPr>
        <w:numPr>
          <w:ilvl w:val="0"/>
          <w:numId w:val="1060"/>
        </w:numPr>
      </w:pPr>
      <w:r>
        <w:t xml:space="preserve">Execute uma tabela e produza um relatório pós-ação com melhorias rastreadas e retestadas.</w:t>
      </w:r>
    </w:p>
    <w:p>
      <w:pPr>
        <w:numPr>
          <w:ilvl w:val="0"/>
          <w:numId w:val="1060"/>
        </w:numPr>
      </w:pPr>
      <w:r>
        <w:t xml:space="preserve">Publicar apenas artefatos ficcionais higienizados e afirmar que o trabalho é educacional, não uma investigação real ou certificação.</w:t>
      </w:r>
    </w:p>
    <w:bookmarkEnd w:id="135"/>
    <w:bookmarkStart w:id="137" w:name="X1ac31f8b5089a4fa0e4514340e1fed6fc447af7"/>
    <w:p>
      <w:pPr>
        <w:pStyle w:val="Heading1"/>
      </w:pPr>
      <w:r>
        <w:t xml:space="preserve">29. Preparação do Plano e Entrevista de Trinta Dias</w:t>
      </w:r>
    </w:p>
    <w:p>
      <w:pPr>
        <w:numPr>
          <w:ilvl w:val="0"/>
          <w:numId w:val="1061"/>
        </w:numPr>
      </w:pPr>
      <w:r>
        <w:t xml:space="preserve">Um mês focado pode construir incidente de nível de entrada e capacidade de resiliência.*</w:t>
      </w:r>
    </w:p>
    <w:p>
      <w:pPr>
        <w:numPr>
          <w:ilvl w:val="0"/>
          <w:numId w:val="1061"/>
        </w:numPr>
        <w:pStyle w:val="Heading2"/>
      </w:pPr>
      <w:bookmarkStart w:id="136" w:name="dias-foco-entrega"/>
      <w:r>
        <w:t xml:space="preserve">Dias** * Foco** * Entrega**</w:t>
      </w:r>
      <w:bookmarkEnd w:id="136"/>
    </w:p>
    <w:p>
      <w:pPr>
        <w:numPr>
          <w:ilvl w:val="0"/>
          <w:numId w:val="1000"/>
        </w:numPr>
      </w:pPr>
      <w:r>
        <w:t xml:space="preserve">1–3 conceitos IR/BC/DR/crise e modelo NIST atual □ Mapa de conceito e RACI</w:t>
      </w:r>
      <w:r>
        <w:t xml:space="preserve"> </w:t>
      </w:r>
      <w:r>
        <w:t xml:space="preserve">. . . . . . . .</w:t>
      </w:r>
      <w:r>
        <w:t xml:space="preserve"> </w:t>
      </w:r>
      <w:r>
        <w:t xml:space="preserve">Preparação, registro, contatos, playbooks, lista de verificação de prontidão e dois playbooks</w:t>
      </w:r>
      <w:r>
        <w:t xml:space="preserve"> </w:t>
      </w:r>
      <w:r>
        <w:t xml:space="preserve">Detecção, triagem, gravidade, casos</w:t>
      </w:r>
      <w:r>
        <w:t xml:space="preserve"> </w:t>
      </w:r>
      <w:r>
        <w:t xml:space="preserve">Investigação, linha do tempo, evidência</w:t>
      </w:r>
      <w:r>
        <w:t xml:space="preserve"> </w:t>
      </w:r>
      <w:r>
        <w:t xml:space="preserve">• 16–18 • Contenção, erradicação, recuperação</w:t>
      </w:r>
    </w:p>
    <w:p>
      <w:pPr>
        <w:numPr>
          <w:ilvl w:val="0"/>
          <w:numId w:val="1061"/>
        </w:numPr>
      </w:pPr>
      <w:r>
        <w:t xml:space="preserve">19–21 * Continuidade, DR, restauração de backup * Procedimento de continuidade e teste de restauração *</w:t>
      </w:r>
      <w:r>
        <w:t xml:space="preserve"> </w:t>
      </w:r>
      <w:r>
        <w:t xml:space="preserve">Nuvem, identidade, ransomware, fornecedores</w:t>
      </w:r>
      <w:r>
        <w:t xml:space="preserve"> </w:t>
      </w:r>
      <w:r>
        <w:t xml:space="preserve">• 25–27 • Exercício e revisão pós-acção • Pacote de tabela e plano de melhoria</w:t>
      </w:r>
      <w:r>
        <w:t xml:space="preserve"> </w:t>
      </w:r>
      <w:r>
        <w:t xml:space="preserve">28–30 □ Metrics, portfolio, entrevistas □ Dashboard e cinco histórias de STAR</w:t>
      </w:r>
    </w:p>
    <w:bookmarkEnd w:id="137"/>
    <w:bookmarkStart w:id="138" w:name="qual-é-a-diferença-entre-ir-bc-e-dr"/>
    <w:p>
      <w:pPr>
        <w:pStyle w:val="Heading1"/>
      </w:pPr>
      <w:r>
        <w:t xml:space="preserve"># 29,2 Qual é a diferença entre IR, BC e DR?</w:t>
      </w:r>
    </w:p>
    <w:p>
      <w:pPr>
        <w:pStyle w:val="FirstParagraph"/>
      </w:pPr>
      <w:r>
        <w:t xml:space="preserve">IR gerencia incidentes cibernéticos, BC mantém saídas de negócios críticas durante a interrupção, e DR restaura tecnologia e dados. Eles coordenam, mas têm objetivos diferentes.</w:t>
      </w:r>
    </w:p>
    <w:bookmarkEnd w:id="138"/>
    <w:bookmarkStart w:id="145" w:name="o-que-é-nist-sp-800-61-rev.-3"/>
    <w:p>
      <w:pPr>
        <w:pStyle w:val="Heading1"/>
      </w:pPr>
      <w:r>
        <w:t xml:space="preserve"># 29.3 O que é NIST SP 800-61 Rev. 3?</w:t>
      </w:r>
    </w:p>
    <w:p>
      <w:pPr>
        <w:pStyle w:val="FirstParagraph"/>
      </w:pPr>
      <w:r>
        <w:t xml:space="preserve">A atual orientação de resposta a incidentes NIST, finalizada em 2025, expressa como um perfil comunitário CSF 2.0 através do governo, identificar, proteger, detectar, responder e recuperar.</w:t>
      </w:r>
    </w:p>
    <w:bookmarkStart w:id="139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é o tempo-alvo para restaurar; RPO é a perda de dados máxima tolerável medida no tempo.</w:t>
      </w:r>
    </w:p>
    <w:bookmarkEnd w:id="139"/>
    <w:bookmarkStart w:id="140" w:name="como-se-analisa-um-incidente"/>
    <w:p>
      <w:pPr>
        <w:pStyle w:val="Heading2"/>
      </w:pPr>
      <w:r>
        <w:t xml:space="preserve">29.5 Como se analisa um incidente?</w:t>
      </w:r>
    </w:p>
    <w:p>
      <w:pPr>
        <w:pStyle w:val="FirstParagraph"/>
      </w:pPr>
      <w:r>
        <w:t xml:space="preserve">Validar o sinal, avaliar o impacto funcional e de informação, recuperabilidade, ameaça, escopo, obrigações e incerteza, então atribuir gravidade e escalada sob critérios aprovados.</w:t>
      </w:r>
    </w:p>
    <w:bookmarkEnd w:id="140"/>
    <w:bookmarkStart w:id="141" w:name="o-que-torna-as-provas-confiáveis"/>
    <w:p>
      <w:pPr>
        <w:pStyle w:val="Heading2"/>
      </w:pPr>
      <w:r>
        <w:t xml:space="preserve">29.6 O que torna as provas confiáveis?</w:t>
      </w:r>
    </w:p>
    <w:p>
      <w:pPr>
        <w:pStyle w:val="FirstParagraph"/>
      </w:pPr>
      <w:r>
        <w:t xml:space="preserve">Fonte conhecida, coleta autorizada repetível, integridade preservada, horários, hashes quando apropriado, custódia, armazenamento protegido e limitações documentadas.</w:t>
      </w:r>
    </w:p>
    <w:bookmarkEnd w:id="141"/>
    <w:bookmarkStart w:id="142" w:name="quando-é-a-recuperação-completa"/>
    <w:p>
      <w:pPr>
        <w:pStyle w:val="Heading2"/>
      </w:pPr>
      <w:r>
        <w:t xml:space="preserve">29.7 Quando é a recuperação completa?</w:t>
      </w:r>
    </w:p>
    <w:p>
      <w:pPr>
        <w:pStyle w:val="FirstParagraph"/>
      </w:pPr>
      <w:r>
        <w:t xml:space="preserve">Quando a remoção da ameaça é estável, a restauração confiável e os testes de segurança/funcional/dados têm sucesso, o monitoramento é ativo, e proprietários de negócios e técnicos autorizados aceitam o retorno ao serviço.</w:t>
      </w:r>
    </w:p>
    <w:bookmarkEnd w:id="142"/>
    <w:bookmarkStart w:id="143" w:name="como-se-fecha-uma-melhoria"/>
    <w:p>
      <w:pPr>
        <w:pStyle w:val="Heading2"/>
      </w:pPr>
      <w:r>
        <w:t xml:space="preserve">29.8 Como se fecha uma melhoria?</w:t>
      </w:r>
    </w:p>
    <w:p>
      <w:pPr>
        <w:pStyle w:val="FirstParagraph"/>
      </w:pPr>
      <w:r>
        <w:t xml:space="preserve">Implementar a ação específica e testar novamente a capacidade falhada contra critérios definidos de sucesso.</w:t>
      </w:r>
    </w:p>
    <w:bookmarkEnd w:id="143"/>
    <w:bookmarkStart w:id="144" w:name="o-que-deve-um-analista-júnior-evitar"/>
    <w:p>
      <w:pPr>
        <w:pStyle w:val="Heading2"/>
      </w:pPr>
      <w:r>
        <w:t xml:space="preserve">29.9 O que deve um analista júnior evitar?</w:t>
      </w:r>
    </w:p>
    <w:p>
      <w:pPr>
        <w:pStyle w:val="FirstParagraph"/>
      </w:pPr>
      <w:r>
        <w:t xml:space="preserve">Acesso não autorizado, ação destrutiva, conclusões não apoiadas, mudança de evidência original, escondendo incerteza, ou resultados jurídicos promissores.</w:t>
      </w:r>
    </w:p>
    <w:bookmarkEnd w:id="144"/>
    <w:bookmarkEnd w:id="145"/>
    <w:bookmarkStart w:id="146" w:name="perguntas-para-fazer-ao-empregador"/>
    <w:p>
      <w:pPr>
        <w:pStyle w:val="Heading1"/>
      </w:pPr>
      <w:r>
        <w:t xml:space="preserve"># 29.10 Perguntas para fazer ao empregador</w:t>
      </w:r>
    </w:p>
    <w:p>
      <w:pPr>
        <w:numPr>
          <w:ilvl w:val="0"/>
          <w:numId w:val="1062"/>
        </w:numPr>
      </w:pPr>
      <w:r>
        <w:t xml:space="preserve">Que cenários de incidente e resiliência importam mais?</w:t>
      </w:r>
    </w:p>
    <w:p>
      <w:pPr>
        <w:numPr>
          <w:ilvl w:val="0"/>
          <w:numId w:val="1062"/>
        </w:numPr>
      </w:pPr>
      <w:r>
        <w:t xml:space="preserve">Como a gravidade, o comando, o escalonamento pós-hora e a aceitação de negócios são tratados?</w:t>
      </w:r>
    </w:p>
    <w:p>
      <w:pPr>
        <w:pStyle w:val="FirstParagraph"/>
      </w:pPr>
      <w:r>
        <w:t xml:space="preserve">Que ferramentas de telemetria, caso, forense, continuidade e recuperação são aprovadas?</w:t>
      </w:r>
    </w:p>
    <w:p>
      <w:pPr>
        <w:numPr>
          <w:ilvl w:val="0"/>
          <w:numId w:val="1063"/>
        </w:numPr>
      </w:pPr>
      <w:r>
        <w:t xml:space="preserve">Com que frequência são exercidas restaurações críticas e incidentes de fornecedores?</w:t>
      </w:r>
    </w:p>
    <w:p>
      <w:pPr>
        <w:numPr>
          <w:ilvl w:val="0"/>
          <w:numId w:val="1063"/>
        </w:numPr>
      </w:pPr>
      <w:r>
        <w:t xml:space="preserve">Como as ações júnior são revisadas e as provas protegidas?</w:t>
      </w:r>
    </w:p>
    <w:p>
      <w:pPr>
        <w:numPr>
          <w:ilvl w:val="0"/>
          <w:numId w:val="1063"/>
        </w:numPr>
      </w:pPr>
      <w:r>
        <w:t xml:space="preserve">Como seria o sucesso nos primeiros 90 dias?</w:t>
      </w:r>
    </w:p>
    <w:bookmarkEnd w:id="146"/>
    <w:bookmarkStart w:id="14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4"/>
        </w:numPr>
        <w:pStyle w:val="Compact"/>
      </w:pPr>
      <w:r>
        <w:t xml:space="preserve">Estruturas de trabalho reutilizáveis, termos-chave, índice de assunto e fontes oficiais.*</w:t>
      </w:r>
    </w:p>
    <w:bookmarkEnd w:id="147"/>
    <w:bookmarkStart w:id="148" w:name="registro-de-caso-de-incidente"/>
    <w:p>
      <w:pPr>
        <w:pStyle w:val="Heading1"/>
      </w:pPr>
      <w:r>
        <w:t xml:space="preserve"># 30.1 Registro de caso de incidente</w:t>
      </w:r>
    </w:p>
    <w:p>
      <w:pPr>
        <w:numPr>
          <w:ilvl w:val="0"/>
          <w:numId w:val="1065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Caso/comandante/severidade</w:t>
      </w:r>
      <w:r>
        <w:t xml:space="preserve"> </w:t>
      </w:r>
      <w:r>
        <w:t xml:space="preserve">• Ativar/detectado/começo conhecido</w:t>
      </w:r>
      <w:r>
        <w:t xml:space="preserve"> </w:t>
      </w:r>
      <w:r>
        <w:t xml:space="preserve">Factos/suposições/hipóteses</w:t>
      </w:r>
      <w:r>
        <w:t xml:space="preserve"> </w:t>
      </w:r>
      <w:r>
        <w:t xml:space="preserve">• Âmbito de aplicação afectado e potencial</w:t>
      </w:r>
      <w:r>
        <w:t xml:space="preserve"> </w:t>
      </w:r>
      <w:r>
        <w:t xml:space="preserve">• Impacto empresarial/dados/segurança</w:t>
      </w:r>
      <w:r>
        <w:t xml:space="preserve"> </w:t>
      </w:r>
      <w:r>
        <w:t xml:space="preserve">• Provas/linha do tempo/custódia</w:t>
      </w:r>
      <w:r>
        <w:t xml:space="preserve"> </w:t>
      </w:r>
      <w:r>
        <w:t xml:space="preserve">Objectivos/decisões/acções</w:t>
      </w:r>
    </w:p>
    <w:p>
      <w:pPr>
        <w:numPr>
          <w:ilvl w:val="0"/>
          <w:numId w:val="1065"/>
        </w:numPr>
        <w:pStyle w:val="Compact"/>
      </w:pPr>
      <w:r>
        <w:t xml:space="preserve">Contenção/erradicação</w:t>
      </w:r>
      <w:r>
        <w:t xml:space="preserve"> </w:t>
      </w:r>
      <w:r>
        <w:t xml:space="preserve">Recuperação/validação/aceitação</w:t>
      </w:r>
      <w:r>
        <w:t xml:space="preserve"> </w:t>
      </w:r>
      <w:r>
        <w:t xml:space="preserve">Comunicação/obrigações</w:t>
      </w:r>
      <w:r>
        <w:t xml:space="preserve"> </w:t>
      </w:r>
      <w:r>
        <w:t xml:space="preserve">Lições/acção/reteste</w:t>
      </w:r>
    </w:p>
    <w:bookmarkEnd w:id="148"/>
    <w:bookmarkStart w:id="153" w:name="bia-e-registro-de-continuidade"/>
    <w:p>
      <w:pPr>
        <w:pStyle w:val="Heading1"/>
      </w:pPr>
      <w:r>
        <w:t xml:space="preserve"># 30.2 BIA e registro de continuidade</w:t>
      </w:r>
    </w:p>
    <w:p>
      <w:pPr>
        <w:numPr>
          <w:ilvl w:val="0"/>
          <w:numId w:val="1066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Produto/serviço/processo/proprietário</w:t>
      </w:r>
      <w:r>
        <w:t xml:space="preserve"> </w:t>
      </w:r>
      <w:r>
        <w:t xml:space="preserve">O resultado mínimo aceitável é:</w:t>
      </w:r>
    </w:p>
    <w:p>
      <w:pPr>
        <w:numPr>
          <w:ilvl w:val="0"/>
          <w:numId w:val="1066"/>
        </w:numPr>
        <w:pStyle w:val="Compact"/>
      </w:pPr>
      <w:r>
        <w:t xml:space="preserve">Impacto pelo tempo / MTPD</w:t>
      </w:r>
      <w:r>
        <w:t xml:space="preserve"> </w:t>
      </w:r>
      <w:r>
        <w:t xml:space="preserve">RTO / RPO</w:t>
      </w:r>
    </w:p>
    <w:p>
      <w:pPr>
        <w:numPr>
          <w:ilvl w:val="0"/>
          <w:numId w:val="1066"/>
        </w:numPr>
        <w:pStyle w:val="Compact"/>
      </w:pPr>
      <w:r>
        <w:t xml:space="preserve">Pessoas/facilidade/tecnologia *                                                 </w:t>
      </w:r>
      <w:r>
        <w:t xml:space="preserve"> </w:t>
      </w:r>
      <w:r>
        <w:t xml:space="preserve">• Dependências de dados/fornecimento/utilização</w:t>
      </w:r>
    </w:p>
    <w:p>
      <w:pPr>
        <w:numPr>
          <w:ilvl w:val="0"/>
          <w:numId w:val="1066"/>
        </w:numPr>
        <w:pStyle w:val="Compact"/>
      </w:pPr>
      <w:r>
        <w:t xml:space="preserve">Estratégia de continuidade/trabalho em torno de :                                                 </w:t>
      </w:r>
      <w:r>
        <w:t xml:space="preserve"> </w:t>
      </w:r>
      <w:r>
        <w:t xml:space="preserve">Ativação/comunicação</w:t>
      </w:r>
    </w:p>
    <w:p>
      <w:pPr>
        <w:numPr>
          <w:ilvl w:val="0"/>
          <w:numId w:val="1066"/>
        </w:numPr>
        <w:pStyle w:val="Compact"/>
      </w:pPr>
      <w:r>
        <w:t xml:space="preserve">Regresso/reconciliação</w:t>
      </w:r>
    </w:p>
    <w:p>
      <w:pPr>
        <w:numPr>
          <w:ilvl w:val="0"/>
          <w:numId w:val="1066"/>
        </w:numPr>
        <w:pStyle w:val="Compact"/>
      </w:pPr>
      <w:r>
        <w:t xml:space="preserve">Teste/resultado/melhoramento</w:t>
      </w:r>
    </w:p>
    <w:bookmarkStart w:id="150" w:name="provas-e-registo-da-cadeia-de-custódia"/>
    <w:p>
      <w:pPr>
        <w:pStyle w:val="Heading2"/>
      </w:pPr>
      <w:r>
        <w:t xml:space="preserve">30.3 Provas e registo da cadeia de custódia</w:t>
      </w:r>
    </w:p>
    <w:p>
      <w:pPr>
        <w:numPr>
          <w:ilvl w:val="0"/>
          <w:numId w:val="1067"/>
        </w:numPr>
        <w:pStyle w:val="Heading2"/>
      </w:pPr>
      <w:bookmarkStart w:id="149" w:name="campo-entrada"/>
      <w:r>
        <w:t xml:space="preserve">Campo** * Entrada**</w:t>
      </w:r>
      <w:bookmarkEnd w:id="149"/>
    </w:p>
    <w:p>
      <w:pPr>
        <w:numPr>
          <w:ilvl w:val="0"/>
          <w:numId w:val="1000"/>
        </w:numPr>
        <w:pStyle w:val="Compact"/>
      </w:pPr>
      <w:r>
        <w:t xml:space="preserve">ID/descrição do item / fonte</w:t>
      </w:r>
      <w:r>
        <w:t xml:space="preserve"> </w:t>
      </w:r>
      <w:r>
        <w:t xml:space="preserve">□ Autoridade/função :                                                  </w:t>
      </w:r>
    </w:p>
    <w:p>
      <w:pPr>
        <w:numPr>
          <w:ilvl w:val="0"/>
          <w:numId w:val="1067"/>
        </w:numPr>
        <w:pStyle w:val="Compact"/>
      </w:pPr>
      <w:r>
        <w:t xml:space="preserve">Colector/data / fuso horário</w:t>
      </w:r>
    </w:p>
    <w:p>
      <w:pPr>
        <w:numPr>
          <w:ilvl w:val="0"/>
          <w:numId w:val="1067"/>
        </w:numPr>
        <w:pStyle w:val="Compact"/>
      </w:pPr>
      <w:r>
        <w:t xml:space="preserve">Método/ferramenta / versão</w:t>
      </w:r>
    </w:p>
    <w:p>
      <w:pPr>
        <w:numPr>
          <w:ilvl w:val="0"/>
          <w:numId w:val="1067"/>
        </w:numPr>
        <w:pStyle w:val="Compact"/>
      </w:pPr>
      <w:r>
        <w:t xml:space="preserve">Copia original de haxixe/trabalhador</w:t>
      </w:r>
    </w:p>
    <w:p>
      <w:pPr>
        <w:numPr>
          <w:ilvl w:val="0"/>
          <w:numId w:val="1067"/>
        </w:numPr>
        <w:pStyle w:val="Compact"/>
      </w:pPr>
      <w:r>
        <w:t xml:space="preserve">Armazenamento/acesso/privacidade</w:t>
      </w:r>
      <w:r>
        <w:t xml:space="preserve"> </w:t>
      </w:r>
      <w:r>
        <w:t xml:space="preserve">Transferência de/para/propósito</w:t>
      </w:r>
      <w:r>
        <w:t xml:space="preserve"> </w:t>
      </w:r>
      <w:r>
        <w:t xml:space="preserve">• Análise/resultado/limitações</w:t>
      </w:r>
    </w:p>
    <w:p>
      <w:pPr>
        <w:numPr>
          <w:ilvl w:val="0"/>
          <w:numId w:val="1067"/>
        </w:numPr>
        <w:pStyle w:val="Compact"/>
      </w:pPr>
      <w:r>
        <w:t xml:space="preserve">Retenção / detenção legal</w:t>
      </w:r>
      <w:r>
        <w:t xml:space="preserve"> </w:t>
      </w:r>
      <w:r>
        <w:t xml:space="preserve">Revisão/disposição</w:t>
      </w:r>
    </w:p>
    <w:bookmarkEnd w:id="150"/>
    <w:bookmarkStart w:id="152" w:name="exercício-e-registro-de-ação-corretiva"/>
    <w:p>
      <w:pPr>
        <w:pStyle w:val="Heading2"/>
      </w:pPr>
      <w:r>
        <w:t xml:space="preserve">30.4 Exercício e registro de ação corretiva</w:t>
      </w:r>
    </w:p>
    <w:p>
      <w:pPr>
        <w:numPr>
          <w:ilvl w:val="0"/>
          <w:numId w:val="1068"/>
        </w:numPr>
        <w:pStyle w:val="Heading2"/>
      </w:pPr>
      <w:bookmarkStart w:id="151" w:name="campo-entrada-1"/>
      <w:r>
        <w:t xml:space="preserve">Campo** * Entrada**</w:t>
      </w:r>
      <w:bookmarkEnd w:id="151"/>
    </w:p>
    <w:p>
      <w:pPr>
        <w:numPr>
          <w:ilvl w:val="0"/>
          <w:numId w:val="1000"/>
        </w:numPr>
        <w:pStyle w:val="Compact"/>
      </w:pPr>
      <w:r>
        <w:t xml:space="preserve">Objectivo/Capacidade</w:t>
      </w:r>
      <w:r>
        <w:t xml:space="preserve"> </w:t>
      </w:r>
      <w:r>
        <w:t xml:space="preserve">Cenário/assunções/segurança</w:t>
      </w:r>
      <w:r>
        <w:t xml:space="preserve"> </w:t>
      </w:r>
      <w:r>
        <w:t xml:space="preserve">Participantes/observadores</w:t>
      </w:r>
    </w:p>
    <w:p>
      <w:pPr>
        <w:numPr>
          <w:ilvl w:val="0"/>
          <w:numId w:val="1068"/>
        </w:numPr>
        <w:pStyle w:val="Compact"/>
      </w:pPr>
      <w:r>
        <w:t xml:space="preserve">Critérios de sucesso esperados</w:t>
      </w:r>
      <w:r>
        <w:t xml:space="preserve"> </w:t>
      </w:r>
      <w:r>
        <w:t xml:space="preserve">O tempo real/decisões □                                                </w:t>
      </w:r>
      <w:r>
        <w:t xml:space="preserve"> </w:t>
      </w:r>
      <w:r>
        <w:t xml:space="preserve">Os pontos fortes/gaps/evidências</w:t>
      </w:r>
    </w:p>
    <w:p>
      <w:pPr>
        <w:numPr>
          <w:ilvl w:val="0"/>
          <w:numId w:val="1068"/>
        </w:numPr>
        <w:pStyle w:val="Compact"/>
      </w:pPr>
      <w:r>
        <w:t xml:space="preserve">Causa/risco/controlo interino</w:t>
      </w:r>
      <w:r>
        <w:t xml:space="preserve"> </w:t>
      </w:r>
      <w:r>
        <w:t xml:space="preserve">• Acção/proprietário / data limite</w:t>
      </w:r>
      <w:r>
        <w:t xml:space="preserve"> </w:t>
      </w:r>
      <w:r>
        <w:t xml:space="preserve">Reteste/evidência / resultado</w:t>
      </w:r>
      <w:r>
        <w:t xml:space="preserve"> </w:t>
      </w:r>
      <w:r>
        <w:t xml:space="preserve">Revisão da gestão</w:t>
      </w:r>
    </w:p>
    <w:bookmarkEnd w:id="152"/>
    <w:bookmarkEnd w:id="153"/>
    <w:bookmarkStart w:id="155" w:name="glossário"/>
    <w:p>
      <w:pPr>
        <w:pStyle w:val="Heading1"/>
      </w:pPr>
      <w:r>
        <w:t xml:space="preserve"># 30.5 Glossário</w:t>
      </w:r>
    </w:p>
    <w:bookmarkStart w:id="154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Evento adverso Uma ocorrência que pode ter uma consequência negativa.</w:t>
      </w:r>
      <w:r>
        <w:t xml:space="preserve"> </w:t>
      </w:r>
      <w:r>
        <w:t xml:space="preserve">Sistema de gestão de continuidade de negócios.</w:t>
      </w:r>
      <w:r>
        <w:t xml:space="preserve"> </w:t>
      </w:r>
      <w:r>
        <w:t xml:space="preserve">Análise de impacto de negócios.</w:t>
      </w:r>
      <w:r>
        <w:t xml:space="preserve"> </w:t>
      </w:r>
      <w:r>
        <w:t xml:space="preserve">□ Continuidade do negócio • Capacidade para continuar a entrega de produtos e serviços com capacidade aceitável durante a interrupção.</w:t>
      </w:r>
      <w:r>
        <w:t xml:space="preserve"> </w:t>
      </w:r>
      <w:r>
        <w:t xml:space="preserve">• Cadeia de custódia – Documentado controle e histórico de transferência de evidências.</w:t>
      </w:r>
      <w:r>
        <w:t xml:space="preserve"> </w:t>
      </w:r>
      <w:r>
        <w:t xml:space="preserve">□ Contencioso • Acção para limitar a propagação ou o impacto do incidente.</w:t>
      </w:r>
      <w:r>
        <w:t xml:space="preserve"> </w:t>
      </w:r>
      <w:r>
        <w:t xml:space="preserve">• Gestão de crises • Liderança e coordenação de situações de alto impacto e incerteza. □</w:t>
      </w:r>
      <w:r>
        <w:t xml:space="preserve"> </w:t>
      </w:r>
      <w:r>
        <w:t xml:space="preserve">Recuperação de desastres . Restauração de tecnologia, dados e infraestrutura de suporte após interrupção. □</w:t>
      </w:r>
      <w:r>
        <w:t xml:space="preserve"> </w:t>
      </w:r>
      <w:r>
        <w:t xml:space="preserve">• Erradicação □ Remoção de causa, persistência, mudanças inseguras e fraquezas relacionadas. □</w:t>
      </w:r>
      <w:r>
        <w:t xml:space="preserve"> </w:t>
      </w:r>
      <w:r>
        <w:t xml:space="preserve">Ocorrência que compromete a confidencialidade, integridade, disponibilidade ou viola a política de segurança; use a definição aprovada da organização. □</w:t>
      </w:r>
      <w:r>
        <w:t xml:space="preserve"> </w:t>
      </w:r>
      <w:r>
        <w:t xml:space="preserve">* MTPD / MAO * Período máximo tolerável de interrupção / parada máxima aceitável.</w:t>
      </w:r>
      <w:r>
        <w:t xml:space="preserve"> </w:t>
      </w:r>
      <w:r>
        <w:t xml:space="preserve">□ Playbook □ Passos de resposta focados em cenários, decisões, autoridade e evidência.</w:t>
      </w:r>
      <w:r>
        <w:t xml:space="preserve"> </w:t>
      </w:r>
      <w:r>
        <w:t xml:space="preserve">Recuperação Recuperação e verificação de serviços e controles.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 uma atividade ou recurso.</w:t>
      </w:r>
      <w:r>
        <w:t xml:space="preserve"> </w:t>
      </w:r>
      <w:r>
        <w:t xml:space="preserve">• Exercício de tabela □ Avaliação baseada em discussão utilizando um cenário e questões de decisão. □</w:t>
      </w:r>
    </w:p>
    <w:bookmarkEnd w:id="154"/>
    <w:bookmarkEnd w:id="155"/>
    <w:bookmarkStart w:id="170" w:name="índice-de-assunto"/>
    <w:p>
      <w:pPr>
        <w:pStyle w:val="Heading1"/>
      </w:pPr>
      <w:r>
        <w:t xml:space="preserve"># 30.6 Índice de assunto</w:t>
      </w:r>
    </w:p>
    <w:bookmarkStart w:id="156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Cópias de segurança</w:t>
      </w:r>
      <w:r>
        <w:t xml:space="preserve"> </w:t>
      </w:r>
      <w:r>
        <w:t xml:space="preserve">3 , 20 ,</w:t>
      </w:r>
      <w:r>
        <w:t xml:space="preserve"> </w:t>
      </w:r>
      <w:r>
        <w:t xml:space="preserve">□ Continuidade das actividades □ 19–20</w:t>
      </w:r>
      <w:r>
        <w:t xml:space="preserve"> </w:t>
      </w:r>
      <w:r>
        <w:t xml:space="preserve">• Incidentes de nuvem</w:t>
      </w:r>
      <w:r>
        <w:t xml:space="preserve"> </w:t>
      </w:r>
      <w:r>
        <w:t xml:space="preserve">Comunicação , 13 , 23 ,</w:t>
      </w:r>
      <w:r>
        <w:t xml:space="preserve"> </w:t>
      </w:r>
      <w:r>
        <w:t xml:space="preserve">Contenção</w:t>
      </w:r>
      <w:r>
        <w:t xml:space="preserve"> </w:t>
      </w:r>
      <w:r>
        <w:t xml:space="preserve">Gestão de crises</w:t>
      </w:r>
      <w:r>
        <w:t xml:space="preserve"> </w:t>
      </w:r>
      <w:r>
        <w:t xml:space="preserve">• Detecção/triagem</w:t>
      </w:r>
      <w:r>
        <w:t xml:space="preserve"> </w:t>
      </w:r>
      <w:r>
        <w:t xml:space="preserve">• Evidência digital</w:t>
      </w:r>
      <w:r>
        <w:t xml:space="preserve"> </w:t>
      </w:r>
      <w:r>
        <w:t xml:space="preserve">Recuperação de desastres 21–22</w:t>
      </w:r>
      <w:r>
        <w:t xml:space="preserve"> </w:t>
      </w:r>
      <w:r>
        <w:t xml:space="preserve">Exercícios</w:t>
      </w:r>
      <w:r>
        <w:t xml:space="preserve"> </w:t>
      </w:r>
      <w:r>
        <w:t xml:space="preserve">• Incidentes de identidade</w:t>
      </w:r>
      <w:r>
        <w:t xml:space="preserve"> </w:t>
      </w:r>
      <w:r>
        <w:t xml:space="preserve">Investigação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Lições aprendidas</w:t>
      </w:r>
      <w:r>
        <w:t xml:space="preserve"> </w:t>
      </w:r>
      <w:r>
        <w:t xml:space="preserve">Gestor</w:t>
      </w:r>
      <w:r>
        <w:t xml:space="preserve"> </w:t>
      </w:r>
      <w:r>
        <w:t xml:space="preserve">. . . . . . . . .</w:t>
      </w:r>
      <w:r>
        <w:t xml:space="preserve"> </w:t>
      </w:r>
      <w:r>
        <w:t xml:space="preserve">NIST SP 800-61 Rev. 3 .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Resgate 15</w:t>
      </w:r>
      <w:r>
        <w:t xml:space="preserve"> </w:t>
      </w:r>
      <w:r>
        <w:t xml:space="preserve">Recuperação 11, 21–22</w:t>
      </w:r>
      <w:r>
        <w:t xml:space="preserve"> </w:t>
      </w:r>
      <w:r>
        <w:t xml:space="preserve">. . . .</w:t>
      </w:r>
      <w:r>
        <w:t xml:space="preserve"> </w:t>
      </w:r>
      <w:r>
        <w:t xml:space="preserve">• Incidentes de fornecedor</w:t>
      </w:r>
    </w:p>
    <w:bookmarkEnd w:id="156"/>
    <w:bookmarkStart w:id="16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9"/>
        </w:numPr>
      </w:pPr>
      <w:hyperlink r:id="rId157">
        <w:r>
          <w:rPr>
            <w:rStyle w:val="Hyperlink"/>
          </w:rPr>
          <w:t xml:space="preserve">NIST SP 800-61 Rev. 3 — Recomendações de resposta a incidentes</w:t>
        </w:r>
      </w:hyperlink>
    </w:p>
    <w:p>
      <w:pPr>
        <w:numPr>
          <w:ilvl w:val="0"/>
          <w:numId w:val="1069"/>
        </w:numPr>
      </w:pPr>
      <w:hyperlink r:id="rId158">
        <w:r>
          <w:rPr>
            <w:rStyle w:val="Hyperlink"/>
          </w:rPr>
          <w:t xml:space="preserve">NIST Projecto de Resposta a Incidentes</w:t>
        </w:r>
      </w:hyperlink>
    </w:p>
    <w:p>
      <w:pPr>
        <w:numPr>
          <w:ilvl w:val="0"/>
          <w:numId w:val="1069"/>
        </w:numPr>
      </w:pPr>
      <w:hyperlink r:id="rId159">
        <w:r>
          <w:rPr>
            <w:rStyle w:val="Hyperlink"/>
          </w:rPr>
          <w:t xml:space="preserve">NIST Cybersecurity Framework 2.0</w:t>
        </w:r>
      </w:hyperlink>
    </w:p>
    <w:p>
      <w:pPr>
        <w:numPr>
          <w:ilvl w:val="0"/>
          <w:numId w:val="1069"/>
        </w:numPr>
      </w:pPr>
      <w:hyperlink r:id="rId160">
        <w:r>
          <w:rPr>
            <w:rStyle w:val="Hyperlink"/>
          </w:rPr>
          <w:t xml:space="preserve">NIST SP 800-34 Rev. 1 Actualização 1 — Planeamento de Contingências</w:t>
        </w:r>
      </w:hyperlink>
    </w:p>
    <w:p>
      <w:pPr>
        <w:numPr>
          <w:ilvl w:val="0"/>
          <w:numId w:val="1069"/>
        </w:numPr>
      </w:pPr>
      <w:hyperlink r:id="rId161">
        <w:r>
          <w:rPr>
            <w:rStyle w:val="Hyperlink"/>
          </w:rPr>
          <w:t xml:space="preserve">Manuais de resposta a incidentes e vulnerabilidades de segurança cibernética da CISA</w:t>
        </w:r>
      </w:hyperlink>
    </w:p>
    <w:p>
      <w:pPr>
        <w:numPr>
          <w:ilvl w:val="0"/>
          <w:numId w:val="1069"/>
        </w:numPr>
      </w:pPr>
      <w:hyperlink r:id="rId162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Guia CISA StopRansomware</w:t>
        </w:r>
      </w:hyperlink>
    </w:p>
    <w:p>
      <w:pPr>
        <w:numPr>
          <w:ilvl w:val="0"/>
          <w:numId w:val="1069"/>
        </w:numPr>
      </w:pPr>
      <w:r>
        <w:t xml:space="preserve">[</w:t>
      </w:r>
      <w:r>
        <w:t xml:space="preserve">CSA Ransomware Response Checklist</w:t>
      </w:r>
      <w:r>
        <w:t xml:space="preserve">] (https://www.cisa.gov/ransomware-response-checklist)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CISA Tabletop Exercise Packages</w:t>
      </w:r>
      <w:r>
        <w:t xml:space="preserve">] (https://www.cisa.gov/resources-tools/services/cisa-tabletop-exercise-packages)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 </w:t>
      </w:r>
      <w:r>
        <w:t xml:space="preserve">Plano de Resposta ao Incidente CISA Basics</w:t>
      </w:r>
      <w:r>
        <w:t xml:space="preserve">] (https://www.cisa.gov/resources-tools/resources/incident-response-plan-irp-basics)</w:t>
      </w:r>
    </w:p>
    <w:p>
      <w:pPr>
        <w:numPr>
          <w:ilvl w:val="0"/>
          <w:numId w:val="1069"/>
        </w:numPr>
      </w:pPr>
      <w:hyperlink r:id="rId163">
        <w:r>
          <w:rPr>
            <w:rStyle w:val="Hyperlink"/>
          </w:rPr>
          <w:t xml:space="preserve">ISO 22301:2019</w:t>
        </w:r>
      </w:hyperlink>
    </w:p>
    <w:p>
      <w:pPr>
        <w:numPr>
          <w:ilvl w:val="0"/>
          <w:numId w:val="1069"/>
        </w:numPr>
      </w:pPr>
      <w:hyperlink r:id="rId164">
        <w:r>
          <w:rPr>
            <w:rStyle w:val="Hyperlink"/>
          </w:rPr>
          <w:t xml:space="preserve">ISO 22301:2019/Amd 1:2024</w:t>
        </w:r>
      </w:hyperlink>
    </w:p>
    <w:p>
      <w:pPr>
        <w:numPr>
          <w:ilvl w:val="0"/>
          <w:numId w:val="1069"/>
        </w:numPr>
      </w:pPr>
      <w:hyperlink r:id="rId165">
        <w:r>
          <w:rPr>
            <w:rStyle w:val="Hyperlink"/>
          </w:rPr>
          <w:t xml:space="preserve">ISO 22313:2020</w:t>
        </w:r>
      </w:hyperlink>
    </w:p>
    <w:p>
      <w:pPr>
        <w:numPr>
          <w:ilvl w:val="0"/>
          <w:numId w:val="1069"/>
        </w:numPr>
      </w:pPr>
      <w:hyperlink r:id="rId166">
        <w:r>
          <w:rPr>
            <w:rStyle w:val="Hyperlink"/>
          </w:rPr>
          <w:t xml:space="preserve">ISO/TS 22317:2021 — Orientação BIA</w:t>
        </w:r>
      </w:hyperlink>
    </w:p>
    <w:p>
      <w:pPr>
        <w:numPr>
          <w:ilvl w:val="0"/>
          <w:numId w:val="1069"/>
        </w:numPr>
      </w:pPr>
      <w:hyperlink r:id="rId167">
        <w:r>
          <w:rPr>
            <w:rStyle w:val="Hyperlink"/>
          </w:rPr>
          <w:t xml:space="preserve">NIST Computer Security Incident Handident Handling Guide resources</w:t>
        </w:r>
      </w:hyperlink>
    </w:p>
    <w:bookmarkEnd w:id="168"/>
    <w:bookmarkStart w:id="169" w:name="Xafd993959bc96593cc16a18737f0b9756488ade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Ameaças, tecnologia, leis, contratos, normas, interpretações oficiais, ferramentas, contatos e dependências organizacionais mudam. Verificar fontes autoritárias atuais e planos aprovados antes de um incidente real ou decisão de recuperação. □</w:t>
      </w:r>
    </w:p>
    <w:bookmarkEnd w:id="169"/>
    <w:bookmarkEnd w:id="17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67" Target="https://csrc.nist.gov/Projects/incident-response/publications" TargetMode="External" /><Relationship Type="http://schemas.openxmlformats.org/officeDocument/2006/relationships/hyperlink" Id="rId158" Target="https://csrc.nist.gov/projects/incident-response" TargetMode="External" /><Relationship Type="http://schemas.openxmlformats.org/officeDocument/2006/relationships/hyperlink" Id="rId160" Target="https://csrc.nist.gov/pubs/sp/800/34/r1/upd1/final" TargetMode="External" /><Relationship Type="http://schemas.openxmlformats.org/officeDocument/2006/relationships/hyperlink" Id="rId157" Target="https://csrc.nist.gov/pubs/sp/800/61/r3/final" TargetMode="External" /><Relationship Type="http://schemas.openxmlformats.org/officeDocument/2006/relationships/hyperlink" Id="rId121" Target="https://dfir-iris.org/" TargetMode="External" /><Relationship Type="http://schemas.openxmlformats.org/officeDocument/2006/relationships/hyperlink" Id="rId101" Target="https://docs.velociraptor.app/" TargetMode="External" /><Relationship Type="http://schemas.openxmlformats.org/officeDocument/2006/relationships/hyperlink" Id="rId95" Target="https://github.com/TheHive-Project/Cortex" TargetMode="External" /><Relationship Type="http://schemas.openxmlformats.org/officeDocument/2006/relationships/hyperlink" Id="rId123" Target="https://grr-doc.readthedocs.io/" TargetMode="External" /><Relationship Type="http://schemas.openxmlformats.org/officeDocument/2006/relationships/hyperlink" Id="rId127" Target="https://opensearch.org/" TargetMode="External" /><Relationship Type="http://schemas.openxmlformats.org/officeDocument/2006/relationships/hyperlink" Id="rId109" Target="https://plaso.readthedocs.io/" TargetMode="External" /><Relationship Type="http://schemas.openxmlformats.org/officeDocument/2006/relationships/hyperlink" Id="rId125" Target="https://shuffler.io/" TargetMode="External" /><Relationship Type="http://schemas.openxmlformats.org/officeDocument/2006/relationships/hyperlink" Id="rId119" Target="https://sigmahq.io/" TargetMode="External" /><Relationship Type="http://schemas.openxmlformats.org/officeDocument/2006/relationships/hyperlink" Id="rId115" Target="https://suricata.io/" TargetMode="External" /><Relationship Type="http://schemas.openxmlformats.org/officeDocument/2006/relationships/hyperlink" Id="rId93" Target="https://thehive-project.org/" TargetMode="External" /><Relationship Type="http://schemas.openxmlformats.org/officeDocument/2006/relationships/hyperlink" Id="rId107" Target="https://timesketch.org/" TargetMode="External" /><Relationship Type="http://schemas.openxmlformats.org/officeDocument/2006/relationships/hyperlink" Id="rId117" Target="https://virustotal.github.io/yara/" TargetMode="External" /><Relationship Type="http://schemas.openxmlformats.org/officeDocument/2006/relationships/hyperlink" Id="rId103" Target="https://volatility3.readthedocs.io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05" Target="https://www.autopsy.com/" TargetMode="External" /><Relationship Type="http://schemas.openxmlformats.org/officeDocument/2006/relationships/hyperlink" Id="rId161" Target="https://www.cisa.gov/news-events/news/federal-government-cybersecurity-incident-and-vulnerability-response-playbooks" TargetMode="External" /><Relationship Type="http://schemas.openxmlformats.org/officeDocument/2006/relationships/hyperlink" Id="rId162" Target="https://www.cisa.gov/stopransomware/ransomware-guide" TargetMode="External" /><Relationship Type="http://schemas.openxmlformats.org/officeDocument/2006/relationships/hyperlink" Id="rId163" Target="https://www.iso.org/standard/75106.html" TargetMode="External" /><Relationship Type="http://schemas.openxmlformats.org/officeDocument/2006/relationships/hyperlink" Id="rId165" Target="https://www.iso.org/standard/75107.html" TargetMode="External" /><Relationship Type="http://schemas.openxmlformats.org/officeDocument/2006/relationships/hyperlink" Id="rId166" Target="https://www.iso.org/standard/79000.html" TargetMode="External" /><Relationship Type="http://schemas.openxmlformats.org/officeDocument/2006/relationships/hyperlink" Id="rId164" Target="https://www.iso.org/standard/88412.html" TargetMode="External" /><Relationship Type="http://schemas.openxmlformats.org/officeDocument/2006/relationships/hyperlink" Id="rId97" Target="https://www.misp-project.org/" TargetMode="External" /><Relationship Type="http://schemas.openxmlformats.org/officeDocument/2006/relationships/hyperlink" Id="rId159" Target="https://www.nist.gov/cyberframework" TargetMode="External" /><Relationship Type="http://schemas.openxmlformats.org/officeDocument/2006/relationships/hyperlink" Id="rId111" Target="https://www.osquery.io/" TargetMode="External" /><Relationship Type="http://schemas.openxmlformats.org/officeDocument/2006/relationships/hyperlink" Id="rId113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7" Target="https://csrc.nist.gov/Projects/incident-response/publications" TargetMode="External" /><Relationship Type="http://schemas.openxmlformats.org/officeDocument/2006/relationships/hyperlink" Id="rId158" Target="https://csrc.nist.gov/projects/incident-response" TargetMode="External" /><Relationship Type="http://schemas.openxmlformats.org/officeDocument/2006/relationships/hyperlink" Id="rId160" Target="https://csrc.nist.gov/pubs/sp/800/34/r1/upd1/final" TargetMode="External" /><Relationship Type="http://schemas.openxmlformats.org/officeDocument/2006/relationships/hyperlink" Id="rId157" Target="https://csrc.nist.gov/pubs/sp/800/61/r3/final" TargetMode="External" /><Relationship Type="http://schemas.openxmlformats.org/officeDocument/2006/relationships/hyperlink" Id="rId121" Target="https://dfir-iris.org/" TargetMode="External" /><Relationship Type="http://schemas.openxmlformats.org/officeDocument/2006/relationships/hyperlink" Id="rId101" Target="https://docs.velociraptor.app/" TargetMode="External" /><Relationship Type="http://schemas.openxmlformats.org/officeDocument/2006/relationships/hyperlink" Id="rId95" Target="https://github.com/TheHive-Project/Cortex" TargetMode="External" /><Relationship Type="http://schemas.openxmlformats.org/officeDocument/2006/relationships/hyperlink" Id="rId123" Target="https://grr-doc.readthedocs.io/" TargetMode="External" /><Relationship Type="http://schemas.openxmlformats.org/officeDocument/2006/relationships/hyperlink" Id="rId127" Target="https://opensearch.org/" TargetMode="External" /><Relationship Type="http://schemas.openxmlformats.org/officeDocument/2006/relationships/hyperlink" Id="rId109" Target="https://plaso.readthedocs.io/" TargetMode="External" /><Relationship Type="http://schemas.openxmlformats.org/officeDocument/2006/relationships/hyperlink" Id="rId125" Target="https://shuffler.io/" TargetMode="External" /><Relationship Type="http://schemas.openxmlformats.org/officeDocument/2006/relationships/hyperlink" Id="rId119" Target="https://sigmahq.io/" TargetMode="External" /><Relationship Type="http://schemas.openxmlformats.org/officeDocument/2006/relationships/hyperlink" Id="rId115" Target="https://suricata.io/" TargetMode="External" /><Relationship Type="http://schemas.openxmlformats.org/officeDocument/2006/relationships/hyperlink" Id="rId93" Target="https://thehive-project.org/" TargetMode="External" /><Relationship Type="http://schemas.openxmlformats.org/officeDocument/2006/relationships/hyperlink" Id="rId107" Target="https://timesketch.org/" TargetMode="External" /><Relationship Type="http://schemas.openxmlformats.org/officeDocument/2006/relationships/hyperlink" Id="rId117" Target="https://virustotal.github.io/yara/" TargetMode="External" /><Relationship Type="http://schemas.openxmlformats.org/officeDocument/2006/relationships/hyperlink" Id="rId103" Target="https://volatility3.readthedocs.io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05" Target="https://www.autopsy.com/" TargetMode="External" /><Relationship Type="http://schemas.openxmlformats.org/officeDocument/2006/relationships/hyperlink" Id="rId161" Target="https://www.cisa.gov/news-events/news/federal-government-cybersecurity-incident-and-vulnerability-response-playbooks" TargetMode="External" /><Relationship Type="http://schemas.openxmlformats.org/officeDocument/2006/relationships/hyperlink" Id="rId162" Target="https://www.cisa.gov/stopransomware/ransomware-guide" TargetMode="External" /><Relationship Type="http://schemas.openxmlformats.org/officeDocument/2006/relationships/hyperlink" Id="rId163" Target="https://www.iso.org/standard/75106.html" TargetMode="External" /><Relationship Type="http://schemas.openxmlformats.org/officeDocument/2006/relationships/hyperlink" Id="rId165" Target="https://www.iso.org/standard/75107.html" TargetMode="External" /><Relationship Type="http://schemas.openxmlformats.org/officeDocument/2006/relationships/hyperlink" Id="rId166" Target="https://www.iso.org/standard/79000.html" TargetMode="External" /><Relationship Type="http://schemas.openxmlformats.org/officeDocument/2006/relationships/hyperlink" Id="rId164" Target="https://www.iso.org/standard/88412.html" TargetMode="External" /><Relationship Type="http://schemas.openxmlformats.org/officeDocument/2006/relationships/hyperlink" Id="rId97" Target="https://www.misp-project.org/" TargetMode="External" /><Relationship Type="http://schemas.openxmlformats.org/officeDocument/2006/relationships/hyperlink" Id="rId159" Target="https://www.nist.gov/cyberframework" TargetMode="External" /><Relationship Type="http://schemas.openxmlformats.org/officeDocument/2006/relationships/hyperlink" Id="rId111" Target="https://www.osquery.io/" TargetMode="External" /><Relationship Type="http://schemas.openxmlformats.org/officeDocument/2006/relationships/hyperlink" Id="rId113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2026-07-29T01:04:16Z</dcterms:created>
  <dcterms:modified xsi:type="dcterms:W3CDTF">2026-07-29T01:04:16Z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