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37 — Implementação Controlada de Proteção de Dados / Habeas Data da Colômbia</w:t>
      </w:r>
    </w:p>
    <w:p>
      <w:pPr>
        <w:spacing w:after="120"/>
      </w:pPr>
      <w:r>
        <w:t>**Idioma:** Português do Brasil (pt-BR)</w:t>
      </w:r>
    </w:p>
    <w:p>
      <w:pPr>
        <w:spacing w:after="120"/>
      </w:pPr>
      <w:r>
        <w:t>**Linha de base controlada:** Ley Estatutaria 1581 de 2012, disposições aplicáveis consolidadas no Decreto 1074 de 2015 e instruções vinculantes vigentes da SIC verificadas em 31-08-2026.</w:t>
      </w:r>
    </w:p>
    <w:p>
      <w:pPr>
        <w:spacing w:after="120"/>
      </w:pPr>
      <w:r>
        <w:t>**Limite:** Direitos constitucionais, lei, decreto, instruções SIC vinculantes, orientação/enforcement SIC, regimes especiais, contratos e prática organizacional permanecem separados. Esta é tradução de projeto não oficial, não aconselhamento jurídico nem aprovação da SIC.</w:t>
      </w:r>
    </w:p>
    <w:p>
      <w:pPr>
        <w:pStyle w:val="Heading2"/>
      </w:pPr>
      <w:r>
        <w:t>Chapter 01 — Objetivo, escopo e hierarquia controlada de fontes</w:t>
      </w:r>
    </w:p>
    <w:p>
      <w:pPr>
        <w:spacing w:after="120"/>
      </w:pPr>
      <w:r>
        <w:t>Use princípios constitucionais de privacidade/habeas data, Ley 1581, decretos aplicáveis e instruções SIC vinculantes conforme seu status real. Mantenha separadas orientações, enforcement, regimes especiais, contratos e procedimentos internos.</w:t>
      </w:r>
    </w:p>
    <w:p>
      <w:pPr>
        <w:spacing w:after="120"/>
      </w:pPr>
      <w:r>
        <w:t>Preserve registro datado de fontes, owner de aplicabilidade, change watch e reverificação de release.</w:t>
      </w:r>
    </w:p>
    <w:p>
      <w:pPr>
        <w:pStyle w:val="Heading2"/>
      </w:pPr>
      <w:r>
        <w:t>Chapter 02 — Contexto constitucional de habeas data e privacidade</w:t>
      </w:r>
    </w:p>
    <w:p>
      <w:pPr>
        <w:spacing w:after="120"/>
      </w:pPr>
      <w:r>
        <w:t>Mapeie direitos constitucionais de acesso, atualização, retificação, circulação, privacidade e autodeterminação informacional, distinguindo-os das obrigações operacionais da Ley 1581 e regimes setoriais.</w:t>
      </w:r>
    </w:p>
    <w:p>
      <w:pPr>
        <w:spacing w:after="120"/>
      </w:pPr>
      <w:r>
        <w:t>Preserve source mapping, policy traceability, procedimentos de direitos e critérios de escalonamento.</w:t>
      </w:r>
    </w:p>
    <w:p>
      <w:pPr>
        <w:pStyle w:val="Heading2"/>
      </w:pPr>
      <w:r>
        <w:t>Chapter 03 — Aplicabilidade, exclusões e análise jurisdicional</w:t>
      </w:r>
    </w:p>
    <w:p>
      <w:pPr>
        <w:spacing w:after="120"/>
      </w:pPr>
      <w:r>
        <w:t>Documente se cada tratamento está no regime geral, em uma exclusão ou em regime especial. Não presuma que todas as bases ou entidades são reguladas da mesma forma.</w:t>
      </w:r>
    </w:p>
    <w:p>
      <w:pPr>
        <w:spacing w:after="120"/>
      </w:pPr>
      <w:r>
        <w:t>Preserve applicability assessments, fatos, exclusões, overlays especiais, reviewers e gatilhos de reavaliação.</w:t>
      </w:r>
    </w:p>
    <w:p>
      <w:pPr>
        <w:pStyle w:val="Heading2"/>
      </w:pPr>
      <w:r>
        <w:t>Chapter 04 — Categorias de dados e conceitos de tratamento</w:t>
      </w:r>
    </w:p>
    <w:p>
      <w:pPr>
        <w:spacing w:after="120"/>
      </w:pPr>
      <w:r>
        <w:t>Mantenha definições controladas de dados pessoais, sensíveis, públicos, privados e semiprivados; tratamento; banco de dados; titular; responsável; encarregado e conceitos relacionados.</w:t>
      </w:r>
    </w:p>
    <w:p>
      <w:pPr>
        <w:spacing w:after="120"/>
      </w:pPr>
      <w:r>
        <w:t>Preserve glossário, classificação, exemplos, decisões e histórico de mudanças.</w:t>
      </w:r>
    </w:p>
    <w:p>
      <w:pPr>
        <w:pStyle w:val="Heading2"/>
      </w:pPr>
      <w:r>
        <w:t>Chapter 05 — Responsável, encarregado e accountability</w:t>
      </w:r>
    </w:p>
    <w:p>
      <w:pPr>
        <w:spacing w:after="120"/>
      </w:pPr>
      <w:r>
        <w:t>Identifique papéis reais segundo decisões, instruções e fatos, não apenas labels contratuais. Defina accountability, escalonamento, rights support, segurança, incidentes e evidência.</w:t>
      </w:r>
    </w:p>
    <w:p>
      <w:pPr>
        <w:spacing w:after="120"/>
      </w:pPr>
      <w:r>
        <w:t>Preserve matrizes, instruções, contratos, owners e revisões.</w:t>
      </w:r>
    </w:p>
    <w:p>
      <w:pPr>
        <w:pStyle w:val="Heading2"/>
      </w:pPr>
      <w:r>
        <w:t>Chapter 06 — Governança, políticas e supervisão</w:t>
      </w:r>
    </w:p>
    <w:p>
      <w:pPr>
        <w:spacing w:after="120"/>
      </w:pPr>
      <w:r>
        <w:t>Estabeleça governança aprovada com ownership, funções responsáveis, oversight executivo, issue escalation, assurance e management review periódico. Integre privacy com security, legal, procurement, RH, produto, data, operações e risk.</w:t>
      </w:r>
    </w:p>
    <w:p>
      <w:pPr>
        <w:spacing w:after="120"/>
      </w:pPr>
      <w:r>
        <w:t>Preserve policies, RACI, comitês, training, dashboards, issues e corrective actions.</w:t>
      </w:r>
    </w:p>
    <w:p>
      <w:pPr>
        <w:pStyle w:val="Heading2"/>
      </w:pPr>
      <w:r>
        <w:t>Chapter 07 — Inventário, registro de tratamento e fluxos</w:t>
      </w:r>
    </w:p>
    <w:p>
      <w:pPr>
        <w:spacing w:after="120"/>
      </w:pPr>
      <w:r>
        <w:t>Mantenha inventário de databases, systems, finalidades, categorias, sensíveis, titulares, fontes, recipients, encarregados, localizações, transfers/transmissions, retention, security e owners.</w:t>
      </w:r>
    </w:p>
    <w:p>
      <w:pPr>
        <w:spacing w:after="120"/>
      </w:pPr>
      <w:r>
        <w:t>Atualize por mudanças de negócio, tecnologia, finalidade, vendor, fluxo ou lei.</w:t>
      </w:r>
    </w:p>
    <w:p>
      <w:pPr>
        <w:pStyle w:val="Heading2"/>
      </w:pPr>
      <w:r>
        <w:t>Chapter 08 — Autorização/consentimento e exceções</w:t>
      </w:r>
    </w:p>
    <w:p>
      <w:pPr>
        <w:spacing w:after="120"/>
      </w:pPr>
      <w:r>
        <w:t>Quando autorização for exigida, colete evidência informada para finalidades definidas. Quando houver exceção, documente fundamento e fatos em vez de fabricar consent evidence.</w:t>
      </w:r>
    </w:p>
    <w:p>
      <w:pPr>
        <w:spacing w:after="120"/>
      </w:pPr>
      <w:r>
        <w:t>Preserve texto/versão, timestamp, método, finalidade, revogação e exception rationale.</w:t>
      </w:r>
    </w:p>
    <w:p>
      <w:pPr>
        <w:pStyle w:val="Heading2"/>
      </w:pPr>
      <w:r>
        <w:t>Chapter 09 — Avisos de privacidade e deveres de informação</w:t>
      </w:r>
    </w:p>
    <w:p>
      <w:pPr>
        <w:spacing w:after="120"/>
      </w:pPr>
      <w:r>
        <w:t>Mantenha avisos/policies coerentes com tratamento real, autorização, finalidades, direitos, identidade do responsável, contatos, dados sensíveis, transferências/transmissões e condições relevantes.</w:t>
      </w:r>
    </w:p>
    <w:p>
      <w:pPr>
        <w:spacing w:after="120"/>
      </w:pPr>
      <w:r>
        <w:t>Preserve versões, approvals, publicação, readability e reconciliação com sistemas.</w:t>
      </w:r>
    </w:p>
    <w:p>
      <w:pPr>
        <w:pStyle w:val="Heading2"/>
      </w:pPr>
      <w:r>
        <w:t>Chapter 10 — Finalidade, necessidade, proporcionalidade, qualidade e circulação restrita</w:t>
      </w:r>
    </w:p>
    <w:p>
      <w:pPr>
        <w:spacing w:after="120"/>
      </w:pPr>
      <w:r>
        <w:t>Limite tratamento e circulação a finalidades legítimas, informadas e autorizadas ou legalmente permitidas. Mantenha qualidade razoável, proporcionalidade, necessidade, confidencialidade e access restriction.</w:t>
      </w:r>
    </w:p>
    <w:p>
      <w:pPr>
        <w:spacing w:after="120"/>
      </w:pPr>
      <w:r>
        <w:t>Preserve purpose registers, minimization reviews, quality controls, access reviews e remediation.</w:t>
      </w:r>
    </w:p>
    <w:p>
      <w:pPr>
        <w:pStyle w:val="Heading2"/>
      </w:pPr>
      <w:r>
        <w:t>Chapter 11 — Controles de dados sensíveis</w:t>
      </w:r>
    </w:p>
    <w:p>
      <w:pPr>
        <w:spacing w:after="120"/>
      </w:pPr>
      <w:r>
        <w:t>Trate dados sensíveis como risco elevado. Documente finalidade, base/autorização, necessidade, transparência, access restriction, security, sharing, retention e exceções aplicáveis.</w:t>
      </w:r>
    </w:p>
    <w:p>
      <w:pPr>
        <w:spacing w:after="120"/>
      </w:pPr>
      <w:r>
        <w:t>Preserve inventories, assessments, authorization/exception evidence, access e tests.</w:t>
      </w:r>
    </w:p>
    <w:p>
      <w:pPr>
        <w:pStyle w:val="Heading2"/>
      </w:pPr>
      <w:r>
        <w:t>Chapter 12 — Dados de crianças e adolescentes</w:t>
      </w:r>
    </w:p>
    <w:p>
      <w:pPr>
        <w:spacing w:after="120"/>
      </w:pPr>
      <w:r>
        <w:t>Aplique governança reforçada incluindo melhor interesse, direitos fundamentais, purpose limitation, transparência, minimização, security e autorização/exceção legal adequada.</w:t>
      </w:r>
    </w:p>
    <w:p>
      <w:pPr>
        <w:spacing w:after="120"/>
      </w:pPr>
      <w:r>
        <w:t>Preserve context assessment, notices, authorization analysis, safeguards e remediation.</w:t>
      </w:r>
    </w:p>
    <w:p>
      <w:pPr>
        <w:pStyle w:val="Heading2"/>
      </w:pPr>
      <w:r>
        <w:t>Chapter 13 — Consultas, reclamações, correção, atualização, supressão e revogação</w:t>
      </w:r>
    </w:p>
    <w:p>
      <w:pPr>
        <w:spacing w:after="120"/>
      </w:pPr>
      <w:r>
        <w:t>Opere procedimentos documentados para consultas/reclamações e correção, atualização, supressão e revogação quando cabíveis. Encaminhe conforme processo vigente e papel da organização.</w:t>
      </w:r>
    </w:p>
    <w:p>
      <w:pPr>
        <w:spacing w:after="120"/>
      </w:pPr>
      <w:r>
        <w:t>Preserve logs, scope, buscas, decisões, respostas e closure evidence.</w:t>
      </w:r>
    </w:p>
    <w:p>
      <w:pPr>
        <w:pStyle w:val="Heading2"/>
      </w:pPr>
      <w:r>
        <w:t>Chapter 14 — Validação de identidade, representação, prazos e evidência</w:t>
      </w:r>
    </w:p>
    <w:p>
      <w:pPr>
        <w:spacing w:after="120"/>
      </w:pPr>
      <w:r>
        <w:t>Verifique identidade/representação proporcionalmente, proteja contra disclosure não autorizado e acompanhe prazos legais e extensões. Diferencie deadlines legais de service targets voluntários.</w:t>
      </w:r>
    </w:p>
    <w:p>
      <w:pPr>
        <w:spacing w:after="120"/>
      </w:pPr>
      <w:r>
        <w:t>Preserve identity evidence, timestamps, correspondence, extensions e metrics.</w:t>
      </w:r>
    </w:p>
    <w:p>
      <w:pPr>
        <w:pStyle w:val="Heading2"/>
      </w:pPr>
      <w:r>
        <w:t>Chapter 15 — Salvaguardas de segurança</w:t>
      </w:r>
    </w:p>
    <w:p>
      <w:pPr>
        <w:spacing w:after="120"/>
      </w:pPr>
      <w:r>
        <w:t>Implemente controles administrativos, técnicos e físicos proporcionais. Integre IAM, secure configuration, encryption quando apropriado, logging, vulnerability management, secure development, physical security, monitoring, resilience e incident response.</w:t>
      </w:r>
    </w:p>
    <w:p>
      <w:pPr>
        <w:spacing w:after="120"/>
      </w:pPr>
      <w:r>
        <w:t>Preserve mappings, tests, vulnerabilities, exceptions e corrective actions.</w:t>
      </w:r>
    </w:p>
    <w:p>
      <w:pPr>
        <w:pStyle w:val="Heading2"/>
      </w:pPr>
      <w:r>
        <w:t>Chapter 16 — Incidentes, escalonamento e reporte</w:t>
      </w:r>
    </w:p>
    <w:p>
      <w:pPr>
        <w:spacing w:after="120"/>
      </w:pPr>
      <w:r>
        <w:t>Use processo documentado para determinar afetação de dados, preservar evidência, avaliar alcance/dano, escalar e cumprir obrigações SIC/RNBD onde aplicáveis. Não trate reportes RNBD como universais sem applicability analysis.</w:t>
      </w:r>
    </w:p>
    <w:p>
      <w:pPr>
        <w:spacing w:after="120"/>
      </w:pPr>
      <w:r>
        <w:t>Preserve facts, detection time, assessment, decision authority, reporting evidence e remediation.</w:t>
      </w:r>
    </w:p>
    <w:p>
      <w:pPr>
        <w:pStyle w:val="Heading2"/>
      </w:pPr>
      <w:r>
        <w:t>Chapter 17 — Risco de privacidade e tratamento de alto risco</w:t>
      </w:r>
    </w:p>
    <w:p>
      <w:pPr>
        <w:spacing w:after="120"/>
      </w:pPr>
      <w:r>
        <w:t>Avalie risco para dados sensíveis, grupos vulneráveis, monitoring, profiling, grande escala, novas tecnologias ou secondary use inesperado. Aplique controles adicionais e management escalation quando necessário.</w:t>
      </w:r>
    </w:p>
    <w:p>
      <w:pPr>
        <w:spacing w:after="120"/>
      </w:pPr>
      <w:r>
        <w:t>Preserve methodology, assessments, residual risk, safeguards e approvals.</w:t>
      </w:r>
    </w:p>
    <w:p>
      <w:pPr>
        <w:pStyle w:val="Heading2"/>
      </w:pPr>
      <w:r>
        <w:t>Chapter 18 — Aplicabilidade e operação do RNBD</w:t>
      </w:r>
    </w:p>
    <w:p>
      <w:pPr>
        <w:spacing w:after="120"/>
      </w:pPr>
      <w:r>
        <w:t>Documente se a entidade/bases atendem aos critérios vigentes de registro e mantenha registros/updates apenas quando exigidos. Preserve thresholds, categories, update duties, incident relationships e mudanças da Circular Única.</w:t>
      </w:r>
    </w:p>
    <w:p>
      <w:pPr>
        <w:spacing w:after="120"/>
      </w:pPr>
      <w:r>
        <w:t>Preserve applicability analysis, RNBD records, update logs e incident evidence.</w:t>
      </w:r>
    </w:p>
    <w:p>
      <w:pPr>
        <w:pStyle w:val="Heading2"/>
      </w:pPr>
      <w:r>
        <w:t>Chapter 19 — Transferências internacionais e exceções</w:t>
      </w:r>
    </w:p>
    <w:p>
      <w:pPr>
        <w:spacing w:after="120"/>
      </w:pPr>
      <w:r>
        <w:t>Para transferências em que o receptor atua como responsável, avalie destino, condições, exceções, mecanismos de conformidade, autorização ou outros requisitos vigentes. Não trate declaração de conformidade como permissão geral.</w:t>
      </w:r>
    </w:p>
    <w:p>
      <w:pPr>
        <w:spacing w:after="120"/>
      </w:pPr>
      <w:r>
        <w:t>Preserve transfer inventory, recipient role, mechanism/exception, SIC evidence, contracts e reassessment.</w:t>
      </w:r>
    </w:p>
    <w:p>
      <w:pPr>
        <w:pStyle w:val="Heading2"/>
      </w:pPr>
      <w:r>
        <w:t>Chapter 20 — Transmissões nacionais/internacionais e contratos de encarregado</w:t>
      </w:r>
    </w:p>
    <w:p>
      <w:pPr>
        <w:spacing w:after="120"/>
      </w:pPr>
      <w:r>
        <w:t>Para transmissions sob instruções, mantenha acordos que definam scope, purpose, security, confidentiality, rights support, incidents, subcontracting, deletion/return e transfer conditions.</w:t>
      </w:r>
    </w:p>
    <w:p>
      <w:pPr>
        <w:spacing w:after="120"/>
      </w:pPr>
      <w:r>
        <w:t>Preserve transmission register, agreements, instructions, due diligence e monitoring.</w:t>
      </w:r>
    </w:p>
    <w:p>
      <w:pPr>
        <w:pStyle w:val="Heading2"/>
      </w:pPr>
      <w:r>
        <w:t>Chapter 21 — Lifecycle de vendors, encarregados e terceiros</w:t>
      </w:r>
    </w:p>
    <w:p>
      <w:pPr>
        <w:spacing w:after="120"/>
      </w:pPr>
      <w:r>
        <w:t>Avalie terceiros antes e durante a relação. Alinhe role classification, instructions, purposes, security, rights support, incident cooperation, location, international flows, retention, audit e exit.</w:t>
      </w:r>
    </w:p>
    <w:p>
      <w:pPr>
        <w:spacing w:after="120"/>
      </w:pPr>
      <w:r>
        <w:t>Preserve due diligence, contracts, registers, monitoring, findings e termination evidence.</w:t>
      </w:r>
    </w:p>
    <w:p>
      <w:pPr>
        <w:pStyle w:val="Heading2"/>
      </w:pPr>
      <w:r>
        <w:t>Chapter 22 — Cloud, SaaS, serviços gerenciados e responsabilidade compartilhada</w:t>
      </w:r>
    </w:p>
    <w:p>
      <w:pPr>
        <w:spacing w:after="120"/>
      </w:pPr>
      <w:r>
        <w:t>Mapeie locations, support access, admins, subprocessors, telemetry, backups, encryption, retention, deletion, controls e flows internacionais. Resolva papéis e cross-border conditions antes de produção.</w:t>
      </w:r>
    </w:p>
    <w:p>
      <w:pPr>
        <w:spacing w:after="120"/>
      </w:pPr>
      <w:r>
        <w:t>Preserve architecture/data-flow maps, configurations, shared responsibility, contracts e exit plans.</w:t>
      </w:r>
    </w:p>
    <w:p>
      <w:pPr>
        <w:pStyle w:val="Heading2"/>
      </w:pPr>
      <w:r>
        <w:t>Chapter 23 — Marketing, analytics, profiling, monitoring e canais digitais</w:t>
      </w:r>
    </w:p>
    <w:p>
      <w:pPr>
        <w:spacing w:after="120"/>
      </w:pPr>
      <w:r>
        <w:t>Governe marketing, cookies/trackers, analytics, profiling, personalization e monitoring conforme authorization, notice, purpose, necessity, security e rights. Mapeie overlays consumer/e-commerce separadamente.</w:t>
      </w:r>
    </w:p>
    <w:p>
      <w:pPr>
        <w:spacing w:after="120"/>
      </w:pPr>
      <w:r>
        <w:t>Preserve use-case assessments, basis, notices, configuration evidence e complaints.</w:t>
      </w:r>
    </w:p>
    <w:p>
      <w:pPr>
        <w:pStyle w:val="Heading2"/>
      </w:pPr>
      <w:r>
        <w:t>Chapter 24 — Dados laborais</w:t>
      </w:r>
    </w:p>
    <w:p>
      <w:pPr>
        <w:spacing w:after="120"/>
      </w:pPr>
      <w:r>
        <w:t>Aplique deveres gerais a empregados, candidatos e contractors separando normas trabalhistas e outras especiais. Limite access/monitoring a finalidades documentadas e controles proporcionais.</w:t>
      </w:r>
    </w:p>
    <w:p>
      <w:pPr>
        <w:spacing w:after="120"/>
      </w:pPr>
      <w:r>
        <w:t>Preserve workforce notices, authorization/exceptions, access reviews, retention e training.</w:t>
      </w:r>
    </w:p>
    <w:p>
      <w:pPr>
        <w:pStyle w:val="Heading2"/>
      </w:pPr>
      <w:r>
        <w:t>Chapter 25 — Retenção, arquivo, supressão e descarte</w:t>
      </w:r>
    </w:p>
    <w:p>
      <w:pPr>
        <w:spacing w:after="120"/>
      </w:pPr>
      <w:r>
        <w:t>Defina retention conforme finalidade, lei, claims, records, contracts e necessidade. Implemente deletion, suppression/blocking, archive, backup e secure disposal conforme fundamento aplicável.</w:t>
      </w:r>
    </w:p>
    <w:p>
      <w:pPr>
        <w:spacing w:after="120"/>
      </w:pPr>
      <w:r>
        <w:t>Preserve schedules, deletion/suppression evidence, legal holds e disposal records.</w:t>
      </w:r>
    </w:p>
    <w:p>
      <w:pPr>
        <w:pStyle w:val="Heading2"/>
      </w:pPr>
      <w:r>
        <w:t>Chapter 26 — Circulares SIC, investigações, sanções e readiness</w:t>
      </w:r>
    </w:p>
    <w:p>
      <w:pPr>
        <w:spacing w:after="120"/>
      </w:pPr>
      <w:r>
        <w:t>Mantenha obligation register que diferencie instruções/circulares vinculantes de guidance, concepts, FAQs, enforcement facts e propostas. Prepare resposta controlada a investigações e requerimentos.</w:t>
      </w:r>
    </w:p>
    <w:p>
      <w:pPr>
        <w:spacing w:after="120"/>
      </w:pPr>
      <w:r>
        <w:t>Preserve SIC register, investigation protocol, legal holds, response packages, findings e corrective actions.</w:t>
      </w:r>
    </w:p>
    <w:p>
      <w:pPr>
        <w:pStyle w:val="Heading2"/>
      </w:pPr>
      <w:r>
        <w:t>Chapter 27 — Regimes setoriais e especiais</w:t>
      </w:r>
    </w:p>
    <w:p>
      <w:pPr>
        <w:spacing w:after="120"/>
      </w:pPr>
      <w:r>
        <w:t>Identifique habeas data financeiro/creditício, health, telecom, employment, children, public-sector, consumer, electoral e outros regimes separados do marco geral.</w:t>
      </w:r>
    </w:p>
    <w:p>
      <w:pPr>
        <w:spacing w:after="120"/>
      </w:pPr>
      <w:r>
        <w:t>Preserve overlay matrices, applicability decisions, citations, owners e change watch.</w:t>
      </w:r>
    </w:p>
    <w:p>
      <w:pPr>
        <w:pStyle w:val="Heading2"/>
      </w:pPr>
      <w:r>
        <w:t>Chapter 28 — Arquitetura de evidência e audit trail</w:t>
      </w:r>
    </w:p>
    <w:p>
      <w:pPr>
        <w:spacing w:after="120"/>
      </w:pPr>
      <w:r>
        <w:t>Crie rastreabilidade de requirement/source até owner, procedure, system/control, test, exception, remediation e decision. Proteja integrity, access, confidentiality, retention e version history.</w:t>
      </w:r>
    </w:p>
    <w:p>
      <w:pPr>
        <w:spacing w:after="120"/>
      </w:pPr>
      <w:r>
        <w:t>Preserve evidence indexes, control maps, workpapers, logs, approvals e provenance.</w:t>
      </w:r>
    </w:p>
    <w:p>
      <w:pPr>
        <w:pStyle w:val="Heading2"/>
      </w:pPr>
      <w:r>
        <w:t>Chapter 29 — Exceções, remediação e risk acceptance</w:t>
      </w:r>
    </w:p>
    <w:p>
      <w:pPr>
        <w:spacing w:after="120"/>
      </w:pPr>
      <w:r>
        <w:t>Exija exceções com scope, rationale, compensating controls, owner, approval, residual risk, duration e expiration. Escale issues vencidos/materiais a management e liderança legal/privacy.</w:t>
      </w:r>
    </w:p>
    <w:p>
      <w:pPr>
        <w:spacing w:after="120"/>
      </w:pPr>
      <w:r>
        <w:t>Preserve exception registers, corrective actions, risk acceptances, dashboards e closure evidence.</w:t>
      </w:r>
    </w:p>
    <w:p>
      <w:pPr>
        <w:pStyle w:val="Heading2"/>
      </w:pPr>
      <w:r>
        <w:t>Chapter 30 — Reformas e change watch SIC</w:t>
      </w:r>
    </w:p>
    <w:p>
      <w:pPr>
        <w:spacing w:after="120"/>
      </w:pPr>
      <w:r>
        <w:t>Monitore mudanças promulgadas à Ley 1581/Decreto 1074, Circular Única Título V, RNBD, incidentes, transfer/transmission procedures, regras corporativas vinculantes, sanções e overlays. Trate propostas apenas como change-watch até vigência.</w:t>
      </w:r>
    </w:p>
    <w:p>
      <w:pPr>
        <w:spacing w:after="120"/>
      </w:pPr>
      <w:r>
        <w:t>Preserve source snapshots, change assessments, implementation plans e effective dates.</w:t>
      </w:r>
    </w:p>
    <w:p>
      <w:pPr>
        <w:pStyle w:val="Heading2"/>
      </w:pPr>
      <w:r>
        <w:t>Chapter 31 — Exact-hash, localização, provenance e release evidence</w:t>
      </w:r>
    </w:p>
    <w:p>
      <w:pPr>
        <w:spacing w:after="120"/>
      </w:pPr>
      <w:r>
        <w:t>Congele controlled source antes do candidate build. Vincule EN/es-419/pt-BR DOCX/PDF a SHA-256 exatos e preserve accessibility, render, localization, source, workflow-security e release-QA.</w:t>
      </w:r>
    </w:p>
    <w:p>
      <w:pPr>
        <w:spacing w:after="120"/>
      </w:pPr>
      <w:r>
        <w:t>Toda mudança material pós-freeze exige supersession, regeneration, re-hashing e re-review.</w:t>
      </w:r>
    </w:p>
    <w:p>
      <w:pPr>
        <w:pStyle w:val="Heading2"/>
      </w:pPr>
      <w:r>
        <w:t>Chapter 32 — Roadmap, maturidade e reverificação de release</w:t>
      </w:r>
    </w:p>
    <w:p>
      <w:pPr>
        <w:spacing w:after="120"/>
      </w:pPr>
      <w:r>
        <w:t>Implemente em fases: applicability/inventory, authorizations/notices, rights, RNBD, security/incidents, transfers/transmissions/vendors, high-risk uses e assurance/evidence. Meça maturidade com outcomes respaldados por evidência.</w:t>
      </w:r>
    </w:p>
    <w:p>
      <w:pPr>
        <w:spacing w:after="120"/>
      </w:pPr>
      <w:r>
        <w:t>Antes de publicar, reverifique Ley 1581/2012, Decreto 1074/2015, Circular Única Título V, RNBD/incidents, transfer/transmission procedures, processos de conformidade 2026, binding corporate rules, sanctions/enforcement e reformas promulgadas. Publicação permanece após o Manual 36 com todos os gates em verde.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