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39 — Implementación Controlada de COPPA</w:t>
      </w:r>
    </w:p>
    <w:p>
      <w:pPr>
        <w:spacing w:after="120"/>
      </w:pPr>
      <w:r>
        <w:t>**Línea base controlada:** Children's Online Privacy Protection Act, 15 U.S.C. §§ 6501–6506, y 16 CFR Part 312 vigente, incluidas las enmiendas finales de la FTC de 2025.</w:t>
      </w:r>
    </w:p>
    <w:p>
      <w:pPr>
        <w:spacing w:after="120"/>
      </w:pPr>
      <w:r>
        <w:t>**Límite:** guidance, policy statements, materiales de safe harbor de la FTC, leyes estatales de privacidad infantil, obligaciones educativas, contratos y prácticas internas permanecen como capas separadas.</w:t>
      </w:r>
    </w:p>
    <w:p>
      <w:pPr>
        <w:spacing w:after="120"/>
      </w:pPr>
      <w:r>
        <w:t>**Regla de release:** reverificar 16 CFR Part 312, estado de enmiendas y fechas de vigencia al congelar el candidato.</w:t>
      </w:r>
    </w:p>
    <w:p>
      <w:pPr>
        <w:pStyle w:val="Heading2"/>
      </w:pPr>
      <w:r>
        <w:t>Chapter 01 — Propósito, alcance y jerarquía controlada de fuentes</w:t>
      </w:r>
    </w:p>
    <w:p>
      <w:pPr>
        <w:spacing w:after="120"/>
      </w:pPr>
      <w:r>
        <w:t>Defina alcance COPPA, jerarquía de fuentes, ownership y control de cambios. Mantenga registro de aplicabilidad, fuentes, responsables, evidencia y change watch.</w:t>
      </w:r>
    </w:p>
    <w:p>
      <w:pPr>
        <w:pStyle w:val="Heading2"/>
      </w:pPr>
      <w:r>
        <w:t>Chapter 02 — Aplicabilidad del operador y del servicio</w:t>
      </w:r>
    </w:p>
    <w:p>
      <w:pPr>
        <w:spacing w:after="120"/>
      </w:pPr>
      <w:r>
        <w:t>Determine si la organización actúa como operator o está dentro del alcance COPPA. Documente propiedad del sitio/app, relaciones de servicio, flujos de recolección y supuestos jurisdiccionales.</w:t>
      </w:r>
    </w:p>
    <w:p>
      <w:pPr>
        <w:pStyle w:val="Heading2"/>
      </w:pPr>
      <w:r>
        <w:t>Chapter 03 — Análisis de servicios dirigidos a niños</w:t>
      </w:r>
    </w:p>
    <w:p>
      <w:pPr>
        <w:spacing w:after="120"/>
      </w:pPr>
      <w:r>
        <w:t>Use factores documentados para evaluar si sitio, app, función o audiencia es child-directed. Conserve evidencia de audiencia, contenido, diseño, marketing, analytics y uso previsto.</w:t>
      </w:r>
    </w:p>
    <w:p>
      <w:pPr>
        <w:pStyle w:val="Heading2"/>
      </w:pPr>
      <w:r>
        <w:t>Chapter 04 — Conocimiento real y audiencias mixtas</w:t>
      </w:r>
    </w:p>
    <w:p>
      <w:pPr>
        <w:spacing w:after="120"/>
      </w:pPr>
      <w:r>
        <w:t>Defina cómo se identifica, escala y trata el actual knowledge respecto de menores de 13 años. Para mixed audiences, documente age-screening, consecuencias y controles contra evasión.</w:t>
      </w:r>
    </w:p>
    <w:p>
      <w:pPr>
        <w:pStyle w:val="Heading2"/>
      </w:pPr>
      <w:r>
        <w:t>Chapter 05 — Inventario de información personal</w:t>
      </w:r>
    </w:p>
    <w:p>
      <w:pPr>
        <w:spacing w:after="120"/>
      </w:pPr>
      <w:r>
        <w:t>Inventarie identificadores, contactos, persistent identifiers, medios, geolocalización, conducta, dispositivo, contenido generado por usuarios y demás información relevante. Mapee recolección, uso, disclosure, storage y deletion.</w:t>
      </w:r>
    </w:p>
    <w:p>
      <w:pPr>
        <w:pStyle w:val="Heading2"/>
      </w:pPr>
      <w:r>
        <w:t>Chapter 06 — Gobernanza y accountability</w:t>
      </w:r>
    </w:p>
    <w:p>
      <w:pPr>
        <w:spacing w:after="120"/>
      </w:pPr>
      <w:r>
        <w:t>Asigne roles legal/privacy, producto, security, engineering, marketing, data, procurement, support y executive. Mantenga RACI, approvals, exceptions y management-review evidence.</w:t>
      </w:r>
    </w:p>
    <w:p>
      <w:pPr>
        <w:pStyle w:val="Heading2"/>
      </w:pPr>
      <w:r>
        <w:t>Chapter 07 — Aviso directo a padres</w:t>
      </w:r>
    </w:p>
    <w:p>
      <w:pPr>
        <w:spacing w:after="120"/>
      </w:pPr>
      <w:r>
        <w:t>Defina cuándo y cómo se entrega direct notice antes de la recolección o de cambios materiales cuando corresponda. Mantenga versiones, evidencia de entrega, timing, aprobación y accessibility records.</w:t>
      </w:r>
    </w:p>
    <w:p>
      <w:pPr>
        <w:pStyle w:val="Heading2"/>
      </w:pPr>
      <w:r>
        <w:t>Chapter 08 — Aviso de privacidad en línea</w:t>
      </w:r>
    </w:p>
    <w:p>
      <w:pPr>
        <w:spacing w:after="120"/>
      </w:pPr>
      <w:r>
        <w:t>Mantenga un privacy notice claro, completo y vigente sobre operadores cubiertos, prácticas de información, derechos parentales, disclosures, retention y contactos aplicables.</w:t>
      </w:r>
    </w:p>
    <w:p>
      <w:pPr>
        <w:pStyle w:val="Heading2"/>
      </w:pPr>
      <w:r>
        <w:t>Chapter 09 — Marco de consentimiento parental verificable</w:t>
      </w:r>
    </w:p>
    <w:p>
      <w:pPr>
        <w:spacing w:after="120"/>
      </w:pPr>
      <w:r>
        <w:t>Establezca proceso controlado para seleccionar y operar métodos de verifiable parental consent adecuados al uso y riesgo. Conserve consentimiento, rationale, validación de identidad/autoridad y revocación.</w:t>
      </w:r>
    </w:p>
    <w:p>
      <w:pPr>
        <w:pStyle w:val="Heading2"/>
      </w:pPr>
      <w:r>
        <w:t>Chapter 10 — Excepciones al consentimiento</w:t>
      </w:r>
    </w:p>
    <w:p>
      <w:pPr>
        <w:spacing w:after="120"/>
      </w:pPr>
      <w:r>
        <w:t>Exija análisis documentado antes de depender de una recolección o uso que pueda proceder sin consentimiento previo. Registre base, alcance, propósito, datos, duración y controles contra expansión indebida.</w:t>
      </w:r>
    </w:p>
    <w:p>
      <w:pPr>
        <w:pStyle w:val="Heading2"/>
      </w:pPr>
      <w:r>
        <w:t>Chapter 11 — Minimización de datos</w:t>
      </w:r>
    </w:p>
    <w:p>
      <w:pPr>
        <w:spacing w:after="120"/>
      </w:pPr>
      <w:r>
        <w:t>Limite la recolección a información razonablemente necesaria para la participación del menor en la actividad o servicio, conforme a los requisitos aplicables. Mantenga necessity assessments y evidencia de diseño.</w:t>
      </w:r>
    </w:p>
    <w:p>
      <w:pPr>
        <w:pStyle w:val="Heading2"/>
      </w:pPr>
      <w:r>
        <w:t>Chapter 12 — Limitación de propósito y uso secundario</w:t>
      </w:r>
    </w:p>
    <w:p>
      <w:pPr>
        <w:spacing w:after="120"/>
      </w:pPr>
      <w:r>
        <w:t>Defina usos permitidos para datos de menores e impida secondary uses incompatibles, profiling, advertising o reutilización sin el análisis y consentimiento requeridos.</w:t>
      </w:r>
    </w:p>
    <w:p>
      <w:pPr>
        <w:pStyle w:val="Heading2"/>
      </w:pPr>
      <w:r>
        <w:t>Chapter 13 — Controles de publicidad y uso comercial</w:t>
      </w:r>
    </w:p>
    <w:p>
      <w:pPr>
        <w:spacing w:after="120"/>
      </w:pPr>
      <w:r>
        <w:t>Gobierne targeted advertising, behavioral advertising, contextual advertising, measurement, attribution y monetización relacionados con child data. Separe requisitos regulatorios de políticas internas de riesgo.</w:t>
      </w:r>
    </w:p>
    <w:p>
      <w:pPr>
        <w:pStyle w:val="Heading2"/>
      </w:pPr>
      <w:r>
        <w:t>Chapter 14 — Persistent identifiers, cookies y SDKs</w:t>
      </w:r>
    </w:p>
    <w:p>
      <w:pPr>
        <w:spacing w:after="120"/>
      </w:pPr>
      <w:r>
        <w:t>Inventarie cookies, pixels, SDKs, device identifiers, analytics, ad-tech y código embebido. Documente propósito, proveedor, flujos, configuración, efectos de consentimiento y controles de desactivación.</w:t>
      </w:r>
    </w:p>
    <w:p>
      <w:pPr>
        <w:pStyle w:val="Heading2"/>
      </w:pPr>
      <w:r>
        <w:t>Chapter 15 — Gobernanza de disclosures a terceros</w:t>
      </w:r>
    </w:p>
    <w:p>
      <w:pPr>
        <w:spacing w:after="120"/>
      </w:pPr>
      <w:r>
        <w:t>Controle disclosures a service providers, platforms, ad-tech, analytics, processors y otros recipients. Mantenga inventario, propósito, necesidad, contratos, restricciones downstream y monitoring.</w:t>
      </w:r>
    </w:p>
    <w:p>
      <w:pPr>
        <w:pStyle w:val="Heading2"/>
      </w:pPr>
      <w:r>
        <w:t>Chapter 16 — Ciclo de vida de vendors y service providers</w:t>
      </w:r>
    </w:p>
    <w:p>
      <w:pPr>
        <w:spacing w:after="120"/>
      </w:pPr>
      <w:r>
        <w:t>Aplique due diligence de child data antes del onboarding. Evalúe collection, use, disclosure, security, retention, subprocessors, incident support, deletion, audit rights y termination.</w:t>
      </w:r>
    </w:p>
    <w:p>
      <w:pPr>
        <w:pStyle w:val="Heading2"/>
      </w:pPr>
      <w:r>
        <w:t>Chapter 17 — Casos de uso escolares y EdTech</w:t>
      </w:r>
    </w:p>
    <w:p>
      <w:pPr>
        <w:spacing w:after="120"/>
      </w:pPr>
      <w:r>
        <w:t>Evalúe usos autorizados por escuelas sin asumir una excepción COPPA universal. Documente rol del operator, autoridad escolar, comunicaciones parentales, uso de datos, restricciones comerciales y overlays FERPA/estatales por separado.</w:t>
      </w:r>
    </w:p>
    <w:p>
      <w:pPr>
        <w:pStyle w:val="Heading2"/>
      </w:pPr>
      <w:r>
        <w:t>Chapter 18 — Acceso, revisión, eliminación y negativa parental</w:t>
      </w:r>
    </w:p>
    <w:p>
      <w:pPr>
        <w:spacing w:after="120"/>
      </w:pPr>
      <w:r>
        <w:t>Implemente workflows para derechos aplicables de padres a revisar información, pedir deletion y rechazar collection/use futura. Mantenga validación, timing, search, response y closure evidence.</w:t>
      </w:r>
    </w:p>
    <w:p>
      <w:pPr>
        <w:pStyle w:val="Heading2"/>
      </w:pPr>
      <w:r>
        <w:t>Chapter 19 — Age-screening y diseño neutral</w:t>
      </w:r>
    </w:p>
    <w:p>
      <w:pPr>
        <w:spacing w:after="120"/>
      </w:pPr>
      <w:r>
        <w:t>Diseñe age screens y audience controls sin inducir una respuesta específica. Mantenga pruebas, bypass monitoring, exception handling y product-change reviews.</w:t>
      </w:r>
    </w:p>
    <w:p>
      <w:pPr>
        <w:pStyle w:val="Heading2"/>
      </w:pPr>
      <w:r>
        <w:t>Chapter 20 — Salvaguardas de seguridad</w:t>
      </w:r>
    </w:p>
    <w:p>
      <w:pPr>
        <w:spacing w:after="120"/>
      </w:pPr>
      <w:r>
        <w:t>Implemente safeguards administrativos, técnicos y físicos razonables. Mantenga access controls, encryption decisions, secure configuration, logging, vulnerability management, monitoring y corrective actions.</w:t>
      </w:r>
    </w:p>
    <w:p>
      <w:pPr>
        <w:pStyle w:val="Heading2"/>
      </w:pPr>
      <w:r>
        <w:t>Chapter 21 — Retención y eliminación</w:t>
      </w:r>
    </w:p>
    <w:p>
      <w:pPr>
        <w:spacing w:after="120"/>
      </w:pPr>
      <w:r>
        <w:t>Conserve child personal information solo durante el tiempo razonablemente necesario para el propósito y elimínela de forma segura cuando deje de ser requerida, salvo excepciones documentadas.</w:t>
      </w:r>
    </w:p>
    <w:p>
      <w:pPr>
        <w:pStyle w:val="Heading2"/>
      </w:pPr>
      <w:r>
        <w:t>Chapter 22 — Incident response y breach analysis</w:t>
      </w:r>
    </w:p>
    <w:p>
      <w:pPr>
        <w:spacing w:after="120"/>
      </w:pPr>
      <w:r>
        <w:t>Integre incidentes de child data con incident response, revisión legal/privacy, evidence preservation, contratos, análisis de leyes estatales y obligaciones FTC/orders aplicables.</w:t>
      </w:r>
    </w:p>
    <w:p>
      <w:pPr>
        <w:pStyle w:val="Heading2"/>
      </w:pPr>
      <w:r>
        <w:t>Chapter 23 — Desarrollo de producto y privacy engineering</w:t>
      </w:r>
    </w:p>
    <w:p>
      <w:pPr>
        <w:spacing w:after="120"/>
      </w:pPr>
      <w:r>
        <w:t>Integre COPPA en requirements, design, architecture, testing, release, experimentation y change management. Requiera privacy review para nuevos datos, features, integrations y monetization changes.</w:t>
      </w:r>
    </w:p>
    <w:p>
      <w:pPr>
        <w:pStyle w:val="Heading2"/>
      </w:pPr>
      <w:r>
        <w:t>Chapter 24 — AI, personalización y funciones automatizadas</w:t>
      </w:r>
    </w:p>
    <w:p>
      <w:pPr>
        <w:spacing w:after="120"/>
      </w:pPr>
      <w:r>
        <w:t>Evalúe assistants, recommendations, moderation, profiling, inference, biometrics y generative features por collection, secondary use, model training, disclosure, retention y transparency risks.</w:t>
      </w:r>
    </w:p>
    <w:p>
      <w:pPr>
        <w:pStyle w:val="Heading2"/>
      </w:pPr>
      <w:r>
        <w:t>Chapter 25 — Gobernanza de safe harbor</w:t>
      </w:r>
    </w:p>
    <w:p>
      <w:pPr>
        <w:spacing w:after="120"/>
      </w:pPr>
      <w:r>
        <w:t>Si se depende de un FTC-approved COPPA safe harbor, documente membership, requisitos, monitoring, assessments, corrective actions y límite entre obligaciones del programa y la regla base.</w:t>
      </w:r>
    </w:p>
    <w:p>
      <w:pPr>
        <w:pStyle w:val="Heading2"/>
      </w:pPr>
      <w:r>
        <w:t>Chapter 26 — Overlays estatales de privacidad infantil y sectoriales</w:t>
      </w:r>
    </w:p>
    <w:p>
      <w:pPr>
        <w:spacing w:after="120"/>
      </w:pPr>
      <w:r>
        <w:t>Mantenga análisis separado para leyes child/teen privacy, consumer privacy, education, biometrics, health, gaming y otros overlays. No presente deberes del overlay como requisitos COPPA.</w:t>
      </w:r>
    </w:p>
    <w:p>
      <w:pPr>
        <w:pStyle w:val="Heading2"/>
      </w:pPr>
      <w:r>
        <w:t>Chapter 27 — Gestión de registros y evidencia</w:t>
      </w:r>
    </w:p>
    <w:p>
      <w:pPr>
        <w:spacing w:after="120"/>
      </w:pPr>
      <w:r>
        <w:t>Conserve notices, consent records, age-screening decisions, vendor records, data inventories, disclosures, rights requests, retention/deletion evidence, incidents, training, testing y approvals bajo retención controlada.</w:t>
      </w:r>
    </w:p>
    <w:p>
      <w:pPr>
        <w:pStyle w:val="Heading2"/>
      </w:pPr>
      <w:r>
        <w:t>Chapter 28 — Capacitación y competencia por rol</w:t>
      </w:r>
    </w:p>
    <w:p>
      <w:pPr>
        <w:spacing w:after="120"/>
      </w:pPr>
      <w:r>
        <w:t>Proporcione training por rol para product, engineering, design, marketing, data, privacy, legal, security, procurement, support y leadership. Registre completion, competency checks, remediation y refresh triggers.</w:t>
      </w:r>
    </w:p>
    <w:p>
      <w:pPr>
        <w:pStyle w:val="Heading2"/>
      </w:pPr>
      <w:r>
        <w:t>Chapter 29 — Assurance y testing</w:t>
      </w:r>
    </w:p>
    <w:p>
      <w:pPr>
        <w:spacing w:after="120"/>
      </w:pPr>
      <w:r>
        <w:t>Pruebe notices, consent flows, age screens, SDK inventories, vendor controls, rights handling, retention/deletion, security controls y decisiones child-directed. Mantenga samples, findings, remediation y retest evidence.</w:t>
      </w:r>
    </w:p>
    <w:p>
      <w:pPr>
        <w:pStyle w:val="Heading2"/>
      </w:pPr>
      <w:r>
        <w:t>Chapter 30 — Métricas y management review</w:t>
      </w:r>
    </w:p>
    <w:p>
      <w:pPr>
        <w:spacing w:after="120"/>
      </w:pPr>
      <w:r>
        <w:t>Controle consent failures, bypass rates, unauthorized SDKs, vendor findings, rights-request timing, retention exceptions, incidents, training completion y remediation aging.</w:t>
      </w:r>
    </w:p>
    <w:p>
      <w:pPr>
        <w:pStyle w:val="Heading2"/>
      </w:pPr>
      <w:r>
        <w:t>Chapter 31 — Localización exact-hash, provenance y evidencia de release</w:t>
      </w:r>
    </w:p>
    <w:p>
      <w:pPr>
        <w:spacing w:after="120"/>
      </w:pPr>
      <w:r>
        <w:t>Congele candidatos EN/es-419/pt-BR antes del review final. Vincule DOCX/PDF a SHA-256 y conserve evidencia de localization, accessibility, rendered-page, workflow-security y release QA.</w:t>
      </w:r>
    </w:p>
    <w:p>
      <w:pPr>
        <w:pStyle w:val="Heading2"/>
      </w:pPr>
      <w:r>
        <w:t>Chapter 32 — Roadmap de implementación y reverificación al release</w:t>
      </w:r>
    </w:p>
    <w:p>
      <w:pPr>
        <w:spacing w:after="120"/>
      </w:pPr>
      <w:r>
        <w:t>Implemente por fases: applicability; data inventory; notices/consent; product/vendor controls; rights; security; retention; assurance; metrics; continual improvement. Antes de publicar, reverifique texto FTC vigente, enmiendas, effective dates y overlays expresamente reclamados. La publicación permanece secuencial después del Manual 38.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