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Audit Readiness and Remediation Management Practical Manual</w:t>
      </w:r>
    </w:p>
    <w:p>
      <w:pPr>
        <w:pStyle w:val="Author"/>
      </w:pPr>
      <w:r>
        <w:t xml:space="preserve">Alberto Al Leiva</w:t>
      </w:r>
    </w:p>
    <w:p>
      <w:pPr>
        <w:pStyle w:val="Date"/>
      </w:pPr>
      <w:r>
        <w:t xml:space="preserve">1</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Xa5a749a69556304473c5bfbd7bfc8764840e921"/>
    <w:p>
      <w:pPr>
        <w:pStyle w:val="Heading1"/>
      </w:pPr>
      <w:r>
        <w:t xml:space="preserve">Audit Readiness and Remediation Management Practical Manual</w:t>
      </w:r>
    </w:p>
    <w:p>
      <w:pPr>
        <w:pStyle w:val="FirstParagraph"/>
      </w:pPr>
      <w:r>
        <w:t xml:space="preserve">This manual provides educational and operational guidance. It does not constitute legal, regulatory, certification, accounting, or formal audit advice.</w:t>
      </w:r>
    </w:p>
    <w:bookmarkEnd w:id="20"/>
    <w:bookmarkStart w:id="41" w:name="Xc623fda244584380d195290cb831a344d58df10"/>
    <w:p>
      <w:pPr>
        <w:pStyle w:val="Heading1"/>
      </w:pPr>
      <w:r>
        <w:t xml:space="preserve">Chapter 1 — Readiness Governance and Assessment Strategy</w:t>
      </w:r>
    </w:p>
    <w:bookmarkStart w:id="21" w:name="purpose-of-audit-readiness"/>
    <w:p>
      <w:pPr>
        <w:pStyle w:val="Heading2"/>
      </w:pPr>
      <w:r>
        <w:t xml:space="preserve">1.1 Purpose of audit readiness</w:t>
      </w:r>
    </w:p>
    <w:p>
      <w:pPr>
        <w:pStyle w:val="FirstParagraph"/>
      </w:pPr>
      <w:r>
        <w:t xml:space="preserve">Audit readiness is the sustained ability to demonstrate, with reliable and appropriately protected evidence, that applicable controls are designed, implemented, and operating as represented. It is not a last-minute document-collection exercise and it is not permission to create evidence after the fact.</w:t>
      </w:r>
    </w:p>
    <w:p>
      <w:pPr>
        <w:pStyle w:val="BodyText"/>
      </w:pPr>
      <w:r>
        <w:t xml:space="preserve">A mature readiness program helps the organization:</w:t>
      </w:r>
    </w:p>
    <w:p>
      <w:pPr>
        <w:numPr>
          <w:ilvl w:val="0"/>
          <w:numId w:val="1001"/>
        </w:numPr>
        <w:pStyle w:val="Compact"/>
      </w:pPr>
      <w:r>
        <w:t xml:space="preserve">understand applicable criteria and scope;</w:t>
      </w:r>
    </w:p>
    <w:p>
      <w:pPr>
        <w:numPr>
          <w:ilvl w:val="0"/>
          <w:numId w:val="1001"/>
        </w:numPr>
        <w:pStyle w:val="Compact"/>
      </w:pPr>
      <w:r>
        <w:t xml:space="preserve">assign accountable control owners;</w:t>
      </w:r>
    </w:p>
    <w:p>
      <w:pPr>
        <w:numPr>
          <w:ilvl w:val="0"/>
          <w:numId w:val="1001"/>
        </w:numPr>
        <w:pStyle w:val="Compact"/>
      </w:pPr>
      <w:r>
        <w:t xml:space="preserve">identify missing, weak, or inconsistent controls before an audit;</w:t>
      </w:r>
    </w:p>
    <w:p>
      <w:pPr>
        <w:numPr>
          <w:ilvl w:val="0"/>
          <w:numId w:val="1001"/>
        </w:numPr>
        <w:pStyle w:val="Compact"/>
      </w:pPr>
      <w:r>
        <w:t xml:space="preserve">collect evidence through repeatable processes;</w:t>
      </w:r>
    </w:p>
    <w:p>
      <w:pPr>
        <w:numPr>
          <w:ilvl w:val="0"/>
          <w:numId w:val="1001"/>
        </w:numPr>
        <w:pStyle w:val="Compact"/>
      </w:pPr>
      <w:r>
        <w:t xml:space="preserve">distinguish implementation gaps from documentation gaps;</w:t>
      </w:r>
    </w:p>
    <w:p>
      <w:pPr>
        <w:numPr>
          <w:ilvl w:val="0"/>
          <w:numId w:val="1001"/>
        </w:numPr>
        <w:pStyle w:val="Compact"/>
      </w:pPr>
      <w:r>
        <w:t xml:space="preserve">respond accurately to assessors;</w:t>
      </w:r>
    </w:p>
    <w:p>
      <w:pPr>
        <w:numPr>
          <w:ilvl w:val="0"/>
          <w:numId w:val="1001"/>
        </w:numPr>
        <w:pStyle w:val="Compact"/>
      </w:pPr>
      <w:r>
        <w:t xml:space="preserve">remediate findings based on root cause;</w:t>
      </w:r>
    </w:p>
    <w:p>
      <w:pPr>
        <w:numPr>
          <w:ilvl w:val="0"/>
          <w:numId w:val="1001"/>
        </w:numPr>
        <w:pStyle w:val="Compact"/>
      </w:pPr>
      <w:r>
        <w:t xml:space="preserve">validate that corrective actions work; and</w:t>
      </w:r>
    </w:p>
    <w:p>
      <w:pPr>
        <w:numPr>
          <w:ilvl w:val="0"/>
          <w:numId w:val="1001"/>
        </w:numPr>
        <w:pStyle w:val="Compact"/>
      </w:pPr>
      <w:r>
        <w:t xml:space="preserve">maintain readiness between formal assessments.</w:t>
      </w:r>
    </w:p>
    <w:bookmarkEnd w:id="21"/>
    <w:bookmarkStart w:id="28" w:name="readiness-principles"/>
    <w:p>
      <w:pPr>
        <w:pStyle w:val="Heading2"/>
      </w:pPr>
      <w:r>
        <w:t xml:space="preserve">1.2 Readiness principles</w:t>
      </w:r>
    </w:p>
    <w:bookmarkStart w:id="22" w:name="accuracy-over-appearance"/>
    <w:p>
      <w:pPr>
        <w:pStyle w:val="Heading3"/>
      </w:pPr>
      <w:r>
        <w:t xml:space="preserve">Accuracy over appearance</w:t>
      </w:r>
    </w:p>
    <w:p>
      <w:pPr>
        <w:pStyle w:val="FirstParagraph"/>
      </w:pPr>
      <w:r>
        <w:t xml:space="preserve">The objective is a truthful representation of the control environment. Teams must not alter dates, fabricate approvals, recreate historical records as though they were contemporaneous, conceal exceptions, or present planned controls as operating controls.</w:t>
      </w:r>
    </w:p>
    <w:bookmarkEnd w:id="22"/>
    <w:bookmarkStart w:id="23" w:name="criteria-traceability"/>
    <w:p>
      <w:pPr>
        <w:pStyle w:val="Heading3"/>
      </w:pPr>
      <w:r>
        <w:t xml:space="preserve">Criteria traceability</w:t>
      </w:r>
    </w:p>
    <w:p>
      <w:pPr>
        <w:pStyle w:val="FirstParagraph"/>
      </w:pPr>
      <w:r>
        <w:t xml:space="preserve">Every readiness conclusion should identify the exact requirement, control statement, contractual clause, policy obligation, or audit criterion being evaluated. Similar frameworks may use different definitions, evidence expectations, testing periods, and sampling rules.</w:t>
      </w:r>
    </w:p>
    <w:bookmarkEnd w:id="23"/>
    <w:bookmarkStart w:id="24" w:name="evidence-sufficiency-and-appropriateness"/>
    <w:p>
      <w:pPr>
        <w:pStyle w:val="Heading3"/>
      </w:pPr>
      <w:r>
        <w:t xml:space="preserve">Evidence sufficiency and appropriateness</w:t>
      </w:r>
    </w:p>
    <w:p>
      <w:pPr>
        <w:pStyle w:val="FirstParagraph"/>
      </w:pPr>
      <w:r>
        <w:t xml:space="preserve">Evidence should be relevant to the criterion, complete enough to support the conclusion, attributable to a reliable source, current for the review period, and protected according to its sensitivity.</w:t>
      </w:r>
    </w:p>
    <w:bookmarkEnd w:id="24"/>
    <w:bookmarkStart w:id="25" w:name="independence-and-challenge"/>
    <w:p>
      <w:pPr>
        <w:pStyle w:val="Heading3"/>
      </w:pPr>
      <w:r>
        <w:t xml:space="preserve">Independence and challenge</w:t>
      </w:r>
    </w:p>
    <w:p>
      <w:pPr>
        <w:pStyle w:val="FirstParagraph"/>
      </w:pPr>
      <w:r>
        <w:t xml:space="preserve">Self-assessment is useful but can be biased. Readiness reviews should include an appropriate level of independent challenge, especially for high-risk controls, recurring findings, management assertions, and closure decisions.</w:t>
      </w:r>
    </w:p>
    <w:bookmarkEnd w:id="25"/>
    <w:bookmarkStart w:id="26" w:name="risk-based-prioritization"/>
    <w:p>
      <w:pPr>
        <w:pStyle w:val="Heading3"/>
      </w:pPr>
      <w:r>
        <w:t xml:space="preserve">Risk-based prioritization</w:t>
      </w:r>
    </w:p>
    <w:p>
      <w:pPr>
        <w:pStyle w:val="FirstParagraph"/>
      </w:pPr>
      <w:r>
        <w:t xml:space="preserve">Not all gaps require equal attention. Prioritize according to potential impact, likelihood, regulatory or contractual exposure, control dependency, affected population, recurrence, and time required to remediate.</w:t>
      </w:r>
    </w:p>
    <w:bookmarkEnd w:id="26"/>
    <w:bookmarkStart w:id="27" w:name="sustainable-correction"/>
    <w:p>
      <w:pPr>
        <w:pStyle w:val="Heading3"/>
      </w:pPr>
      <w:r>
        <w:t xml:space="preserve">Sustainable correction</w:t>
      </w:r>
    </w:p>
    <w:p>
      <w:pPr>
        <w:pStyle w:val="FirstParagraph"/>
      </w:pPr>
      <w:r>
        <w:t xml:space="preserve">A finding is not closed merely because a document was produced or a configuration was changed. Closure requires evidence that the corrective action addresses the root cause, has been implemented, and operates effectively for an appropriate period.</w:t>
      </w:r>
    </w:p>
    <w:bookmarkEnd w:id="27"/>
    <w:bookmarkEnd w:id="28"/>
    <w:bookmarkStart w:id="36" w:name="governance-roles"/>
    <w:p>
      <w:pPr>
        <w:pStyle w:val="Heading2"/>
      </w:pPr>
      <w:r>
        <w:t xml:space="preserve">1.3 Governance roles</w:t>
      </w:r>
    </w:p>
    <w:bookmarkStart w:id="29" w:name="executive-sponsor"/>
    <w:p>
      <w:pPr>
        <w:pStyle w:val="Heading3"/>
      </w:pPr>
      <w:r>
        <w:t xml:space="preserve">Executive sponsor</w:t>
      </w:r>
    </w:p>
    <w:p>
      <w:pPr>
        <w:pStyle w:val="FirstParagraph"/>
      </w:pPr>
      <w:r>
        <w:t xml:space="preserve">The executive sponsor authorizes the readiness program, resolves cross-functional barriers, ensures resources are available, and receives material-risk escalation.</w:t>
      </w:r>
    </w:p>
    <w:bookmarkEnd w:id="29"/>
    <w:bookmarkStart w:id="30" w:name="readiness-program-lead"/>
    <w:p>
      <w:pPr>
        <w:pStyle w:val="Heading3"/>
      </w:pPr>
      <w:r>
        <w:t xml:space="preserve">Readiness program lead</w:t>
      </w:r>
    </w:p>
    <w:p>
      <w:pPr>
        <w:pStyle w:val="FirstParagraph"/>
      </w:pPr>
      <w:r>
        <w:t xml:space="preserve">The program lead manages scope, criteria, timelines, dependencies, review cadence, evidence coordination, issue escalation, reporting, and integration with formal audit activities.</w:t>
      </w:r>
    </w:p>
    <w:bookmarkEnd w:id="30"/>
    <w:bookmarkStart w:id="31" w:name="control-owner"/>
    <w:p>
      <w:pPr>
        <w:pStyle w:val="Heading3"/>
      </w:pPr>
      <w:r>
        <w:t xml:space="preserve">Control owner</w:t>
      </w:r>
    </w:p>
    <w:p>
      <w:pPr>
        <w:pStyle w:val="FirstParagraph"/>
      </w:pPr>
      <w:r>
        <w:t xml:space="preserve">The control owner is accountable for control design, implementation, evidence, known exceptions, corrective actions, and timely responses. Ownership cannot be delegated merely by assigning evidence collection to another person.</w:t>
      </w:r>
    </w:p>
    <w:bookmarkEnd w:id="31"/>
    <w:bookmarkStart w:id="32" w:name="evidence-provider"/>
    <w:p>
      <w:pPr>
        <w:pStyle w:val="Heading3"/>
      </w:pPr>
      <w:r>
        <w:t xml:space="preserve">Evidence provider</w:t>
      </w:r>
    </w:p>
    <w:p>
      <w:pPr>
        <w:pStyle w:val="FirstParagraph"/>
      </w:pPr>
      <w:r>
        <w:t xml:space="preserve">The evidence provider retrieves approved records from authoritative systems, documents provenance and time period, protects sensitive information, and avoids unsupported interpretation.</w:t>
      </w:r>
    </w:p>
    <w:bookmarkEnd w:id="32"/>
    <w:bookmarkStart w:id="33" w:name="reviewer-or-readiness-assessor"/>
    <w:p>
      <w:pPr>
        <w:pStyle w:val="Heading3"/>
      </w:pPr>
      <w:r>
        <w:t xml:space="preserve">Reviewer or readiness assessor</w:t>
      </w:r>
    </w:p>
    <w:p>
      <w:pPr>
        <w:pStyle w:val="FirstParagraph"/>
      </w:pPr>
      <w:r>
        <w:t xml:space="preserve">The reviewer evaluates design and operating evidence against defined criteria, documents procedures performed, records limitations, and distinguishes observations from substantiated findings.</w:t>
      </w:r>
    </w:p>
    <w:bookmarkEnd w:id="33"/>
    <w:bookmarkStart w:id="34" w:name="finding-owner"/>
    <w:p>
      <w:pPr>
        <w:pStyle w:val="Heading3"/>
      </w:pPr>
      <w:r>
        <w:t xml:space="preserve">Finding owner</w:t>
      </w:r>
    </w:p>
    <w:p>
      <w:pPr>
        <w:pStyle w:val="FirstParagraph"/>
      </w:pPr>
      <w:r>
        <w:t xml:space="preserve">The finding owner coordinates root-cause analysis, corrective-action planning, milestones, dependencies, validation evidence, and closure requests.</w:t>
      </w:r>
    </w:p>
    <w:bookmarkEnd w:id="34"/>
    <w:bookmarkStart w:id="35" w:name="risk-acceptor"/>
    <w:p>
      <w:pPr>
        <w:pStyle w:val="Heading3"/>
      </w:pPr>
      <w:r>
        <w:t xml:space="preserve">Risk acceptor</w:t>
      </w:r>
    </w:p>
    <w:p>
      <w:pPr>
        <w:pStyle w:val="FirstParagraph"/>
      </w:pPr>
      <w:r>
        <w:t xml:space="preserve">The authorized risk acceptor may approve a time-bound exception or residual risk within delegated authority. Acceptance must not be used to disguise noncompliance with obligations that cannot legally or contractually be waived.</w:t>
      </w:r>
    </w:p>
    <w:bookmarkEnd w:id="35"/>
    <w:bookmarkEnd w:id="36"/>
    <w:bookmarkStart w:id="37" w:name="readiness-charter"/>
    <w:p>
      <w:pPr>
        <w:pStyle w:val="Heading2"/>
      </w:pPr>
      <w:r>
        <w:t xml:space="preserve">1.4 Readiness charter</w:t>
      </w:r>
    </w:p>
    <w:p>
      <w:pPr>
        <w:pStyle w:val="FirstParagraph"/>
      </w:pPr>
      <w:r>
        <w:t xml:space="preserve">A readiness charter should define:</w:t>
      </w:r>
    </w:p>
    <w:p>
      <w:pPr>
        <w:numPr>
          <w:ilvl w:val="0"/>
          <w:numId w:val="1002"/>
        </w:numPr>
        <w:pStyle w:val="Compact"/>
      </w:pPr>
      <w:r>
        <w:t xml:space="preserve">purpose and expected outcomes;</w:t>
      </w:r>
    </w:p>
    <w:p>
      <w:pPr>
        <w:numPr>
          <w:ilvl w:val="0"/>
          <w:numId w:val="1002"/>
        </w:numPr>
        <w:pStyle w:val="Compact"/>
      </w:pPr>
      <w:r>
        <w:t xml:space="preserve">frameworks, standards, regulations, contracts, and policies in scope;</w:t>
      </w:r>
    </w:p>
    <w:p>
      <w:pPr>
        <w:numPr>
          <w:ilvl w:val="0"/>
          <w:numId w:val="1002"/>
        </w:numPr>
        <w:pStyle w:val="Compact"/>
      </w:pPr>
      <w:r>
        <w:t xml:space="preserve">systems, locations, processes, entities, data, and time periods in scope;</w:t>
      </w:r>
    </w:p>
    <w:p>
      <w:pPr>
        <w:numPr>
          <w:ilvl w:val="0"/>
          <w:numId w:val="1002"/>
        </w:numPr>
        <w:pStyle w:val="Compact"/>
      </w:pPr>
      <w:r>
        <w:t xml:space="preserve">governance roles and decision rights;</w:t>
      </w:r>
    </w:p>
    <w:p>
      <w:pPr>
        <w:numPr>
          <w:ilvl w:val="0"/>
          <w:numId w:val="1002"/>
        </w:numPr>
        <w:pStyle w:val="Compact"/>
      </w:pPr>
      <w:r>
        <w:t xml:space="preserve">independence expectations;</w:t>
      </w:r>
    </w:p>
    <w:p>
      <w:pPr>
        <w:numPr>
          <w:ilvl w:val="0"/>
          <w:numId w:val="1002"/>
        </w:numPr>
        <w:pStyle w:val="Compact"/>
      </w:pPr>
      <w:r>
        <w:t xml:space="preserve">evidence handling and confidentiality requirements;</w:t>
      </w:r>
    </w:p>
    <w:p>
      <w:pPr>
        <w:numPr>
          <w:ilvl w:val="0"/>
          <w:numId w:val="1002"/>
        </w:numPr>
        <w:pStyle w:val="Compact"/>
      </w:pPr>
      <w:r>
        <w:t xml:space="preserve">severity and escalation rules;</w:t>
      </w:r>
    </w:p>
    <w:p>
      <w:pPr>
        <w:numPr>
          <w:ilvl w:val="0"/>
          <w:numId w:val="1002"/>
        </w:numPr>
        <w:pStyle w:val="Compact"/>
      </w:pPr>
      <w:r>
        <w:t xml:space="preserve">reporting cadence;</w:t>
      </w:r>
    </w:p>
    <w:p>
      <w:pPr>
        <w:numPr>
          <w:ilvl w:val="0"/>
          <w:numId w:val="1002"/>
        </w:numPr>
        <w:pStyle w:val="Compact"/>
      </w:pPr>
      <w:r>
        <w:t xml:space="preserve">remediation and closure authority;</w:t>
      </w:r>
    </w:p>
    <w:p>
      <w:pPr>
        <w:numPr>
          <w:ilvl w:val="0"/>
          <w:numId w:val="1002"/>
        </w:numPr>
        <w:pStyle w:val="Compact"/>
      </w:pPr>
      <w:r>
        <w:t xml:space="preserve">quality-assurance requirements; and</w:t>
      </w:r>
    </w:p>
    <w:p>
      <w:pPr>
        <w:numPr>
          <w:ilvl w:val="0"/>
          <w:numId w:val="1002"/>
        </w:numPr>
        <w:pStyle w:val="Compact"/>
      </w:pPr>
      <w:r>
        <w:t xml:space="preserve">limitations and exclusions.</w:t>
      </w:r>
    </w:p>
    <w:bookmarkEnd w:id="37"/>
    <w:bookmarkStart w:id="38" w:name="assessment-universe-and-scope"/>
    <w:p>
      <w:pPr>
        <w:pStyle w:val="Heading2"/>
      </w:pPr>
      <w:r>
        <w:t xml:space="preserve">1.5 Assessment universe and scope</w:t>
      </w:r>
    </w:p>
    <w:p>
      <w:pPr>
        <w:pStyle w:val="FirstParagraph"/>
      </w:pPr>
      <w:r>
        <w:t xml:space="preserve">Maintain an assessment universe that identifies potential auditable entities such as business processes, systems, products, locations, vendors, legal entities, and control domains. Use risk, prior findings, material changes, incidents, regulatory commitments, and audit cycles to determine readiness priorities.</w:t>
      </w:r>
    </w:p>
    <w:p>
      <w:pPr>
        <w:pStyle w:val="BodyText"/>
      </w:pPr>
      <w:r>
        <w:t xml:space="preserve">For each engagement, document:</w:t>
      </w:r>
    </w:p>
    <w:p>
      <w:pPr>
        <w:numPr>
          <w:ilvl w:val="0"/>
          <w:numId w:val="1003"/>
        </w:numPr>
        <w:pStyle w:val="Compact"/>
      </w:pPr>
      <w:r>
        <w:t xml:space="preserve">objective;</w:t>
      </w:r>
    </w:p>
    <w:p>
      <w:pPr>
        <w:numPr>
          <w:ilvl w:val="0"/>
          <w:numId w:val="1003"/>
        </w:numPr>
        <w:pStyle w:val="Compact"/>
      </w:pPr>
      <w:r>
        <w:t xml:space="preserve">criteria and exact versions;</w:t>
      </w:r>
    </w:p>
    <w:p>
      <w:pPr>
        <w:numPr>
          <w:ilvl w:val="0"/>
          <w:numId w:val="1003"/>
        </w:numPr>
        <w:pStyle w:val="Compact"/>
      </w:pPr>
      <w:r>
        <w:t xml:space="preserve">scope boundaries;</w:t>
      </w:r>
    </w:p>
    <w:p>
      <w:pPr>
        <w:numPr>
          <w:ilvl w:val="0"/>
          <w:numId w:val="1003"/>
        </w:numPr>
        <w:pStyle w:val="Compact"/>
      </w:pPr>
      <w:r>
        <w:t xml:space="preserve">review period;</w:t>
      </w:r>
    </w:p>
    <w:p>
      <w:pPr>
        <w:numPr>
          <w:ilvl w:val="0"/>
          <w:numId w:val="1003"/>
        </w:numPr>
        <w:pStyle w:val="Compact"/>
      </w:pPr>
      <w:r>
        <w:t xml:space="preserve">populations and systems of record;</w:t>
      </w:r>
    </w:p>
    <w:p>
      <w:pPr>
        <w:numPr>
          <w:ilvl w:val="0"/>
          <w:numId w:val="1003"/>
        </w:numPr>
        <w:pStyle w:val="Compact"/>
      </w:pPr>
      <w:r>
        <w:t xml:space="preserve">exclusions and rationale;</w:t>
      </w:r>
    </w:p>
    <w:p>
      <w:pPr>
        <w:numPr>
          <w:ilvl w:val="0"/>
          <w:numId w:val="1003"/>
        </w:numPr>
        <w:pStyle w:val="Compact"/>
      </w:pPr>
      <w:r>
        <w:t xml:space="preserve">dependencies and inherited controls;</w:t>
      </w:r>
    </w:p>
    <w:p>
      <w:pPr>
        <w:numPr>
          <w:ilvl w:val="0"/>
          <w:numId w:val="1003"/>
        </w:numPr>
        <w:pStyle w:val="Compact"/>
      </w:pPr>
      <w:r>
        <w:t xml:space="preserve">sampling approach;</w:t>
      </w:r>
    </w:p>
    <w:p>
      <w:pPr>
        <w:numPr>
          <w:ilvl w:val="0"/>
          <w:numId w:val="1003"/>
        </w:numPr>
        <w:pStyle w:val="Compact"/>
      </w:pPr>
      <w:r>
        <w:t xml:space="preserve">planned procedures;</w:t>
      </w:r>
    </w:p>
    <w:p>
      <w:pPr>
        <w:numPr>
          <w:ilvl w:val="0"/>
          <w:numId w:val="1003"/>
        </w:numPr>
        <w:pStyle w:val="Compact"/>
      </w:pPr>
      <w:r>
        <w:t xml:space="preserve">stakeholders;</w:t>
      </w:r>
    </w:p>
    <w:p>
      <w:pPr>
        <w:numPr>
          <w:ilvl w:val="0"/>
          <w:numId w:val="1003"/>
        </w:numPr>
        <w:pStyle w:val="Compact"/>
      </w:pPr>
      <w:r>
        <w:t xml:space="preserve">milestones; and</w:t>
      </w:r>
    </w:p>
    <w:p>
      <w:pPr>
        <w:numPr>
          <w:ilvl w:val="0"/>
          <w:numId w:val="1003"/>
        </w:numPr>
        <w:pStyle w:val="Compact"/>
      </w:pPr>
      <w:r>
        <w:t xml:space="preserve">known limitations.</w:t>
      </w:r>
    </w:p>
    <w:bookmarkEnd w:id="38"/>
    <w:bookmarkStart w:id="39" w:name="readiness-lifecycle"/>
    <w:p>
      <w:pPr>
        <w:pStyle w:val="Heading2"/>
      </w:pPr>
      <w:r>
        <w:t xml:space="preserve">1.6 Readiness lifecycle</w:t>
      </w:r>
    </w:p>
    <w:p>
      <w:pPr>
        <w:pStyle w:val="FirstParagraph"/>
      </w:pPr>
      <w:r>
        <w:t xml:space="preserve">A controlled readiness lifecycle normally includes:</w:t>
      </w:r>
    </w:p>
    <w:p>
      <w:pPr>
        <w:numPr>
          <w:ilvl w:val="0"/>
          <w:numId w:val="1004"/>
        </w:numPr>
        <w:pStyle w:val="Compact"/>
      </w:pPr>
      <w:r>
        <w:t xml:space="preserve">authorize and define the engagement;</w:t>
      </w:r>
    </w:p>
    <w:p>
      <w:pPr>
        <w:numPr>
          <w:ilvl w:val="0"/>
          <w:numId w:val="1004"/>
        </w:numPr>
        <w:pStyle w:val="Compact"/>
      </w:pPr>
      <w:r>
        <w:t xml:space="preserve">confirm criteria and scope;</w:t>
      </w:r>
    </w:p>
    <w:p>
      <w:pPr>
        <w:numPr>
          <w:ilvl w:val="0"/>
          <w:numId w:val="1004"/>
        </w:numPr>
        <w:pStyle w:val="Compact"/>
      </w:pPr>
      <w:r>
        <w:t xml:space="preserve">map controls and owners;</w:t>
      </w:r>
    </w:p>
    <w:p>
      <w:pPr>
        <w:numPr>
          <w:ilvl w:val="0"/>
          <w:numId w:val="1004"/>
        </w:numPr>
        <w:pStyle w:val="Compact"/>
      </w:pPr>
      <w:r>
        <w:t xml:space="preserve">collect existing documentation and evidence;</w:t>
      </w:r>
    </w:p>
    <w:p>
      <w:pPr>
        <w:numPr>
          <w:ilvl w:val="0"/>
          <w:numId w:val="1004"/>
        </w:numPr>
        <w:pStyle w:val="Compact"/>
      </w:pPr>
      <w:r>
        <w:t xml:space="preserve">perform design review;</w:t>
      </w:r>
    </w:p>
    <w:p>
      <w:pPr>
        <w:numPr>
          <w:ilvl w:val="0"/>
          <w:numId w:val="1004"/>
        </w:numPr>
        <w:pStyle w:val="Compact"/>
      </w:pPr>
      <w:r>
        <w:t xml:space="preserve">perform operating-effectiveness review;</w:t>
      </w:r>
    </w:p>
    <w:p>
      <w:pPr>
        <w:numPr>
          <w:ilvl w:val="0"/>
          <w:numId w:val="1004"/>
        </w:numPr>
        <w:pStyle w:val="Compact"/>
      </w:pPr>
      <w:r>
        <w:t xml:space="preserve">document gaps, observations, and findings;</w:t>
      </w:r>
    </w:p>
    <w:p>
      <w:pPr>
        <w:numPr>
          <w:ilvl w:val="0"/>
          <w:numId w:val="1004"/>
        </w:numPr>
        <w:pStyle w:val="Compact"/>
      </w:pPr>
      <w:r>
        <w:t xml:space="preserve">prioritize and assign corrective actions;</w:t>
      </w:r>
    </w:p>
    <w:p>
      <w:pPr>
        <w:numPr>
          <w:ilvl w:val="0"/>
          <w:numId w:val="1004"/>
        </w:numPr>
        <w:pStyle w:val="Compact"/>
      </w:pPr>
      <w:r>
        <w:t xml:space="preserve">monitor remediation;</w:t>
      </w:r>
    </w:p>
    <w:p>
      <w:pPr>
        <w:numPr>
          <w:ilvl w:val="0"/>
          <w:numId w:val="1004"/>
        </w:numPr>
        <w:pStyle w:val="Compact"/>
      </w:pPr>
      <w:r>
        <w:t xml:space="preserve">validate implementation and sustained operation;</w:t>
      </w:r>
    </w:p>
    <w:p>
      <w:pPr>
        <w:numPr>
          <w:ilvl w:val="0"/>
          <w:numId w:val="1004"/>
        </w:numPr>
        <w:pStyle w:val="Compact"/>
      </w:pPr>
      <w:r>
        <w:t xml:space="preserve">approve closure or risk treatment;</w:t>
      </w:r>
    </w:p>
    <w:p>
      <w:pPr>
        <w:numPr>
          <w:ilvl w:val="0"/>
          <w:numId w:val="1004"/>
        </w:numPr>
        <w:pStyle w:val="Compact"/>
      </w:pPr>
      <w:r>
        <w:t xml:space="preserve">prepare management and assessor communications; and</w:t>
      </w:r>
    </w:p>
    <w:p>
      <w:pPr>
        <w:numPr>
          <w:ilvl w:val="0"/>
          <w:numId w:val="1004"/>
        </w:numPr>
        <w:pStyle w:val="Compact"/>
      </w:pPr>
      <w:r>
        <w:t xml:space="preserve">feed lessons into continuous monitoring and future planning.</w:t>
      </w:r>
    </w:p>
    <w:bookmarkEnd w:id="39"/>
    <w:bookmarkStart w:id="40" w:name="readiness-does-not-equal-certification"/>
    <w:p>
      <w:pPr>
        <w:pStyle w:val="Heading2"/>
      </w:pPr>
      <w:r>
        <w:t xml:space="preserve">1.7 Readiness does not equal certification</w:t>
      </w:r>
    </w:p>
    <w:p>
      <w:pPr>
        <w:pStyle w:val="FirstParagraph"/>
      </w:pPr>
      <w:r>
        <w:t xml:space="preserve">A successful internal readiness review does not guarantee a clean audit, certification, regulatory outcome, or customer acceptance. External assessors may apply different sampling, professional judgment, materiality, evidence expectations, or interpretations. Readiness results must therefore be described precisely and without guarantees.</w:t>
      </w:r>
    </w:p>
    <w:bookmarkEnd w:id="40"/>
    <w:bookmarkEnd w:id="41"/>
    <w:bookmarkStart w:id="50" w:name="Xc2493a203745b35b99ea45157ad2f526352e9a2"/>
    <w:p>
      <w:pPr>
        <w:pStyle w:val="Heading1"/>
      </w:pPr>
      <w:r>
        <w:t xml:space="preserve">Chapter 2 — Control Mapping and Readiness Assessment</w:t>
      </w:r>
    </w:p>
    <w:bookmarkStart w:id="42" w:name="build-a-criteria-to-control-map"/>
    <w:p>
      <w:pPr>
        <w:pStyle w:val="Heading2"/>
      </w:pPr>
      <w:r>
        <w:t xml:space="preserve">2.1 Build a criteria-to-control map</w:t>
      </w:r>
    </w:p>
    <w:p>
      <w:pPr>
        <w:pStyle w:val="FirstParagraph"/>
      </w:pPr>
      <w:r>
        <w:t xml:space="preserve">A readiness review begins with traceability. Map each applicable criterion to the organization’s control, owner, process, system, evidence source, frequency, population, dependency, and assessment procedure. Do not assume that one control satisfies every superficially similar requirement.</w:t>
      </w:r>
    </w:p>
    <w:p>
      <w:pPr>
        <w:pStyle w:val="BodyText"/>
      </w:pPr>
      <w:r>
        <w:t xml:space="preserve">The mapping should identify:</w:t>
      </w:r>
    </w:p>
    <w:p>
      <w:pPr>
        <w:numPr>
          <w:ilvl w:val="0"/>
          <w:numId w:val="1005"/>
        </w:numPr>
        <w:pStyle w:val="Compact"/>
      </w:pPr>
      <w:r>
        <w:t xml:space="preserve">criterion identifier and exact source version;</w:t>
      </w:r>
    </w:p>
    <w:p>
      <w:pPr>
        <w:numPr>
          <w:ilvl w:val="0"/>
          <w:numId w:val="1005"/>
        </w:numPr>
        <w:pStyle w:val="Compact"/>
      </w:pPr>
      <w:r>
        <w:t xml:space="preserve">requirement summary in original organizational language;</w:t>
      </w:r>
    </w:p>
    <w:p>
      <w:pPr>
        <w:numPr>
          <w:ilvl w:val="0"/>
          <w:numId w:val="1005"/>
        </w:numPr>
        <w:pStyle w:val="Compact"/>
      </w:pPr>
      <w:r>
        <w:t xml:space="preserve">control identifier and control objective;</w:t>
      </w:r>
    </w:p>
    <w:p>
      <w:pPr>
        <w:numPr>
          <w:ilvl w:val="0"/>
          <w:numId w:val="1005"/>
        </w:numPr>
        <w:pStyle w:val="Compact"/>
      </w:pPr>
      <w:r>
        <w:t xml:space="preserve">control owner and operator;</w:t>
      </w:r>
    </w:p>
    <w:p>
      <w:pPr>
        <w:numPr>
          <w:ilvl w:val="0"/>
          <w:numId w:val="1005"/>
        </w:numPr>
        <w:pStyle w:val="Compact"/>
      </w:pPr>
      <w:r>
        <w:t xml:space="preserve">systems, processes, locations, and populations covered;</w:t>
      </w:r>
    </w:p>
    <w:p>
      <w:pPr>
        <w:numPr>
          <w:ilvl w:val="0"/>
          <w:numId w:val="1005"/>
        </w:numPr>
        <w:pStyle w:val="Compact"/>
      </w:pPr>
      <w:r>
        <w:t xml:space="preserve">preventive, detective, corrective, or directive character;</w:t>
      </w:r>
    </w:p>
    <w:p>
      <w:pPr>
        <w:numPr>
          <w:ilvl w:val="0"/>
          <w:numId w:val="1005"/>
        </w:numPr>
        <w:pStyle w:val="Compact"/>
      </w:pPr>
      <w:r>
        <w:t xml:space="preserve">manual, automated, or hybrid operation;</w:t>
      </w:r>
    </w:p>
    <w:p>
      <w:pPr>
        <w:numPr>
          <w:ilvl w:val="0"/>
          <w:numId w:val="1005"/>
        </w:numPr>
        <w:pStyle w:val="Compact"/>
      </w:pPr>
      <w:r>
        <w:t xml:space="preserve">operating frequency;</w:t>
      </w:r>
    </w:p>
    <w:p>
      <w:pPr>
        <w:numPr>
          <w:ilvl w:val="0"/>
          <w:numId w:val="1005"/>
        </w:numPr>
        <w:pStyle w:val="Compact"/>
      </w:pPr>
      <w:r>
        <w:t xml:space="preserve">evidence source and retention location;</w:t>
      </w:r>
    </w:p>
    <w:p>
      <w:pPr>
        <w:numPr>
          <w:ilvl w:val="0"/>
          <w:numId w:val="1005"/>
        </w:numPr>
        <w:pStyle w:val="Compact"/>
      </w:pPr>
      <w:r>
        <w:t xml:space="preserve">inherited or shared-control dependencies;</w:t>
      </w:r>
    </w:p>
    <w:p>
      <w:pPr>
        <w:numPr>
          <w:ilvl w:val="0"/>
          <w:numId w:val="1005"/>
        </w:numPr>
        <w:pStyle w:val="Compact"/>
      </w:pPr>
      <w:r>
        <w:t xml:space="preserve">planned examine, interview, and test procedures;</w:t>
      </w:r>
    </w:p>
    <w:p>
      <w:pPr>
        <w:numPr>
          <w:ilvl w:val="0"/>
          <w:numId w:val="1005"/>
        </w:numPr>
        <w:pStyle w:val="Compact"/>
      </w:pPr>
      <w:r>
        <w:t xml:space="preserve">known exceptions; and</w:t>
      </w:r>
    </w:p>
    <w:p>
      <w:pPr>
        <w:numPr>
          <w:ilvl w:val="0"/>
          <w:numId w:val="1005"/>
        </w:numPr>
        <w:pStyle w:val="Compact"/>
      </w:pPr>
      <w:r>
        <w:t xml:space="preserve">readiness status.</w:t>
      </w:r>
    </w:p>
    <w:bookmarkEnd w:id="42"/>
    <w:bookmarkStart w:id="43" w:name="evaluate-control-design"/>
    <w:p>
      <w:pPr>
        <w:pStyle w:val="Heading2"/>
      </w:pPr>
      <w:r>
        <w:t xml:space="preserve">2.2 Evaluate control design</w:t>
      </w:r>
    </w:p>
    <w:p>
      <w:pPr>
        <w:pStyle w:val="FirstParagraph"/>
      </w:pPr>
      <w:r>
        <w:t xml:space="preserve">A design review asks whether the control, if performed as described, could reasonably achieve its objective. Evaluate whether:</w:t>
      </w:r>
    </w:p>
    <w:p>
      <w:pPr>
        <w:numPr>
          <w:ilvl w:val="0"/>
          <w:numId w:val="1006"/>
        </w:numPr>
        <w:pStyle w:val="Compact"/>
      </w:pPr>
      <w:r>
        <w:t xml:space="preserve">the control objective aligns with the criterion and risk;</w:t>
      </w:r>
    </w:p>
    <w:p>
      <w:pPr>
        <w:numPr>
          <w:ilvl w:val="0"/>
          <w:numId w:val="1006"/>
        </w:numPr>
        <w:pStyle w:val="Compact"/>
      </w:pPr>
      <w:r>
        <w:t xml:space="preserve">the control addresses the correct population and scope;</w:t>
      </w:r>
    </w:p>
    <w:p>
      <w:pPr>
        <w:numPr>
          <w:ilvl w:val="0"/>
          <w:numId w:val="1006"/>
        </w:numPr>
        <w:pStyle w:val="Compact"/>
      </w:pPr>
      <w:r>
        <w:t xml:space="preserve">responsibility and authority are clear;</w:t>
      </w:r>
    </w:p>
    <w:p>
      <w:pPr>
        <w:numPr>
          <w:ilvl w:val="0"/>
          <w:numId w:val="1006"/>
        </w:numPr>
        <w:pStyle w:val="Compact"/>
      </w:pPr>
      <w:r>
        <w:t xml:space="preserve">timing and frequency are appropriate;</w:t>
      </w:r>
    </w:p>
    <w:p>
      <w:pPr>
        <w:numPr>
          <w:ilvl w:val="0"/>
          <w:numId w:val="1006"/>
        </w:numPr>
        <w:pStyle w:val="Compact"/>
      </w:pPr>
      <w:r>
        <w:t xml:space="preserve">required inputs are reliable and complete;</w:t>
      </w:r>
    </w:p>
    <w:p>
      <w:pPr>
        <w:numPr>
          <w:ilvl w:val="0"/>
          <w:numId w:val="1006"/>
        </w:numPr>
        <w:pStyle w:val="Compact"/>
      </w:pPr>
      <w:r>
        <w:t xml:space="preserve">decision rules and thresholds are defined;</w:t>
      </w:r>
    </w:p>
    <w:p>
      <w:pPr>
        <w:numPr>
          <w:ilvl w:val="0"/>
          <w:numId w:val="1006"/>
        </w:numPr>
        <w:pStyle w:val="Compact"/>
      </w:pPr>
      <w:r>
        <w:t xml:space="preserve">exceptions are identified and escalated;</w:t>
      </w:r>
    </w:p>
    <w:p>
      <w:pPr>
        <w:numPr>
          <w:ilvl w:val="0"/>
          <w:numId w:val="1006"/>
        </w:numPr>
        <w:pStyle w:val="Compact"/>
      </w:pPr>
      <w:r>
        <w:t xml:space="preserve">evidence is retained;</w:t>
      </w:r>
    </w:p>
    <w:p>
      <w:pPr>
        <w:numPr>
          <w:ilvl w:val="0"/>
          <w:numId w:val="1006"/>
        </w:numPr>
        <w:pStyle w:val="Compact"/>
      </w:pPr>
      <w:r>
        <w:t xml:space="preserve">dependencies are understood; and</w:t>
      </w:r>
    </w:p>
    <w:p>
      <w:pPr>
        <w:numPr>
          <w:ilvl w:val="0"/>
          <w:numId w:val="1006"/>
        </w:numPr>
        <w:pStyle w:val="Compact"/>
      </w:pPr>
      <w:r>
        <w:t xml:space="preserve">the control is documented consistently with actual practice.</w:t>
      </w:r>
    </w:p>
    <w:p>
      <w:pPr>
        <w:pStyle w:val="FirstParagraph"/>
      </w:pPr>
      <w:r>
        <w:t xml:space="preserve">A control can be documented yet poorly designed. It can also operate informally but lack sufficient definition, ownership, or evidence to support repeatable performance.</w:t>
      </w:r>
    </w:p>
    <w:bookmarkEnd w:id="43"/>
    <w:bookmarkStart w:id="44" w:name="evaluate-implementation"/>
    <w:p>
      <w:pPr>
        <w:pStyle w:val="Heading2"/>
      </w:pPr>
      <w:r>
        <w:t xml:space="preserve">2.3 Evaluate implementation</w:t>
      </w:r>
    </w:p>
    <w:p>
      <w:pPr>
        <w:pStyle w:val="FirstParagraph"/>
      </w:pPr>
      <w:r>
        <w:t xml:space="preserve">Implementation review confirms that the designed control has actually been placed into operation. Look for approved procedures, configured systems, assigned roles, completed training, enabled logging, established review routines, and initial operating records.</w:t>
      </w:r>
    </w:p>
    <w:p>
      <w:pPr>
        <w:pStyle w:val="BodyText"/>
      </w:pPr>
      <w:r>
        <w:t xml:space="preserve">Do not label a control implemented when it remains planned, partially deployed, limited to a pilot, inactive for part of the scope, or dependent on an unverified third party.</w:t>
      </w:r>
    </w:p>
    <w:bookmarkEnd w:id="44"/>
    <w:bookmarkStart w:id="45" w:name="evaluate-operating-effectiveness"/>
    <w:p>
      <w:pPr>
        <w:pStyle w:val="Heading2"/>
      </w:pPr>
      <w:r>
        <w:t xml:space="preserve">2.4 Evaluate operating effectiveness</w:t>
      </w:r>
    </w:p>
    <w:p>
      <w:pPr>
        <w:pStyle w:val="FirstParagraph"/>
      </w:pPr>
      <w:r>
        <w:t xml:space="preserve">Operating-effectiveness testing asks whether the control operated consistently and achieved its intended result during the review period. Procedures may include:</w:t>
      </w:r>
    </w:p>
    <w:p>
      <w:pPr>
        <w:numPr>
          <w:ilvl w:val="0"/>
          <w:numId w:val="1007"/>
        </w:numPr>
        <w:pStyle w:val="Compact"/>
      </w:pPr>
      <w:r>
        <w:t xml:space="preserve">examining policies, tickets, logs, reports, approvals, configurations, and system records;</w:t>
      </w:r>
    </w:p>
    <w:p>
      <w:pPr>
        <w:numPr>
          <w:ilvl w:val="0"/>
          <w:numId w:val="1007"/>
        </w:numPr>
        <w:pStyle w:val="Compact"/>
      </w:pPr>
      <w:r>
        <w:t xml:space="preserve">interviewing owners, operators, reviewers, and affected personnel;</w:t>
      </w:r>
    </w:p>
    <w:p>
      <w:pPr>
        <w:numPr>
          <w:ilvl w:val="0"/>
          <w:numId w:val="1007"/>
        </w:numPr>
        <w:pStyle w:val="Compact"/>
      </w:pPr>
      <w:r>
        <w:t xml:space="preserve">observing control performance;</w:t>
      </w:r>
    </w:p>
    <w:p>
      <w:pPr>
        <w:numPr>
          <w:ilvl w:val="0"/>
          <w:numId w:val="1007"/>
        </w:numPr>
        <w:pStyle w:val="Compact"/>
      </w:pPr>
      <w:r>
        <w:t xml:space="preserve">reperformance;</w:t>
      </w:r>
    </w:p>
    <w:p>
      <w:pPr>
        <w:numPr>
          <w:ilvl w:val="0"/>
          <w:numId w:val="1007"/>
        </w:numPr>
        <w:pStyle w:val="Compact"/>
      </w:pPr>
      <w:r>
        <w:t xml:space="preserve">configuration inspection;</w:t>
      </w:r>
    </w:p>
    <w:p>
      <w:pPr>
        <w:numPr>
          <w:ilvl w:val="0"/>
          <w:numId w:val="1007"/>
        </w:numPr>
        <w:pStyle w:val="Compact"/>
      </w:pPr>
      <w:r>
        <w:t xml:space="preserve">data analysis;</w:t>
      </w:r>
    </w:p>
    <w:p>
      <w:pPr>
        <w:numPr>
          <w:ilvl w:val="0"/>
          <w:numId w:val="1007"/>
        </w:numPr>
        <w:pStyle w:val="Compact"/>
      </w:pPr>
      <w:r>
        <w:t xml:space="preserve">population reconciliation; and</w:t>
      </w:r>
    </w:p>
    <w:p>
      <w:pPr>
        <w:numPr>
          <w:ilvl w:val="0"/>
          <w:numId w:val="1007"/>
        </w:numPr>
        <w:pStyle w:val="Compact"/>
      </w:pPr>
      <w:r>
        <w:t xml:space="preserve">sample testing.</w:t>
      </w:r>
    </w:p>
    <w:p>
      <w:pPr>
        <w:pStyle w:val="FirstParagraph"/>
      </w:pPr>
      <w:r>
        <w:t xml:space="preserve">The procedure, population, sample selection, exceptions, limitations, and conclusion must be recorded clearly enough for an informed reviewer to understand what was done.</w:t>
      </w:r>
    </w:p>
    <w:bookmarkEnd w:id="45"/>
    <w:bookmarkStart w:id="46" w:name="readiness-status-model"/>
    <w:p>
      <w:pPr>
        <w:pStyle w:val="Heading2"/>
      </w:pPr>
      <w:r>
        <w:t xml:space="preserve">2.5 Readiness status model</w:t>
      </w:r>
    </w:p>
    <w:p>
      <w:pPr>
        <w:pStyle w:val="FirstParagraph"/>
      </w:pPr>
      <w:r>
        <w:t xml:space="preserve">Use a defined status model. A practical model is:</w:t>
      </w:r>
    </w:p>
    <w:p>
      <w:pPr>
        <w:numPr>
          <w:ilvl w:val="0"/>
          <w:numId w:val="1008"/>
        </w:numPr>
        <w:pStyle w:val="Compact"/>
      </w:pPr>
      <w:r>
        <w:rPr>
          <w:bCs/>
          <w:b/>
        </w:rPr>
        <w:t xml:space="preserve">Not applicable:</w:t>
      </w:r>
      <w:r>
        <w:t xml:space="preserve"> </w:t>
      </w:r>
      <w:r>
        <w:t xml:space="preserve">supported by documented scope and rationale.</w:t>
      </w:r>
    </w:p>
    <w:p>
      <w:pPr>
        <w:numPr>
          <w:ilvl w:val="0"/>
          <w:numId w:val="1008"/>
        </w:numPr>
        <w:pStyle w:val="Compact"/>
      </w:pPr>
      <w:r>
        <w:rPr>
          <w:bCs/>
          <w:b/>
        </w:rPr>
        <w:t xml:space="preserve">Not assessed:</w:t>
      </w:r>
      <w:r>
        <w:t xml:space="preserve"> </w:t>
      </w:r>
      <w:r>
        <w:t xml:space="preserve">no conclusion has been reached.</w:t>
      </w:r>
    </w:p>
    <w:p>
      <w:pPr>
        <w:numPr>
          <w:ilvl w:val="0"/>
          <w:numId w:val="1008"/>
        </w:numPr>
        <w:pStyle w:val="Compact"/>
      </w:pPr>
      <w:r>
        <w:rPr>
          <w:bCs/>
          <w:b/>
        </w:rPr>
        <w:t xml:space="preserve">Not designed:</w:t>
      </w:r>
      <w:r>
        <w:t xml:space="preserve"> </w:t>
      </w:r>
      <w:r>
        <w:t xml:space="preserve">no control or materially inadequate design.</w:t>
      </w:r>
    </w:p>
    <w:p>
      <w:pPr>
        <w:numPr>
          <w:ilvl w:val="0"/>
          <w:numId w:val="1008"/>
        </w:numPr>
        <w:pStyle w:val="Compact"/>
      </w:pPr>
      <w:r>
        <w:rPr>
          <w:bCs/>
          <w:b/>
        </w:rPr>
        <w:t xml:space="preserve">Designed, not implemented:</w:t>
      </w:r>
      <w:r>
        <w:t xml:space="preserve"> </w:t>
      </w:r>
      <w:r>
        <w:t xml:space="preserve">design exists but operation has not begun.</w:t>
      </w:r>
    </w:p>
    <w:p>
      <w:pPr>
        <w:numPr>
          <w:ilvl w:val="0"/>
          <w:numId w:val="1008"/>
        </w:numPr>
        <w:pStyle w:val="Compact"/>
      </w:pPr>
      <w:r>
        <w:rPr>
          <w:bCs/>
          <w:b/>
        </w:rPr>
        <w:t xml:space="preserve">Partially implemented:</w:t>
      </w:r>
      <w:r>
        <w:t xml:space="preserve"> </w:t>
      </w:r>
      <w:r>
        <w:t xml:space="preserve">operation is incomplete across scope, population, or period.</w:t>
      </w:r>
    </w:p>
    <w:p>
      <w:pPr>
        <w:numPr>
          <w:ilvl w:val="0"/>
          <w:numId w:val="1008"/>
        </w:numPr>
        <w:pStyle w:val="Compact"/>
      </w:pPr>
      <w:r>
        <w:rPr>
          <w:bCs/>
          <w:b/>
        </w:rPr>
        <w:t xml:space="preserve">Implemented, insufficient evidence:</w:t>
      </w:r>
      <w:r>
        <w:t xml:space="preserve"> </w:t>
      </w:r>
      <w:r>
        <w:t xml:space="preserve">control may operate, but available evidence cannot support the conclusion.</w:t>
      </w:r>
    </w:p>
    <w:p>
      <w:pPr>
        <w:numPr>
          <w:ilvl w:val="0"/>
          <w:numId w:val="1008"/>
        </w:numPr>
        <w:pStyle w:val="Compact"/>
      </w:pPr>
      <w:r>
        <w:rPr>
          <w:bCs/>
          <w:b/>
        </w:rPr>
        <w:t xml:space="preserve">Operating with exceptions:</w:t>
      </w:r>
      <w:r>
        <w:t xml:space="preserve"> </w:t>
      </w:r>
      <w:r>
        <w:t xml:space="preserve">control operated, but exceptions require evaluation.</w:t>
      </w:r>
    </w:p>
    <w:p>
      <w:pPr>
        <w:numPr>
          <w:ilvl w:val="0"/>
          <w:numId w:val="1008"/>
        </w:numPr>
        <w:pStyle w:val="Compact"/>
      </w:pPr>
      <w:r>
        <w:rPr>
          <w:bCs/>
          <w:b/>
        </w:rPr>
        <w:t xml:space="preserve">Operating effectively:</w:t>
      </w:r>
      <w:r>
        <w:t xml:space="preserve"> </w:t>
      </w:r>
      <w:r>
        <w:t xml:space="preserve">evidence supports design, implementation, and operation for the assessed scope and period.</w:t>
      </w:r>
    </w:p>
    <w:p>
      <w:pPr>
        <w:numPr>
          <w:ilvl w:val="0"/>
          <w:numId w:val="1008"/>
        </w:numPr>
        <w:pStyle w:val="Compact"/>
      </w:pPr>
      <w:r>
        <w:rPr>
          <w:bCs/>
          <w:b/>
        </w:rPr>
        <w:t xml:space="preserve">Risk accepted or exception approved:</w:t>
      </w:r>
      <w:r>
        <w:t xml:space="preserve"> </w:t>
      </w:r>
      <w:r>
        <w:t xml:space="preserve">a separately authorized treatment exists; this is not equivalent to operating effectiveness.</w:t>
      </w:r>
    </w:p>
    <w:bookmarkEnd w:id="46"/>
    <w:bookmarkStart w:id="47" w:name="sampling-discipline"/>
    <w:p>
      <w:pPr>
        <w:pStyle w:val="Heading2"/>
      </w:pPr>
      <w:r>
        <w:t xml:space="preserve">2.6 Sampling discipline</w:t>
      </w:r>
    </w:p>
    <w:p>
      <w:pPr>
        <w:pStyle w:val="FirstParagraph"/>
      </w:pPr>
      <w:r>
        <w:t xml:space="preserve">Sampling should be linked to the control frequency, population size, review period, risk, expected deviation, automated versus manual operation, and assessor requirements. Record:</w:t>
      </w:r>
    </w:p>
    <w:p>
      <w:pPr>
        <w:numPr>
          <w:ilvl w:val="0"/>
          <w:numId w:val="1009"/>
        </w:numPr>
        <w:pStyle w:val="Compact"/>
      </w:pPr>
      <w:r>
        <w:t xml:space="preserve">complete population source;</w:t>
      </w:r>
    </w:p>
    <w:p>
      <w:pPr>
        <w:numPr>
          <w:ilvl w:val="0"/>
          <w:numId w:val="1009"/>
        </w:numPr>
        <w:pStyle w:val="Compact"/>
      </w:pPr>
      <w:r>
        <w:t xml:space="preserve">population size and period;</w:t>
      </w:r>
    </w:p>
    <w:p>
      <w:pPr>
        <w:numPr>
          <w:ilvl w:val="0"/>
          <w:numId w:val="1009"/>
        </w:numPr>
        <w:pStyle w:val="Compact"/>
      </w:pPr>
      <w:r>
        <w:t xml:space="preserve">selection method;</w:t>
      </w:r>
    </w:p>
    <w:p>
      <w:pPr>
        <w:numPr>
          <w:ilvl w:val="0"/>
          <w:numId w:val="1009"/>
        </w:numPr>
        <w:pStyle w:val="Compact"/>
      </w:pPr>
      <w:r>
        <w:t xml:space="preserve">sample size and rationale;</w:t>
      </w:r>
    </w:p>
    <w:p>
      <w:pPr>
        <w:numPr>
          <w:ilvl w:val="0"/>
          <w:numId w:val="1009"/>
        </w:numPr>
        <w:pStyle w:val="Compact"/>
      </w:pPr>
      <w:r>
        <w:t xml:space="preserve">selected items;</w:t>
      </w:r>
    </w:p>
    <w:p>
      <w:pPr>
        <w:numPr>
          <w:ilvl w:val="0"/>
          <w:numId w:val="1009"/>
        </w:numPr>
        <w:pStyle w:val="Compact"/>
      </w:pPr>
      <w:r>
        <w:t xml:space="preserve">replacements and reasons;</w:t>
      </w:r>
    </w:p>
    <w:p>
      <w:pPr>
        <w:numPr>
          <w:ilvl w:val="0"/>
          <w:numId w:val="1009"/>
        </w:numPr>
        <w:pStyle w:val="Compact"/>
      </w:pPr>
      <w:r>
        <w:t xml:space="preserve">exceptions;</w:t>
      </w:r>
    </w:p>
    <w:p>
      <w:pPr>
        <w:numPr>
          <w:ilvl w:val="0"/>
          <w:numId w:val="1009"/>
        </w:numPr>
        <w:pStyle w:val="Compact"/>
      </w:pPr>
      <w:r>
        <w:t xml:space="preserve">expansion decisions; and</w:t>
      </w:r>
    </w:p>
    <w:p>
      <w:pPr>
        <w:numPr>
          <w:ilvl w:val="0"/>
          <w:numId w:val="1009"/>
        </w:numPr>
        <w:pStyle w:val="Compact"/>
      </w:pPr>
      <w:r>
        <w:t xml:space="preserve">limitations.</w:t>
      </w:r>
    </w:p>
    <w:p>
      <w:pPr>
        <w:pStyle w:val="FirstParagraph"/>
      </w:pPr>
      <w:r>
        <w:t xml:space="preserve">Convenience samples and hand-selected successful examples should not be represented as unbiased evidence.</w:t>
      </w:r>
    </w:p>
    <w:bookmarkEnd w:id="47"/>
    <w:bookmarkStart w:id="48" w:name="gap-categories"/>
    <w:p>
      <w:pPr>
        <w:pStyle w:val="Heading2"/>
      </w:pPr>
      <w:r>
        <w:t xml:space="preserve">2.7 Gap categories</w:t>
      </w:r>
    </w:p>
    <w:p>
      <w:pPr>
        <w:pStyle w:val="FirstParagraph"/>
      </w:pPr>
      <w:r>
        <w:t xml:space="preserve">Classify gaps consistently:</w:t>
      </w:r>
    </w:p>
    <w:p>
      <w:pPr>
        <w:numPr>
          <w:ilvl w:val="0"/>
          <w:numId w:val="1010"/>
        </w:numPr>
        <w:pStyle w:val="Compact"/>
      </w:pPr>
      <w:r>
        <w:t xml:space="preserve">missing control;</w:t>
      </w:r>
    </w:p>
    <w:p>
      <w:pPr>
        <w:numPr>
          <w:ilvl w:val="0"/>
          <w:numId w:val="1010"/>
        </w:numPr>
        <w:pStyle w:val="Compact"/>
      </w:pPr>
      <w:r>
        <w:t xml:space="preserve">design deficiency;</w:t>
      </w:r>
    </w:p>
    <w:p>
      <w:pPr>
        <w:numPr>
          <w:ilvl w:val="0"/>
          <w:numId w:val="1010"/>
        </w:numPr>
        <w:pStyle w:val="Compact"/>
      </w:pPr>
      <w:r>
        <w:t xml:space="preserve">incomplete implementation;</w:t>
      </w:r>
    </w:p>
    <w:p>
      <w:pPr>
        <w:numPr>
          <w:ilvl w:val="0"/>
          <w:numId w:val="1010"/>
        </w:numPr>
        <w:pStyle w:val="Compact"/>
      </w:pPr>
      <w:r>
        <w:t xml:space="preserve">operating failure;</w:t>
      </w:r>
    </w:p>
    <w:p>
      <w:pPr>
        <w:numPr>
          <w:ilvl w:val="0"/>
          <w:numId w:val="1010"/>
        </w:numPr>
        <w:pStyle w:val="Compact"/>
      </w:pPr>
      <w:r>
        <w:t xml:space="preserve">evidence deficiency;</w:t>
      </w:r>
    </w:p>
    <w:p>
      <w:pPr>
        <w:numPr>
          <w:ilvl w:val="0"/>
          <w:numId w:val="1010"/>
        </w:numPr>
        <w:pStyle w:val="Compact"/>
      </w:pPr>
      <w:r>
        <w:t xml:space="preserve">scope or ownership ambiguity;</w:t>
      </w:r>
    </w:p>
    <w:p>
      <w:pPr>
        <w:numPr>
          <w:ilvl w:val="0"/>
          <w:numId w:val="1010"/>
        </w:numPr>
        <w:pStyle w:val="Compact"/>
      </w:pPr>
      <w:r>
        <w:t xml:space="preserve">policy-to-practice inconsistency;</w:t>
      </w:r>
    </w:p>
    <w:p>
      <w:pPr>
        <w:numPr>
          <w:ilvl w:val="0"/>
          <w:numId w:val="1010"/>
        </w:numPr>
        <w:pStyle w:val="Compact"/>
      </w:pPr>
      <w:r>
        <w:t xml:space="preserve">inherited-control dependency failure;</w:t>
      </w:r>
    </w:p>
    <w:p>
      <w:pPr>
        <w:numPr>
          <w:ilvl w:val="0"/>
          <w:numId w:val="1010"/>
        </w:numPr>
        <w:pStyle w:val="Compact"/>
      </w:pPr>
      <w:r>
        <w:t xml:space="preserve">monitoring deficiency;</w:t>
      </w:r>
    </w:p>
    <w:p>
      <w:pPr>
        <w:numPr>
          <w:ilvl w:val="0"/>
          <w:numId w:val="1010"/>
        </w:numPr>
        <w:pStyle w:val="Compact"/>
      </w:pPr>
      <w:r>
        <w:t xml:space="preserve">repeat finding; and</w:t>
      </w:r>
    </w:p>
    <w:p>
      <w:pPr>
        <w:numPr>
          <w:ilvl w:val="0"/>
          <w:numId w:val="1010"/>
        </w:numPr>
        <w:pStyle w:val="Compact"/>
      </w:pPr>
      <w:r>
        <w:t xml:space="preserve">unsupported management assertion.</w:t>
      </w:r>
    </w:p>
    <w:p>
      <w:pPr>
        <w:pStyle w:val="FirstParagraph"/>
      </w:pPr>
      <w:r>
        <w:t xml:space="preserve">The category helps determine root cause and corrective action. An evidence deficiency should not automatically be treated as proof that the control failed, but inability to demonstrate operation may still create audit and compliance exposure.</w:t>
      </w:r>
    </w:p>
    <w:bookmarkEnd w:id="48"/>
    <w:bookmarkStart w:id="49" w:name="quality-review-before-reporting"/>
    <w:p>
      <w:pPr>
        <w:pStyle w:val="Heading2"/>
      </w:pPr>
      <w:r>
        <w:t xml:space="preserve">2.8 Quality review before reporting</w:t>
      </w:r>
    </w:p>
    <w:p>
      <w:pPr>
        <w:pStyle w:val="FirstParagraph"/>
      </w:pPr>
      <w:r>
        <w:t xml:space="preserve">Before issuing readiness results, confirm that:</w:t>
      </w:r>
    </w:p>
    <w:p>
      <w:pPr>
        <w:numPr>
          <w:ilvl w:val="0"/>
          <w:numId w:val="1011"/>
        </w:numPr>
        <w:pStyle w:val="Compact"/>
      </w:pPr>
      <w:r>
        <w:t xml:space="preserve">criteria and versions are correct;</w:t>
      </w:r>
    </w:p>
    <w:p>
      <w:pPr>
        <w:numPr>
          <w:ilvl w:val="0"/>
          <w:numId w:val="1011"/>
        </w:numPr>
        <w:pStyle w:val="Compact"/>
      </w:pPr>
      <w:r>
        <w:t xml:space="preserve">scope and period are explicit;</w:t>
      </w:r>
    </w:p>
    <w:p>
      <w:pPr>
        <w:numPr>
          <w:ilvl w:val="0"/>
          <w:numId w:val="1011"/>
        </w:numPr>
        <w:pStyle w:val="Compact"/>
      </w:pPr>
      <w:r>
        <w:t xml:space="preserve">evidence is traceable and protected;</w:t>
      </w:r>
    </w:p>
    <w:p>
      <w:pPr>
        <w:numPr>
          <w:ilvl w:val="0"/>
          <w:numId w:val="1011"/>
        </w:numPr>
        <w:pStyle w:val="Compact"/>
      </w:pPr>
      <w:r>
        <w:t xml:space="preserve">procedures performed are documented;</w:t>
      </w:r>
    </w:p>
    <w:p>
      <w:pPr>
        <w:numPr>
          <w:ilvl w:val="0"/>
          <w:numId w:val="1011"/>
        </w:numPr>
        <w:pStyle w:val="Compact"/>
      </w:pPr>
      <w:r>
        <w:t xml:space="preserve">conclusions follow from evidence;</w:t>
      </w:r>
    </w:p>
    <w:p>
      <w:pPr>
        <w:numPr>
          <w:ilvl w:val="0"/>
          <w:numId w:val="1011"/>
        </w:numPr>
        <w:pStyle w:val="Compact"/>
      </w:pPr>
      <w:r>
        <w:t xml:space="preserve">exceptions are not minimized or overstated;</w:t>
      </w:r>
    </w:p>
    <w:p>
      <w:pPr>
        <w:numPr>
          <w:ilvl w:val="0"/>
          <w:numId w:val="1011"/>
        </w:numPr>
        <w:pStyle w:val="Compact"/>
      </w:pPr>
      <w:r>
        <w:t xml:space="preserve">duplicated issues are consolidated appropriately;</w:t>
      </w:r>
    </w:p>
    <w:p>
      <w:pPr>
        <w:numPr>
          <w:ilvl w:val="0"/>
          <w:numId w:val="1011"/>
        </w:numPr>
        <w:pStyle w:val="Compact"/>
      </w:pPr>
      <w:r>
        <w:t xml:space="preserve">severity is applied consistently;</w:t>
      </w:r>
    </w:p>
    <w:p>
      <w:pPr>
        <w:numPr>
          <w:ilvl w:val="0"/>
          <w:numId w:val="1011"/>
        </w:numPr>
        <w:pStyle w:val="Compact"/>
      </w:pPr>
      <w:r>
        <w:t xml:space="preserve">management facts and disagreements are recorded; and</w:t>
      </w:r>
    </w:p>
    <w:p>
      <w:pPr>
        <w:numPr>
          <w:ilvl w:val="0"/>
          <w:numId w:val="1011"/>
        </w:numPr>
        <w:pStyle w:val="Compact"/>
      </w:pPr>
      <w:r>
        <w:t xml:space="preserve">limitations are visible.</w:t>
      </w:r>
    </w:p>
    <w:bookmarkEnd w:id="49"/>
    <w:bookmarkEnd w:id="50"/>
    <w:bookmarkStart w:id="60" w:name="Xaae11d9c25dc49f598548fbc3295abfe9cccc4f"/>
    <w:p>
      <w:pPr>
        <w:pStyle w:val="Heading1"/>
      </w:pPr>
      <w:r>
        <w:t xml:space="preserve">Findings, Root Cause, and Risk Prioritization</w:t>
      </w:r>
    </w:p>
    <w:bookmarkStart w:id="51" w:name="purpose"/>
    <w:p>
      <w:pPr>
        <w:pStyle w:val="Heading2"/>
      </w:pPr>
      <w:r>
        <w:t xml:space="preserve">Purpose</w:t>
      </w:r>
    </w:p>
    <w:p>
      <w:pPr>
        <w:pStyle w:val="FirstParagraph"/>
      </w:pPr>
      <w:r>
        <w:t xml:space="preserve">A readiness finding should describe a verified condition, the applicable criterion, the evidence reviewed, the resulting risk, and the action required. It should not be a vague criticism, an unsupported conclusion, or a disguised preference.</w:t>
      </w:r>
    </w:p>
    <w:bookmarkEnd w:id="51"/>
    <w:bookmarkStart w:id="52" w:name="finding-anatomy"/>
    <w:p>
      <w:pPr>
        <w:pStyle w:val="Heading2"/>
      </w:pPr>
      <w:r>
        <w:t xml:space="preserve">Finding anatomy</w:t>
      </w:r>
    </w:p>
    <w:p>
      <w:pPr>
        <w:pStyle w:val="FirstParagraph"/>
      </w:pPr>
      <w:r>
        <w:t xml:space="preserve">A defensible finding normally contains:</w:t>
      </w:r>
    </w:p>
    <w:p>
      <w:pPr>
        <w:numPr>
          <w:ilvl w:val="0"/>
          <w:numId w:val="1012"/>
        </w:numPr>
        <w:pStyle w:val="Compact"/>
      </w:pPr>
      <w:r>
        <w:rPr>
          <w:bCs/>
          <w:b/>
        </w:rPr>
        <w:t xml:space="preserve">Criterion</w:t>
      </w:r>
      <w:r>
        <w:t xml:space="preserve"> </w:t>
      </w:r>
      <w:r>
        <w:t xml:space="preserve">— the requirement, control objective, policy, procedure, contract term, or approved internal standard.</w:t>
      </w:r>
    </w:p>
    <w:p>
      <w:pPr>
        <w:numPr>
          <w:ilvl w:val="0"/>
          <w:numId w:val="1012"/>
        </w:numPr>
        <w:pStyle w:val="Compact"/>
      </w:pPr>
      <w:r>
        <w:rPr>
          <w:bCs/>
          <w:b/>
        </w:rPr>
        <w:t xml:space="preserve">Condition</w:t>
      </w:r>
      <w:r>
        <w:t xml:space="preserve"> </w:t>
      </w:r>
      <w:r>
        <w:t xml:space="preserve">— what was observed.</w:t>
      </w:r>
    </w:p>
    <w:p>
      <w:pPr>
        <w:numPr>
          <w:ilvl w:val="0"/>
          <w:numId w:val="1012"/>
        </w:numPr>
        <w:pStyle w:val="Compact"/>
      </w:pPr>
      <w:r>
        <w:rPr>
          <w:bCs/>
          <w:b/>
        </w:rPr>
        <w:t xml:space="preserve">Evidence</w:t>
      </w:r>
      <w:r>
        <w:t xml:space="preserve"> </w:t>
      </w:r>
      <w:r>
        <w:t xml:space="preserve">— the records, interviews, tests, samples, or system outputs supporting the condition.</w:t>
      </w:r>
    </w:p>
    <w:p>
      <w:pPr>
        <w:numPr>
          <w:ilvl w:val="0"/>
          <w:numId w:val="1012"/>
        </w:numPr>
        <w:pStyle w:val="Compact"/>
      </w:pPr>
      <w:r>
        <w:rPr>
          <w:bCs/>
          <w:b/>
        </w:rPr>
        <w:t xml:space="preserve">Cause</w:t>
      </w:r>
      <w:r>
        <w:t xml:space="preserve"> </w:t>
      </w:r>
      <w:r>
        <w:t xml:space="preserve">— the underlying reason the condition exists.</w:t>
      </w:r>
    </w:p>
    <w:p>
      <w:pPr>
        <w:numPr>
          <w:ilvl w:val="0"/>
          <w:numId w:val="1012"/>
        </w:numPr>
        <w:pStyle w:val="Compact"/>
      </w:pPr>
      <w:r>
        <w:rPr>
          <w:bCs/>
          <w:b/>
        </w:rPr>
        <w:t xml:space="preserve">Effect or risk</w:t>
      </w:r>
      <w:r>
        <w:t xml:space="preserve"> </w:t>
      </w:r>
      <w:r>
        <w:t xml:space="preserve">— the actual or plausible consequence.</w:t>
      </w:r>
    </w:p>
    <w:p>
      <w:pPr>
        <w:numPr>
          <w:ilvl w:val="0"/>
          <w:numId w:val="1012"/>
        </w:numPr>
        <w:pStyle w:val="Compact"/>
      </w:pPr>
      <w:r>
        <w:rPr>
          <w:bCs/>
          <w:b/>
        </w:rPr>
        <w:t xml:space="preserve">Scope</w:t>
      </w:r>
      <w:r>
        <w:t xml:space="preserve"> </w:t>
      </w:r>
      <w:r>
        <w:t xml:space="preserve">— affected systems, processes, locations, populations, and periods.</w:t>
      </w:r>
    </w:p>
    <w:p>
      <w:pPr>
        <w:numPr>
          <w:ilvl w:val="0"/>
          <w:numId w:val="1012"/>
        </w:numPr>
        <w:pStyle w:val="Compact"/>
      </w:pPr>
      <w:r>
        <w:rPr>
          <w:bCs/>
          <w:b/>
        </w:rPr>
        <w:t xml:space="preserve">Owner</w:t>
      </w:r>
      <w:r>
        <w:t xml:space="preserve"> </w:t>
      </w:r>
      <w:r>
        <w:t xml:space="preserve">— the accountable person or function.</w:t>
      </w:r>
    </w:p>
    <w:p>
      <w:pPr>
        <w:numPr>
          <w:ilvl w:val="0"/>
          <w:numId w:val="1012"/>
        </w:numPr>
        <w:pStyle w:val="Compact"/>
      </w:pPr>
      <w:r>
        <w:rPr>
          <w:bCs/>
          <w:b/>
        </w:rPr>
        <w:t xml:space="preserve">Required response</w:t>
      </w:r>
      <w:r>
        <w:t xml:space="preserve"> </w:t>
      </w:r>
      <w:r>
        <w:t xml:space="preserve">— correction, containment, remediation, acceptance, or further analysis.</w:t>
      </w:r>
    </w:p>
    <w:bookmarkEnd w:id="52"/>
    <w:bookmarkStart w:id="53" w:name="separate-observation-from-conclusion"/>
    <w:p>
      <w:pPr>
        <w:pStyle w:val="Heading2"/>
      </w:pPr>
      <w:r>
        <w:t xml:space="preserve">Separate observation from conclusion</w:t>
      </w:r>
    </w:p>
    <w:p>
      <w:pPr>
        <w:pStyle w:val="FirstParagraph"/>
      </w:pPr>
      <w:r>
        <w:t xml:space="preserve">Record facts before applying labels. For example:</w:t>
      </w:r>
    </w:p>
    <w:p>
      <w:pPr>
        <w:numPr>
          <w:ilvl w:val="0"/>
          <w:numId w:val="1013"/>
        </w:numPr>
        <w:pStyle w:val="Compact"/>
      </w:pPr>
      <w:r>
        <w:t xml:space="preserve">Fact: six of twenty sampled terminated-user accounts remained enabled more than five business days after termination.</w:t>
      </w:r>
    </w:p>
    <w:p>
      <w:pPr>
        <w:numPr>
          <w:ilvl w:val="0"/>
          <w:numId w:val="1013"/>
        </w:numPr>
        <w:pStyle w:val="Compact"/>
      </w:pPr>
      <w:r>
        <w:t xml:space="preserve">Criterion: the approved access procedure requires disablement within one business day.</w:t>
      </w:r>
    </w:p>
    <w:p>
      <w:pPr>
        <w:numPr>
          <w:ilvl w:val="0"/>
          <w:numId w:val="1013"/>
        </w:numPr>
        <w:pStyle w:val="Compact"/>
      </w:pPr>
      <w:r>
        <w:t xml:space="preserve">Conclusion: the sampled process did not consistently meet the approved disablement requirement.</w:t>
      </w:r>
    </w:p>
    <w:p>
      <w:pPr>
        <w:pStyle w:val="FirstParagraph"/>
      </w:pPr>
      <w:r>
        <w:t xml:space="preserve">This sequence makes the reasoning traceable and reduces disputes based on wording.</w:t>
      </w:r>
    </w:p>
    <w:bookmarkEnd w:id="53"/>
    <w:bookmarkStart w:id="54" w:name="avoid-common-finding-defects"/>
    <w:p>
      <w:pPr>
        <w:pStyle w:val="Heading2"/>
      </w:pPr>
      <w:r>
        <w:t xml:space="preserve">Avoid common finding defects</w:t>
      </w:r>
    </w:p>
    <w:p>
      <w:pPr>
        <w:pStyle w:val="FirstParagraph"/>
      </w:pPr>
      <w:r>
        <w:t xml:space="preserve">Do not:</w:t>
      </w:r>
    </w:p>
    <w:p>
      <w:pPr>
        <w:numPr>
          <w:ilvl w:val="0"/>
          <w:numId w:val="1014"/>
        </w:numPr>
        <w:pStyle w:val="Compact"/>
      </w:pPr>
      <w:r>
        <w:t xml:space="preserve">cite a framework without identifying the relevant criterion;</w:t>
      </w:r>
    </w:p>
    <w:p>
      <w:pPr>
        <w:numPr>
          <w:ilvl w:val="0"/>
          <w:numId w:val="1014"/>
        </w:numPr>
        <w:pStyle w:val="Compact"/>
      </w:pPr>
      <w:r>
        <w:t xml:space="preserve">infer organization-wide failure from an unrepresentative sample;</w:t>
      </w:r>
    </w:p>
    <w:p>
      <w:pPr>
        <w:numPr>
          <w:ilvl w:val="0"/>
          <w:numId w:val="1014"/>
        </w:numPr>
        <w:pStyle w:val="Compact"/>
      </w:pPr>
      <w:r>
        <w:t xml:space="preserve">state intent or negligence without evidence;</w:t>
      </w:r>
    </w:p>
    <w:p>
      <w:pPr>
        <w:numPr>
          <w:ilvl w:val="0"/>
          <w:numId w:val="1014"/>
        </w:numPr>
        <w:pStyle w:val="Compact"/>
      </w:pPr>
      <w:r>
        <w:t xml:space="preserve">combine unrelated issues into one finding;</w:t>
      </w:r>
    </w:p>
    <w:p>
      <w:pPr>
        <w:numPr>
          <w:ilvl w:val="0"/>
          <w:numId w:val="1014"/>
        </w:numPr>
        <w:pStyle w:val="Compact"/>
      </w:pPr>
      <w:r>
        <w:t xml:space="preserve">prescribe a specific technical solution when multiple treatments may satisfy the objective;</w:t>
      </w:r>
    </w:p>
    <w:p>
      <w:pPr>
        <w:numPr>
          <w:ilvl w:val="0"/>
          <w:numId w:val="1014"/>
        </w:numPr>
        <w:pStyle w:val="Compact"/>
      </w:pPr>
      <w:r>
        <w:t xml:space="preserve">classify severity only by auditor preference;</w:t>
      </w:r>
    </w:p>
    <w:p>
      <w:pPr>
        <w:numPr>
          <w:ilvl w:val="0"/>
          <w:numId w:val="1014"/>
        </w:numPr>
        <w:pStyle w:val="Compact"/>
      </w:pPr>
      <w:r>
        <w:t xml:space="preserve">omit compensating controls or contradictory evidence;</w:t>
      </w:r>
    </w:p>
    <w:p>
      <w:pPr>
        <w:numPr>
          <w:ilvl w:val="0"/>
          <w:numId w:val="1014"/>
        </w:numPr>
        <w:pStyle w:val="Compact"/>
      </w:pPr>
      <w:r>
        <w:t xml:space="preserve">close a finding merely because a document was created.</w:t>
      </w:r>
    </w:p>
    <w:bookmarkEnd w:id="54"/>
    <w:bookmarkStart w:id="55" w:name="root-cause-analysis"/>
    <w:p>
      <w:pPr>
        <w:pStyle w:val="Heading2"/>
      </w:pPr>
      <w:r>
        <w:t xml:space="preserve">Root-cause analysis</w:t>
      </w:r>
    </w:p>
    <w:p>
      <w:pPr>
        <w:pStyle w:val="FirstParagraph"/>
      </w:pPr>
      <w:r>
        <w:t xml:space="preserve">A root cause is not the visible symptom. Useful categories include:</w:t>
      </w:r>
    </w:p>
    <w:p>
      <w:pPr>
        <w:numPr>
          <w:ilvl w:val="0"/>
          <w:numId w:val="1015"/>
        </w:numPr>
        <w:pStyle w:val="Compact"/>
      </w:pPr>
      <w:r>
        <w:t xml:space="preserve">unclear accountability;</w:t>
      </w:r>
    </w:p>
    <w:p>
      <w:pPr>
        <w:numPr>
          <w:ilvl w:val="0"/>
          <w:numId w:val="1015"/>
        </w:numPr>
        <w:pStyle w:val="Compact"/>
      </w:pPr>
      <w:r>
        <w:t xml:space="preserve">missing or conflicting requirements;</w:t>
      </w:r>
    </w:p>
    <w:p>
      <w:pPr>
        <w:numPr>
          <w:ilvl w:val="0"/>
          <w:numId w:val="1015"/>
        </w:numPr>
        <w:pStyle w:val="Compact"/>
      </w:pPr>
      <w:r>
        <w:t xml:space="preserve">inadequate process design;</w:t>
      </w:r>
    </w:p>
    <w:p>
      <w:pPr>
        <w:numPr>
          <w:ilvl w:val="0"/>
          <w:numId w:val="1015"/>
        </w:numPr>
        <w:pStyle w:val="Compact"/>
      </w:pPr>
      <w:r>
        <w:t xml:space="preserve">insufficient resources or capacity;</w:t>
      </w:r>
    </w:p>
    <w:p>
      <w:pPr>
        <w:numPr>
          <w:ilvl w:val="0"/>
          <w:numId w:val="1015"/>
        </w:numPr>
        <w:pStyle w:val="Compact"/>
      </w:pPr>
      <w:r>
        <w:t xml:space="preserve">ineffective training;</w:t>
      </w:r>
    </w:p>
    <w:p>
      <w:pPr>
        <w:numPr>
          <w:ilvl w:val="0"/>
          <w:numId w:val="1015"/>
        </w:numPr>
        <w:pStyle w:val="Compact"/>
      </w:pPr>
      <w:r>
        <w:t xml:space="preserve">weak change management;</w:t>
      </w:r>
    </w:p>
    <w:p>
      <w:pPr>
        <w:numPr>
          <w:ilvl w:val="0"/>
          <w:numId w:val="1015"/>
        </w:numPr>
        <w:pStyle w:val="Compact"/>
      </w:pPr>
      <w:r>
        <w:t xml:space="preserve">technology limitations;</w:t>
      </w:r>
    </w:p>
    <w:p>
      <w:pPr>
        <w:numPr>
          <w:ilvl w:val="0"/>
          <w:numId w:val="1015"/>
        </w:numPr>
        <w:pStyle w:val="Compact"/>
      </w:pPr>
      <w:r>
        <w:t xml:space="preserve">incomplete monitoring;</w:t>
      </w:r>
    </w:p>
    <w:p>
      <w:pPr>
        <w:numPr>
          <w:ilvl w:val="0"/>
          <w:numId w:val="1015"/>
        </w:numPr>
        <w:pStyle w:val="Compact"/>
      </w:pPr>
      <w:r>
        <w:t xml:space="preserve">poor data quality;</w:t>
      </w:r>
    </w:p>
    <w:p>
      <w:pPr>
        <w:numPr>
          <w:ilvl w:val="0"/>
          <w:numId w:val="1015"/>
        </w:numPr>
        <w:pStyle w:val="Compact"/>
      </w:pPr>
      <w:r>
        <w:t xml:space="preserve">unmanaged third-party dependency;</w:t>
      </w:r>
    </w:p>
    <w:p>
      <w:pPr>
        <w:numPr>
          <w:ilvl w:val="0"/>
          <w:numId w:val="1015"/>
        </w:numPr>
        <w:pStyle w:val="Compact"/>
      </w:pPr>
      <w:r>
        <w:t xml:space="preserve">incentive or governance conflicts.</w:t>
      </w:r>
    </w:p>
    <w:p>
      <w:pPr>
        <w:pStyle w:val="FirstParagraph"/>
      </w:pPr>
      <w:r>
        <w:t xml:space="preserve">Use methods proportionate to the issue, such as five-whys analysis, causal mapping, barrier analysis, process walkthroughs, or comparative review of successful and failed cases.</w:t>
      </w:r>
    </w:p>
    <w:bookmarkEnd w:id="55"/>
    <w:bookmarkStart w:id="56" w:name="validate-the-cause"/>
    <w:p>
      <w:pPr>
        <w:pStyle w:val="Heading2"/>
      </w:pPr>
      <w:r>
        <w:t xml:space="preserve">Validate the cause</w:t>
      </w:r>
    </w:p>
    <w:p>
      <w:pPr>
        <w:pStyle w:val="FirstParagraph"/>
      </w:pPr>
      <w:r>
        <w:t xml:space="preserve">A proposed root cause should explain the observed condition and be supported by evidence. Test whether removing that cause would reasonably reduce recurrence. When several causes interact, document contributing causes rather than forcing a single explanation.</w:t>
      </w:r>
    </w:p>
    <w:bookmarkEnd w:id="56"/>
    <w:bookmarkStart w:id="57" w:name="risk-prioritization"/>
    <w:p>
      <w:pPr>
        <w:pStyle w:val="Heading2"/>
      </w:pPr>
      <w:r>
        <w:t xml:space="preserve">Risk prioritization</w:t>
      </w:r>
    </w:p>
    <w:p>
      <w:pPr>
        <w:pStyle w:val="FirstParagraph"/>
      </w:pPr>
      <w:r>
        <w:t xml:space="preserve">Severity should consider:</w:t>
      </w:r>
    </w:p>
    <w:p>
      <w:pPr>
        <w:numPr>
          <w:ilvl w:val="0"/>
          <w:numId w:val="1016"/>
        </w:numPr>
        <w:pStyle w:val="Compact"/>
      </w:pPr>
      <w:r>
        <w:t xml:space="preserve">consequence to objectives, customers, people, data, operations, finances, or legal obligations;</w:t>
      </w:r>
    </w:p>
    <w:p>
      <w:pPr>
        <w:numPr>
          <w:ilvl w:val="0"/>
          <w:numId w:val="1016"/>
        </w:numPr>
        <w:pStyle w:val="Compact"/>
      </w:pPr>
      <w:r>
        <w:t xml:space="preserve">likelihood or frequency;</w:t>
      </w:r>
    </w:p>
    <w:p>
      <w:pPr>
        <w:numPr>
          <w:ilvl w:val="0"/>
          <w:numId w:val="1016"/>
        </w:numPr>
        <w:pStyle w:val="Compact"/>
      </w:pPr>
      <w:r>
        <w:t xml:space="preserve">exposure duration;</w:t>
      </w:r>
    </w:p>
    <w:p>
      <w:pPr>
        <w:numPr>
          <w:ilvl w:val="0"/>
          <w:numId w:val="1016"/>
        </w:numPr>
        <w:pStyle w:val="Compact"/>
      </w:pPr>
      <w:r>
        <w:t xml:space="preserve">affected population and scope;</w:t>
      </w:r>
    </w:p>
    <w:p>
      <w:pPr>
        <w:numPr>
          <w:ilvl w:val="0"/>
          <w:numId w:val="1016"/>
        </w:numPr>
        <w:pStyle w:val="Compact"/>
      </w:pPr>
      <w:r>
        <w:t xml:space="preserve">control dependency and concentration;</w:t>
      </w:r>
    </w:p>
    <w:p>
      <w:pPr>
        <w:numPr>
          <w:ilvl w:val="0"/>
          <w:numId w:val="1016"/>
        </w:numPr>
        <w:pStyle w:val="Compact"/>
      </w:pPr>
      <w:r>
        <w:t xml:space="preserve">detectability;</w:t>
      </w:r>
    </w:p>
    <w:p>
      <w:pPr>
        <w:numPr>
          <w:ilvl w:val="0"/>
          <w:numId w:val="1016"/>
        </w:numPr>
        <w:pStyle w:val="Compact"/>
      </w:pPr>
      <w:r>
        <w:t xml:space="preserve">exploitability or misuse potential;</w:t>
      </w:r>
    </w:p>
    <w:p>
      <w:pPr>
        <w:numPr>
          <w:ilvl w:val="0"/>
          <w:numId w:val="1016"/>
        </w:numPr>
        <w:pStyle w:val="Compact"/>
      </w:pPr>
      <w:r>
        <w:t xml:space="preserve">regulatory, contractual, or reporting significance;</w:t>
      </w:r>
    </w:p>
    <w:p>
      <w:pPr>
        <w:numPr>
          <w:ilvl w:val="0"/>
          <w:numId w:val="1016"/>
        </w:numPr>
        <w:pStyle w:val="Compact"/>
      </w:pPr>
      <w:r>
        <w:t xml:space="preserve">presence and reliability of compensating controls;</w:t>
      </w:r>
    </w:p>
    <w:p>
      <w:pPr>
        <w:numPr>
          <w:ilvl w:val="0"/>
          <w:numId w:val="1016"/>
        </w:numPr>
        <w:pStyle w:val="Compact"/>
      </w:pPr>
      <w:r>
        <w:t xml:space="preserve">recurrence and prior management commitments.</w:t>
      </w:r>
    </w:p>
    <w:p>
      <w:pPr>
        <w:pStyle w:val="FirstParagraph"/>
      </w:pPr>
      <w:r>
        <w:t xml:space="preserve">A simple priority scale can be used when definitions are approved and consistently applied:</w:t>
      </w:r>
    </w:p>
    <w:p>
      <w:pPr>
        <w:numPr>
          <w:ilvl w:val="0"/>
          <w:numId w:val="1017"/>
        </w:numPr>
        <w:pStyle w:val="Compact"/>
      </w:pPr>
      <w:r>
        <w:rPr>
          <w:bCs/>
          <w:b/>
        </w:rPr>
        <w:t xml:space="preserve">Critical</w:t>
      </w:r>
      <w:r>
        <w:t xml:space="preserve"> </w:t>
      </w:r>
      <w:r>
        <w:t xml:space="preserve">— immediate or near-term threat requiring executive escalation and urgent containment.</w:t>
      </w:r>
    </w:p>
    <w:p>
      <w:pPr>
        <w:numPr>
          <w:ilvl w:val="0"/>
          <w:numId w:val="1017"/>
        </w:numPr>
        <w:pStyle w:val="Compact"/>
      </w:pPr>
      <w:r>
        <w:rPr>
          <w:bCs/>
          <w:b/>
        </w:rPr>
        <w:t xml:space="preserve">High</w:t>
      </w:r>
      <w:r>
        <w:t xml:space="preserve"> </w:t>
      </w:r>
      <w:r>
        <w:t xml:space="preserve">— material exposure requiring formal remediation and frequent oversight.</w:t>
      </w:r>
    </w:p>
    <w:p>
      <w:pPr>
        <w:numPr>
          <w:ilvl w:val="0"/>
          <w:numId w:val="1017"/>
        </w:numPr>
        <w:pStyle w:val="Compact"/>
      </w:pPr>
      <w:r>
        <w:rPr>
          <w:bCs/>
          <w:b/>
        </w:rPr>
        <w:t xml:space="preserve">Moderate</w:t>
      </w:r>
      <w:r>
        <w:t xml:space="preserve"> </w:t>
      </w:r>
      <w:r>
        <w:t xml:space="preserve">— meaningful weakness requiring planned correction and tracked completion.</w:t>
      </w:r>
    </w:p>
    <w:p>
      <w:pPr>
        <w:numPr>
          <w:ilvl w:val="0"/>
          <w:numId w:val="1017"/>
        </w:numPr>
        <w:pStyle w:val="Compact"/>
      </w:pPr>
      <w:r>
        <w:rPr>
          <w:bCs/>
          <w:b/>
        </w:rPr>
        <w:t xml:space="preserve">Low</w:t>
      </w:r>
      <w:r>
        <w:t xml:space="preserve"> </w:t>
      </w:r>
      <w:r>
        <w:t xml:space="preserve">— limited exposure suitable for routine improvement or monitored acceptance.</w:t>
      </w:r>
    </w:p>
    <w:bookmarkEnd w:id="57"/>
    <w:bookmarkStart w:id="58" w:name="challenge-and-calibration"/>
    <w:p>
      <w:pPr>
        <w:pStyle w:val="Heading2"/>
      </w:pPr>
      <w:r>
        <w:t xml:space="preserve">Challenge and calibration</w:t>
      </w:r>
    </w:p>
    <w:p>
      <w:pPr>
        <w:pStyle w:val="FirstParagraph"/>
      </w:pPr>
      <w:r>
        <w:t xml:space="preserve">Provide a controlled process for management to challenge factual accuracy, scope, criterion, severity, or ownership. Challenges must include evidence. Final classification should be documented, including unresolved disagreement and the accountable decision-maker.</w:t>
      </w:r>
    </w:p>
    <w:bookmarkEnd w:id="58"/>
    <w:bookmarkStart w:id="59" w:name="relationship-to-risk-acceptance"/>
    <w:p>
      <w:pPr>
        <w:pStyle w:val="Heading2"/>
      </w:pPr>
      <w:r>
        <w:t xml:space="preserve">Relationship to risk acceptance</w:t>
      </w:r>
    </w:p>
    <w:p>
      <w:pPr>
        <w:pStyle w:val="FirstParagraph"/>
      </w:pPr>
      <w:r>
        <w:t xml:space="preserve">Acceptance is a management decision, not an audit closure shortcut. The acceptance record should identify the remaining exposure, duration, compensating controls, monitoring, approval authority, and review date. Acceptance does not change an inaccurate control statement into an effective control.</w:t>
      </w:r>
    </w:p>
    <w:bookmarkEnd w:id="59"/>
    <w:bookmarkEnd w:id="60"/>
    <w:bookmarkStart w:id="72" w:name="remediation-planning-and-governance"/>
    <w:p>
      <w:pPr>
        <w:pStyle w:val="Heading1"/>
      </w:pPr>
      <w:r>
        <w:t xml:space="preserve">Remediation Planning and Governance</w:t>
      </w:r>
    </w:p>
    <w:bookmarkStart w:id="61" w:name="purpose-1"/>
    <w:p>
      <w:pPr>
        <w:pStyle w:val="Heading2"/>
      </w:pPr>
      <w:r>
        <w:t xml:space="preserve">Purpose</w:t>
      </w:r>
    </w:p>
    <w:p>
      <w:pPr>
        <w:pStyle w:val="FirstParagraph"/>
      </w:pPr>
      <w:r>
        <w:t xml:space="preserve">A remediation plan converts an accepted finding into accountable, testable work. It should reduce the identified risk, address the validated cause, and produce evidence suitable for independent closure review.</w:t>
      </w:r>
    </w:p>
    <w:bookmarkEnd w:id="61"/>
    <w:bookmarkStart w:id="62" w:name="minimum-remediation-plan-content"/>
    <w:p>
      <w:pPr>
        <w:pStyle w:val="Heading2"/>
      </w:pPr>
      <w:r>
        <w:t xml:space="preserve">Minimum remediation-plan content</w:t>
      </w:r>
    </w:p>
    <w:p>
      <w:pPr>
        <w:pStyle w:val="FirstParagraph"/>
      </w:pPr>
      <w:r>
        <w:t xml:space="preserve">Each plan should record:</w:t>
      </w:r>
    </w:p>
    <w:p>
      <w:pPr>
        <w:numPr>
          <w:ilvl w:val="0"/>
          <w:numId w:val="1018"/>
        </w:numPr>
        <w:pStyle w:val="Compact"/>
      </w:pPr>
      <w:r>
        <w:t xml:space="preserve">finding identifier and title;</w:t>
      </w:r>
    </w:p>
    <w:p>
      <w:pPr>
        <w:numPr>
          <w:ilvl w:val="0"/>
          <w:numId w:val="1018"/>
        </w:numPr>
        <w:pStyle w:val="Compact"/>
      </w:pPr>
      <w:r>
        <w:t xml:space="preserve">applicable criterion and risk statement;</w:t>
      </w:r>
    </w:p>
    <w:p>
      <w:pPr>
        <w:numPr>
          <w:ilvl w:val="0"/>
          <w:numId w:val="1018"/>
        </w:numPr>
        <w:pStyle w:val="Compact"/>
      </w:pPr>
      <w:r>
        <w:t xml:space="preserve">validated root and contributing causes;</w:t>
      </w:r>
    </w:p>
    <w:p>
      <w:pPr>
        <w:numPr>
          <w:ilvl w:val="0"/>
          <w:numId w:val="1018"/>
        </w:numPr>
        <w:pStyle w:val="Compact"/>
      </w:pPr>
      <w:r>
        <w:t xml:space="preserve">interim containment or compensating controls;</w:t>
      </w:r>
    </w:p>
    <w:p>
      <w:pPr>
        <w:numPr>
          <w:ilvl w:val="0"/>
          <w:numId w:val="1018"/>
        </w:numPr>
        <w:pStyle w:val="Compact"/>
      </w:pPr>
      <w:r>
        <w:t xml:space="preserve">planned corrective actions;</w:t>
      </w:r>
    </w:p>
    <w:p>
      <w:pPr>
        <w:numPr>
          <w:ilvl w:val="0"/>
          <w:numId w:val="1018"/>
        </w:numPr>
        <w:pStyle w:val="Compact"/>
      </w:pPr>
      <w:r>
        <w:t xml:space="preserve">accountable executive and action owner;</w:t>
      </w:r>
    </w:p>
    <w:p>
      <w:pPr>
        <w:numPr>
          <w:ilvl w:val="0"/>
          <w:numId w:val="1018"/>
        </w:numPr>
        <w:pStyle w:val="Compact"/>
      </w:pPr>
      <w:r>
        <w:t xml:space="preserve">dependencies and required resources;</w:t>
      </w:r>
    </w:p>
    <w:p>
      <w:pPr>
        <w:numPr>
          <w:ilvl w:val="0"/>
          <w:numId w:val="1018"/>
        </w:numPr>
        <w:pStyle w:val="Compact"/>
      </w:pPr>
      <w:r>
        <w:t xml:space="preserve">milestones and target dates;</w:t>
      </w:r>
    </w:p>
    <w:p>
      <w:pPr>
        <w:numPr>
          <w:ilvl w:val="0"/>
          <w:numId w:val="1018"/>
        </w:numPr>
        <w:pStyle w:val="Compact"/>
      </w:pPr>
      <w:r>
        <w:t xml:space="preserve">success measures;</w:t>
      </w:r>
    </w:p>
    <w:p>
      <w:pPr>
        <w:numPr>
          <w:ilvl w:val="0"/>
          <w:numId w:val="1018"/>
        </w:numPr>
        <w:pStyle w:val="Compact"/>
      </w:pPr>
      <w:r>
        <w:t xml:space="preserve">expected closure evidence;</w:t>
      </w:r>
    </w:p>
    <w:p>
      <w:pPr>
        <w:numPr>
          <w:ilvl w:val="0"/>
          <w:numId w:val="1018"/>
        </w:numPr>
        <w:pStyle w:val="Compact"/>
      </w:pPr>
      <w:r>
        <w:t xml:space="preserve">residual risk after completion;</w:t>
      </w:r>
    </w:p>
    <w:p>
      <w:pPr>
        <w:numPr>
          <w:ilvl w:val="0"/>
          <w:numId w:val="1018"/>
        </w:numPr>
        <w:pStyle w:val="Compact"/>
      </w:pPr>
      <w:r>
        <w:t xml:space="preserve">escalation path;</w:t>
      </w:r>
    </w:p>
    <w:p>
      <w:pPr>
        <w:numPr>
          <w:ilvl w:val="0"/>
          <w:numId w:val="1018"/>
        </w:numPr>
        <w:pStyle w:val="Compact"/>
      </w:pPr>
      <w:r>
        <w:t xml:space="preserve">approval and change history.</w:t>
      </w:r>
    </w:p>
    <w:bookmarkEnd w:id="62"/>
    <w:bookmarkStart w:id="63" w:name="X00994e2fdf86f27b823fe61e86046825ac90795"/>
    <w:p>
      <w:pPr>
        <w:pStyle w:val="Heading2"/>
      </w:pPr>
      <w:r>
        <w:t xml:space="preserve">Correction, containment, and corrective action</w:t>
      </w:r>
    </w:p>
    <w:p>
      <w:pPr>
        <w:pStyle w:val="FirstParagraph"/>
      </w:pPr>
      <w:r>
        <w:t xml:space="preserve">Keep these concepts distinct:</w:t>
      </w:r>
    </w:p>
    <w:p>
      <w:pPr>
        <w:numPr>
          <w:ilvl w:val="0"/>
          <w:numId w:val="1019"/>
        </w:numPr>
        <w:pStyle w:val="Compact"/>
      </w:pPr>
      <w:r>
        <w:rPr>
          <w:bCs/>
          <w:b/>
        </w:rPr>
        <w:t xml:space="preserve">Correction</w:t>
      </w:r>
      <w:r>
        <w:t xml:space="preserve"> </w:t>
      </w:r>
      <w:r>
        <w:t xml:space="preserve">fixes a detected instance, such as disabling an overdue account.</w:t>
      </w:r>
    </w:p>
    <w:p>
      <w:pPr>
        <w:numPr>
          <w:ilvl w:val="0"/>
          <w:numId w:val="1019"/>
        </w:numPr>
        <w:pStyle w:val="Compact"/>
      </w:pPr>
      <w:r>
        <w:rPr>
          <w:bCs/>
          <w:b/>
        </w:rPr>
        <w:t xml:space="preserve">Containment</w:t>
      </w:r>
      <w:r>
        <w:t xml:space="preserve"> </w:t>
      </w:r>
      <w:r>
        <w:t xml:space="preserve">limits exposure while the permanent solution is developed.</w:t>
      </w:r>
    </w:p>
    <w:p>
      <w:pPr>
        <w:numPr>
          <w:ilvl w:val="0"/>
          <w:numId w:val="1019"/>
        </w:numPr>
        <w:pStyle w:val="Compact"/>
      </w:pPr>
      <w:r>
        <w:rPr>
          <w:bCs/>
          <w:b/>
        </w:rPr>
        <w:t xml:space="preserve">Corrective action</w:t>
      </w:r>
      <w:r>
        <w:t xml:space="preserve"> </w:t>
      </w:r>
      <w:r>
        <w:t xml:space="preserve">changes the process, control, technology, accountability, or monitoring so recurrence is less likely.</w:t>
      </w:r>
    </w:p>
    <w:p>
      <w:pPr>
        <w:pStyle w:val="FirstParagraph"/>
      </w:pPr>
      <w:r>
        <w:t xml:space="preserve">A plan that only corrects sampled instances may leave the underlying weakness intact.</w:t>
      </w:r>
    </w:p>
    <w:bookmarkEnd w:id="63"/>
    <w:bookmarkStart w:id="64" w:name="design-actions-against-the-cause"/>
    <w:p>
      <w:pPr>
        <w:pStyle w:val="Heading2"/>
      </w:pPr>
      <w:r>
        <w:t xml:space="preserve">Design actions against the cause</w:t>
      </w:r>
    </w:p>
    <w:p>
      <w:pPr>
        <w:pStyle w:val="FirstParagraph"/>
      </w:pPr>
      <w:r>
        <w:t xml:space="preserve">Map every action to the cause it addresses. Examples include:</w:t>
      </w:r>
    </w:p>
    <w:p>
      <w:pPr>
        <w:numPr>
          <w:ilvl w:val="0"/>
          <w:numId w:val="1020"/>
        </w:numPr>
        <w:pStyle w:val="Compact"/>
      </w:pPr>
      <w:r>
        <w:t xml:space="preserve">clarify ownership and decision rights;</w:t>
      </w:r>
    </w:p>
    <w:p>
      <w:pPr>
        <w:numPr>
          <w:ilvl w:val="0"/>
          <w:numId w:val="1020"/>
        </w:numPr>
        <w:pStyle w:val="Compact"/>
      </w:pPr>
      <w:r>
        <w:t xml:space="preserve">revise process steps and approval gates;</w:t>
      </w:r>
    </w:p>
    <w:p>
      <w:pPr>
        <w:numPr>
          <w:ilvl w:val="0"/>
          <w:numId w:val="1020"/>
        </w:numPr>
        <w:pStyle w:val="Compact"/>
      </w:pPr>
      <w:r>
        <w:t xml:space="preserve">automate a manual control with appropriate oversight;</w:t>
      </w:r>
    </w:p>
    <w:p>
      <w:pPr>
        <w:numPr>
          <w:ilvl w:val="0"/>
          <w:numId w:val="1020"/>
        </w:numPr>
        <w:pStyle w:val="Compact"/>
      </w:pPr>
      <w:r>
        <w:t xml:space="preserve">correct authoritative data sources;</w:t>
      </w:r>
    </w:p>
    <w:p>
      <w:pPr>
        <w:numPr>
          <w:ilvl w:val="0"/>
          <w:numId w:val="1020"/>
        </w:numPr>
        <w:pStyle w:val="Compact"/>
      </w:pPr>
      <w:r>
        <w:t xml:space="preserve">strengthen monitoring and exception reporting;</w:t>
      </w:r>
    </w:p>
    <w:p>
      <w:pPr>
        <w:numPr>
          <w:ilvl w:val="0"/>
          <w:numId w:val="1020"/>
        </w:numPr>
        <w:pStyle w:val="Compact"/>
      </w:pPr>
      <w:r>
        <w:t xml:space="preserve">revise contracts or supplier requirements;</w:t>
      </w:r>
    </w:p>
    <w:p>
      <w:pPr>
        <w:numPr>
          <w:ilvl w:val="0"/>
          <w:numId w:val="1020"/>
        </w:numPr>
        <w:pStyle w:val="Compact"/>
      </w:pPr>
      <w:r>
        <w:t xml:space="preserve">add capacity, training, or segregation of duties;</w:t>
      </w:r>
    </w:p>
    <w:p>
      <w:pPr>
        <w:numPr>
          <w:ilvl w:val="0"/>
          <w:numId w:val="1020"/>
        </w:numPr>
        <w:pStyle w:val="Compact"/>
      </w:pPr>
      <w:r>
        <w:t xml:space="preserve">redesign control frequency or coverage.</w:t>
      </w:r>
    </w:p>
    <w:p>
      <w:pPr>
        <w:pStyle w:val="FirstParagraph"/>
      </w:pPr>
      <w:r>
        <w:t xml:space="preserve">Avoid action statements such as</w:t>
      </w:r>
      <w:r>
        <w:t xml:space="preserve"> </w:t>
      </w:r>
      <w:r>
        <w:t xml:space="preserve">“</w:t>
      </w:r>
      <w:r>
        <w:t xml:space="preserve">improve process,</w:t>
      </w:r>
      <w:r>
        <w:t xml:space="preserve">”</w:t>
      </w:r>
      <w:r>
        <w:t xml:space="preserve"> </w:t>
      </w:r>
      <w:r>
        <w:t xml:space="preserve">“</w:t>
      </w:r>
      <w:r>
        <w:t xml:space="preserve">monitor closely,</w:t>
      </w:r>
      <w:r>
        <w:t xml:space="preserve">”</w:t>
      </w:r>
      <w:r>
        <w:t xml:space="preserve"> </w:t>
      </w:r>
      <w:r>
        <w:t xml:space="preserve">or</w:t>
      </w:r>
      <w:r>
        <w:t xml:space="preserve"> </w:t>
      </w:r>
      <w:r>
        <w:t xml:space="preserve">“</w:t>
      </w:r>
      <w:r>
        <w:t xml:space="preserve">train staff</w:t>
      </w:r>
      <w:r>
        <w:t xml:space="preserve">”</w:t>
      </w:r>
      <w:r>
        <w:t xml:space="preserve"> </w:t>
      </w:r>
      <w:r>
        <w:t xml:space="preserve">without measurable completion criteria.</w:t>
      </w:r>
    </w:p>
    <w:bookmarkEnd w:id="64"/>
    <w:bookmarkStart w:id="65" w:name="milestone-design"/>
    <w:p>
      <w:pPr>
        <w:pStyle w:val="Heading2"/>
      </w:pPr>
      <w:r>
        <w:t xml:space="preserve">Milestone design</w:t>
      </w:r>
    </w:p>
    <w:p>
      <w:pPr>
        <w:pStyle w:val="FirstParagraph"/>
      </w:pPr>
      <w:r>
        <w:t xml:space="preserve">Use milestones that represent independently verifiable outcomes. A practical sequence may include:</w:t>
      </w:r>
    </w:p>
    <w:p>
      <w:pPr>
        <w:numPr>
          <w:ilvl w:val="0"/>
          <w:numId w:val="1021"/>
        </w:numPr>
        <w:pStyle w:val="Compact"/>
      </w:pPr>
      <w:r>
        <w:t xml:space="preserve">containment implemented;</w:t>
      </w:r>
    </w:p>
    <w:p>
      <w:pPr>
        <w:numPr>
          <w:ilvl w:val="0"/>
          <w:numId w:val="1021"/>
        </w:numPr>
        <w:pStyle w:val="Compact"/>
      </w:pPr>
      <w:r>
        <w:t xml:space="preserve">solution design approved;</w:t>
      </w:r>
    </w:p>
    <w:p>
      <w:pPr>
        <w:numPr>
          <w:ilvl w:val="0"/>
          <w:numId w:val="1021"/>
        </w:numPr>
        <w:pStyle w:val="Compact"/>
      </w:pPr>
      <w:r>
        <w:t xml:space="preserve">configuration or procedure completed;</w:t>
      </w:r>
    </w:p>
    <w:p>
      <w:pPr>
        <w:numPr>
          <w:ilvl w:val="0"/>
          <w:numId w:val="1021"/>
        </w:numPr>
        <w:pStyle w:val="Compact"/>
      </w:pPr>
      <w:r>
        <w:t xml:space="preserve">population corrected;</w:t>
      </w:r>
    </w:p>
    <w:p>
      <w:pPr>
        <w:numPr>
          <w:ilvl w:val="0"/>
          <w:numId w:val="1021"/>
        </w:numPr>
        <w:pStyle w:val="Compact"/>
      </w:pPr>
      <w:r>
        <w:t xml:space="preserve">monitoring activated;</w:t>
      </w:r>
    </w:p>
    <w:p>
      <w:pPr>
        <w:numPr>
          <w:ilvl w:val="0"/>
          <w:numId w:val="1021"/>
        </w:numPr>
        <w:pStyle w:val="Compact"/>
      </w:pPr>
      <w:r>
        <w:t xml:space="preserve">operating period completed;</w:t>
      </w:r>
    </w:p>
    <w:p>
      <w:pPr>
        <w:numPr>
          <w:ilvl w:val="0"/>
          <w:numId w:val="1021"/>
        </w:numPr>
        <w:pStyle w:val="Compact"/>
      </w:pPr>
      <w:r>
        <w:t xml:space="preserve">closure evidence submitted;</w:t>
      </w:r>
    </w:p>
    <w:p>
      <w:pPr>
        <w:numPr>
          <w:ilvl w:val="0"/>
          <w:numId w:val="1021"/>
        </w:numPr>
        <w:pStyle w:val="Compact"/>
      </w:pPr>
      <w:r>
        <w:t xml:space="preserve">independent validation completed.</w:t>
      </w:r>
    </w:p>
    <w:bookmarkEnd w:id="65"/>
    <w:bookmarkStart w:id="66" w:name="ownership-and-accountability"/>
    <w:p>
      <w:pPr>
        <w:pStyle w:val="Heading2"/>
      </w:pPr>
      <w:r>
        <w:t xml:space="preserve">Ownership and accountability</w:t>
      </w:r>
    </w:p>
    <w:p>
      <w:pPr>
        <w:pStyle w:val="FirstParagraph"/>
      </w:pPr>
      <w:r>
        <w:t xml:space="preserve">The executive owner accepts accountability for risk reduction and resources. The action owner manages execution. GRC, audit, or compliance may coordinate and challenge but should not silently become the business owner.</w:t>
      </w:r>
    </w:p>
    <w:bookmarkEnd w:id="66"/>
    <w:bookmarkStart w:id="67" w:name="due-date-discipline"/>
    <w:p>
      <w:pPr>
        <w:pStyle w:val="Heading2"/>
      </w:pPr>
      <w:r>
        <w:t xml:space="preserve">Due-date discipline</w:t>
      </w:r>
    </w:p>
    <w:p>
      <w:pPr>
        <w:pStyle w:val="FirstParagraph"/>
      </w:pPr>
      <w:r>
        <w:t xml:space="preserve">Set dates based on severity, exposure, dependencies, and implementation complexity. Extensions should require:</w:t>
      </w:r>
    </w:p>
    <w:p>
      <w:pPr>
        <w:numPr>
          <w:ilvl w:val="0"/>
          <w:numId w:val="1022"/>
        </w:numPr>
        <w:pStyle w:val="Compact"/>
      </w:pPr>
      <w:r>
        <w:t xml:space="preserve">documented reason;</w:t>
      </w:r>
    </w:p>
    <w:p>
      <w:pPr>
        <w:numPr>
          <w:ilvl w:val="0"/>
          <w:numId w:val="1022"/>
        </w:numPr>
        <w:pStyle w:val="Compact"/>
      </w:pPr>
      <w:r>
        <w:t xml:space="preserve">completed work and remaining work;</w:t>
      </w:r>
    </w:p>
    <w:p>
      <w:pPr>
        <w:numPr>
          <w:ilvl w:val="0"/>
          <w:numId w:val="1022"/>
        </w:numPr>
        <w:pStyle w:val="Compact"/>
      </w:pPr>
      <w:r>
        <w:t xml:space="preserve">updated exposure assessment;</w:t>
      </w:r>
    </w:p>
    <w:p>
      <w:pPr>
        <w:numPr>
          <w:ilvl w:val="0"/>
          <w:numId w:val="1022"/>
        </w:numPr>
        <w:pStyle w:val="Compact"/>
      </w:pPr>
      <w:r>
        <w:t xml:space="preserve">interim controls;</w:t>
      </w:r>
    </w:p>
    <w:p>
      <w:pPr>
        <w:numPr>
          <w:ilvl w:val="0"/>
          <w:numId w:val="1022"/>
        </w:numPr>
        <w:pStyle w:val="Compact"/>
      </w:pPr>
      <w:r>
        <w:t xml:space="preserve">revised milestones;</w:t>
      </w:r>
    </w:p>
    <w:p>
      <w:pPr>
        <w:numPr>
          <w:ilvl w:val="0"/>
          <w:numId w:val="1022"/>
        </w:numPr>
        <w:pStyle w:val="Compact"/>
      </w:pPr>
      <w:r>
        <w:t xml:space="preserve">accountable approval;</w:t>
      </w:r>
    </w:p>
    <w:p>
      <w:pPr>
        <w:numPr>
          <w:ilvl w:val="0"/>
          <w:numId w:val="1022"/>
        </w:numPr>
        <w:pStyle w:val="Compact"/>
      </w:pPr>
      <w:r>
        <w:t xml:space="preserve">next review date.</w:t>
      </w:r>
    </w:p>
    <w:p>
      <w:pPr>
        <w:pStyle w:val="FirstParagraph"/>
      </w:pPr>
      <w:r>
        <w:t xml:space="preserve">Repeated extensions indicate a governance issue and should trigger escalation.</w:t>
      </w:r>
    </w:p>
    <w:bookmarkEnd w:id="67"/>
    <w:bookmarkStart w:id="68" w:name="change-control"/>
    <w:p>
      <w:pPr>
        <w:pStyle w:val="Heading2"/>
      </w:pPr>
      <w:r>
        <w:t xml:space="preserve">Change control</w:t>
      </w:r>
    </w:p>
    <w:p>
      <w:pPr>
        <w:pStyle w:val="FirstParagraph"/>
      </w:pPr>
      <w:r>
        <w:t xml:space="preserve">Plans may change when facts, scope, technology, or dependencies change. Preserve the original commitment, revision history, rationale, approver, and impact on risk. Never overwrite missed commitments without an audit trail.</w:t>
      </w:r>
    </w:p>
    <w:bookmarkEnd w:id="68"/>
    <w:bookmarkStart w:id="69" w:name="resource-and-dependency-management"/>
    <w:p>
      <w:pPr>
        <w:pStyle w:val="Heading2"/>
      </w:pPr>
      <w:r>
        <w:t xml:space="preserve">Resource and dependency management</w:t>
      </w:r>
    </w:p>
    <w:p>
      <w:pPr>
        <w:pStyle w:val="FirstParagraph"/>
      </w:pPr>
      <w:r>
        <w:t xml:space="preserve">Identify funding, staffing, procurement, architecture, vendor, legal, privacy, data, and change-window dependencies. Track blocked actions separately from unstarted work. Escalate unresolved dependencies before the due date becomes unattainable.</w:t>
      </w:r>
    </w:p>
    <w:bookmarkEnd w:id="69"/>
    <w:bookmarkStart w:id="70" w:name="metrics"/>
    <w:p>
      <w:pPr>
        <w:pStyle w:val="Heading2"/>
      </w:pPr>
      <w:r>
        <w:t xml:space="preserve">Metrics</w:t>
      </w:r>
    </w:p>
    <w:p>
      <w:pPr>
        <w:pStyle w:val="FirstParagraph"/>
      </w:pPr>
      <w:r>
        <w:t xml:space="preserve">Useful remediation metrics include:</w:t>
      </w:r>
    </w:p>
    <w:p>
      <w:pPr>
        <w:numPr>
          <w:ilvl w:val="0"/>
          <w:numId w:val="1023"/>
        </w:numPr>
        <w:pStyle w:val="Compact"/>
      </w:pPr>
      <w:r>
        <w:t xml:space="preserve">open findings by severity and age;</w:t>
      </w:r>
    </w:p>
    <w:p>
      <w:pPr>
        <w:numPr>
          <w:ilvl w:val="0"/>
          <w:numId w:val="1023"/>
        </w:numPr>
        <w:pStyle w:val="Compact"/>
      </w:pPr>
      <w:r>
        <w:t xml:space="preserve">overdue actions and extensions;</w:t>
      </w:r>
    </w:p>
    <w:p>
      <w:pPr>
        <w:numPr>
          <w:ilvl w:val="0"/>
          <w:numId w:val="1023"/>
        </w:numPr>
        <w:pStyle w:val="Compact"/>
      </w:pPr>
      <w:r>
        <w:t xml:space="preserve">time from finding acceptance to plan approval;</w:t>
      </w:r>
    </w:p>
    <w:p>
      <w:pPr>
        <w:numPr>
          <w:ilvl w:val="0"/>
          <w:numId w:val="1023"/>
        </w:numPr>
        <w:pStyle w:val="Compact"/>
      </w:pPr>
      <w:r>
        <w:t xml:space="preserve">milestone completion rate;</w:t>
      </w:r>
    </w:p>
    <w:p>
      <w:pPr>
        <w:numPr>
          <w:ilvl w:val="0"/>
          <w:numId w:val="1023"/>
        </w:numPr>
        <w:pStyle w:val="Compact"/>
      </w:pPr>
      <w:r>
        <w:t xml:space="preserve">repeat findings;</w:t>
      </w:r>
    </w:p>
    <w:p>
      <w:pPr>
        <w:numPr>
          <w:ilvl w:val="0"/>
          <w:numId w:val="1023"/>
        </w:numPr>
        <w:pStyle w:val="Compact"/>
      </w:pPr>
      <w:r>
        <w:t xml:space="preserve">closure rejection rate;</w:t>
      </w:r>
    </w:p>
    <w:p>
      <w:pPr>
        <w:numPr>
          <w:ilvl w:val="0"/>
          <w:numId w:val="1023"/>
        </w:numPr>
        <w:pStyle w:val="Compact"/>
      </w:pPr>
      <w:r>
        <w:t xml:space="preserve">findings reopened after closure;</w:t>
      </w:r>
    </w:p>
    <w:p>
      <w:pPr>
        <w:numPr>
          <w:ilvl w:val="0"/>
          <w:numId w:val="1023"/>
        </w:numPr>
        <w:pStyle w:val="Compact"/>
      </w:pPr>
      <w:r>
        <w:t xml:space="preserve">concentration by owner, process, system, or cause;</w:t>
      </w:r>
    </w:p>
    <w:p>
      <w:pPr>
        <w:numPr>
          <w:ilvl w:val="0"/>
          <w:numId w:val="1023"/>
        </w:numPr>
        <w:pStyle w:val="Compact"/>
      </w:pPr>
      <w:r>
        <w:t xml:space="preserve">residual-risk trend.</w:t>
      </w:r>
    </w:p>
    <w:p>
      <w:pPr>
        <w:pStyle w:val="FirstParagraph"/>
      </w:pPr>
      <w:r>
        <w:t xml:space="preserve">Metrics should support decisions, not encourage superficial closure.</w:t>
      </w:r>
    </w:p>
    <w:bookmarkEnd w:id="70"/>
    <w:bookmarkStart w:id="71" w:name="Xf5793067cd63512c2bfa2ec8dfa34134a076229"/>
    <w:p>
      <w:pPr>
        <w:pStyle w:val="Heading2"/>
      </w:pPr>
      <w:r>
        <w:t xml:space="preserve">Risk acceptance and alternative treatment</w:t>
      </w:r>
    </w:p>
    <w:p>
      <w:pPr>
        <w:pStyle w:val="FirstParagraph"/>
      </w:pPr>
      <w:r>
        <w:t xml:space="preserve">When remediation is impractical or disproportionate, management may choose acceptance, transfer, avoidance, or an alternative control. The decision must remain explicit, time-bound where appropriate, and approved at the authority level required by the organization’s risk governance.</w:t>
      </w:r>
    </w:p>
    <w:bookmarkEnd w:id="71"/>
    <w:bookmarkEnd w:id="72"/>
    <w:bookmarkStart w:id="84" w:name="closure-validation-and-sustainability"/>
    <w:p>
      <w:pPr>
        <w:pStyle w:val="Heading1"/>
      </w:pPr>
      <w:r>
        <w:t xml:space="preserve">Closure Validation and Sustainability</w:t>
      </w:r>
    </w:p>
    <w:bookmarkStart w:id="73" w:name="purpose-2"/>
    <w:p>
      <w:pPr>
        <w:pStyle w:val="Heading2"/>
      </w:pPr>
      <w:r>
        <w:t xml:space="preserve">Purpose</w:t>
      </w:r>
    </w:p>
    <w:p>
      <w:pPr>
        <w:pStyle w:val="FirstParagraph"/>
      </w:pPr>
      <w:r>
        <w:t xml:space="preserve">Closure validation determines whether corrective action was completed, addresses the finding and its cause, and operates sufficiently to reduce the identified risk. Completion of tasks is not the same as demonstrated effectiveness.</w:t>
      </w:r>
    </w:p>
    <w:bookmarkEnd w:id="73"/>
    <w:bookmarkStart w:id="74" w:name="closure-criteria"/>
    <w:p>
      <w:pPr>
        <w:pStyle w:val="Heading2"/>
      </w:pPr>
      <w:r>
        <w:t xml:space="preserve">Closure criteria</w:t>
      </w:r>
    </w:p>
    <w:p>
      <w:pPr>
        <w:pStyle w:val="FirstParagraph"/>
      </w:pPr>
      <w:r>
        <w:t xml:space="preserve">Define closure criteria when the remediation plan is approved. Criteria should identify:</w:t>
      </w:r>
    </w:p>
    <w:p>
      <w:pPr>
        <w:numPr>
          <w:ilvl w:val="0"/>
          <w:numId w:val="1024"/>
        </w:numPr>
        <w:pStyle w:val="Compact"/>
      </w:pPr>
      <w:r>
        <w:t xml:space="preserve">required deliverables;</w:t>
      </w:r>
    </w:p>
    <w:p>
      <w:pPr>
        <w:numPr>
          <w:ilvl w:val="0"/>
          <w:numId w:val="1024"/>
        </w:numPr>
        <w:pStyle w:val="Compact"/>
      </w:pPr>
      <w:r>
        <w:t xml:space="preserve">affected population or scope;</w:t>
      </w:r>
    </w:p>
    <w:p>
      <w:pPr>
        <w:numPr>
          <w:ilvl w:val="0"/>
          <w:numId w:val="1024"/>
        </w:numPr>
        <w:pStyle w:val="Compact"/>
      </w:pPr>
      <w:r>
        <w:t xml:space="preserve">expected control design;</w:t>
      </w:r>
    </w:p>
    <w:p>
      <w:pPr>
        <w:numPr>
          <w:ilvl w:val="0"/>
          <w:numId w:val="1024"/>
        </w:numPr>
        <w:pStyle w:val="Compact"/>
      </w:pPr>
      <w:r>
        <w:t xml:space="preserve">required operating period;</w:t>
      </w:r>
    </w:p>
    <w:p>
      <w:pPr>
        <w:numPr>
          <w:ilvl w:val="0"/>
          <w:numId w:val="1024"/>
        </w:numPr>
        <w:pStyle w:val="Compact"/>
      </w:pPr>
      <w:r>
        <w:t xml:space="preserve">sample or test method;</w:t>
      </w:r>
    </w:p>
    <w:p>
      <w:pPr>
        <w:numPr>
          <w:ilvl w:val="0"/>
          <w:numId w:val="1024"/>
        </w:numPr>
        <w:pStyle w:val="Compact"/>
      </w:pPr>
      <w:r>
        <w:t xml:space="preserve">success threshold;</w:t>
      </w:r>
    </w:p>
    <w:p>
      <w:pPr>
        <w:numPr>
          <w:ilvl w:val="0"/>
          <w:numId w:val="1024"/>
        </w:numPr>
        <w:pStyle w:val="Compact"/>
      </w:pPr>
      <w:r>
        <w:t xml:space="preserve">evidence format and provenance;</w:t>
      </w:r>
    </w:p>
    <w:p>
      <w:pPr>
        <w:numPr>
          <w:ilvl w:val="0"/>
          <w:numId w:val="1024"/>
        </w:numPr>
        <w:pStyle w:val="Compact"/>
      </w:pPr>
      <w:r>
        <w:t xml:space="preserve">residual-risk expectation;</w:t>
      </w:r>
    </w:p>
    <w:p>
      <w:pPr>
        <w:numPr>
          <w:ilvl w:val="0"/>
          <w:numId w:val="1024"/>
        </w:numPr>
        <w:pStyle w:val="Compact"/>
      </w:pPr>
      <w:r>
        <w:t xml:space="preserve">validator and approval authority.</w:t>
      </w:r>
    </w:p>
    <w:bookmarkEnd w:id="74"/>
    <w:bookmarkStart w:id="75" w:name="closure-evidence"/>
    <w:p>
      <w:pPr>
        <w:pStyle w:val="Heading2"/>
      </w:pPr>
      <w:r>
        <w:t xml:space="preserve">Closure evidence</w:t>
      </w:r>
    </w:p>
    <w:p>
      <w:pPr>
        <w:pStyle w:val="FirstParagraph"/>
      </w:pPr>
      <w:r>
        <w:t xml:space="preserve">Depending on the issue, evidence may include:</w:t>
      </w:r>
    </w:p>
    <w:p>
      <w:pPr>
        <w:numPr>
          <w:ilvl w:val="0"/>
          <w:numId w:val="1025"/>
        </w:numPr>
        <w:pStyle w:val="Compact"/>
      </w:pPr>
      <w:r>
        <w:t xml:space="preserve">approved policies and procedures;</w:t>
      </w:r>
    </w:p>
    <w:p>
      <w:pPr>
        <w:numPr>
          <w:ilvl w:val="0"/>
          <w:numId w:val="1025"/>
        </w:numPr>
        <w:pStyle w:val="Compact"/>
      </w:pPr>
      <w:r>
        <w:t xml:space="preserve">configuration exports;</w:t>
      </w:r>
    </w:p>
    <w:p>
      <w:pPr>
        <w:numPr>
          <w:ilvl w:val="0"/>
          <w:numId w:val="1025"/>
        </w:numPr>
        <w:pStyle w:val="Compact"/>
      </w:pPr>
      <w:r>
        <w:t xml:space="preserve">population reports;</w:t>
      </w:r>
    </w:p>
    <w:p>
      <w:pPr>
        <w:numPr>
          <w:ilvl w:val="0"/>
          <w:numId w:val="1025"/>
        </w:numPr>
        <w:pStyle w:val="Compact"/>
      </w:pPr>
      <w:r>
        <w:t xml:space="preserve">implementation records;</w:t>
      </w:r>
    </w:p>
    <w:p>
      <w:pPr>
        <w:numPr>
          <w:ilvl w:val="0"/>
          <w:numId w:val="1025"/>
        </w:numPr>
        <w:pStyle w:val="Compact"/>
      </w:pPr>
      <w:r>
        <w:t xml:space="preserve">system-generated logs;</w:t>
      </w:r>
    </w:p>
    <w:p>
      <w:pPr>
        <w:numPr>
          <w:ilvl w:val="0"/>
          <w:numId w:val="1025"/>
        </w:numPr>
        <w:pStyle w:val="Compact"/>
      </w:pPr>
      <w:r>
        <w:t xml:space="preserve">completed access reviews;</w:t>
      </w:r>
    </w:p>
    <w:p>
      <w:pPr>
        <w:numPr>
          <w:ilvl w:val="0"/>
          <w:numId w:val="1025"/>
        </w:numPr>
        <w:pStyle w:val="Compact"/>
      </w:pPr>
      <w:r>
        <w:t xml:space="preserve">test scripts and results;</w:t>
      </w:r>
    </w:p>
    <w:p>
      <w:pPr>
        <w:numPr>
          <w:ilvl w:val="0"/>
          <w:numId w:val="1025"/>
        </w:numPr>
        <w:pStyle w:val="Compact"/>
      </w:pPr>
      <w:r>
        <w:t xml:space="preserve">training records;</w:t>
      </w:r>
    </w:p>
    <w:p>
      <w:pPr>
        <w:numPr>
          <w:ilvl w:val="0"/>
          <w:numId w:val="1025"/>
        </w:numPr>
        <w:pStyle w:val="Compact"/>
      </w:pPr>
      <w:r>
        <w:t xml:space="preserve">monitoring dashboards;</w:t>
      </w:r>
    </w:p>
    <w:p>
      <w:pPr>
        <w:numPr>
          <w:ilvl w:val="0"/>
          <w:numId w:val="1025"/>
        </w:numPr>
        <w:pStyle w:val="Compact"/>
      </w:pPr>
      <w:r>
        <w:t xml:space="preserve">exception reports;</w:t>
      </w:r>
    </w:p>
    <w:p>
      <w:pPr>
        <w:numPr>
          <w:ilvl w:val="0"/>
          <w:numId w:val="1025"/>
        </w:numPr>
        <w:pStyle w:val="Compact"/>
      </w:pPr>
      <w:r>
        <w:t xml:space="preserve">vendor confirmations;</w:t>
      </w:r>
    </w:p>
    <w:p>
      <w:pPr>
        <w:numPr>
          <w:ilvl w:val="0"/>
          <w:numId w:val="1025"/>
        </w:numPr>
        <w:pStyle w:val="Compact"/>
      </w:pPr>
      <w:r>
        <w:t xml:space="preserve">management approvals;</w:t>
      </w:r>
    </w:p>
    <w:p>
      <w:pPr>
        <w:numPr>
          <w:ilvl w:val="0"/>
          <w:numId w:val="1025"/>
        </w:numPr>
        <w:pStyle w:val="Compact"/>
      </w:pPr>
      <w:r>
        <w:t xml:space="preserve">evidence of sustained operation.</w:t>
      </w:r>
    </w:p>
    <w:p>
      <w:pPr>
        <w:pStyle w:val="FirstParagraph"/>
      </w:pPr>
      <w:r>
        <w:t xml:space="preserve">Evidence should be current, complete, traceable to the relevant system or process, and protected according to sensitivity.</w:t>
      </w:r>
    </w:p>
    <w:bookmarkEnd w:id="75"/>
    <w:bookmarkStart w:id="76" w:name="independent-validation"/>
    <w:p>
      <w:pPr>
        <w:pStyle w:val="Heading2"/>
      </w:pPr>
      <w:r>
        <w:t xml:space="preserve">Independent validation</w:t>
      </w:r>
    </w:p>
    <w:p>
      <w:pPr>
        <w:pStyle w:val="FirstParagraph"/>
      </w:pPr>
      <w:r>
        <w:t xml:space="preserve">The validator should have sufficient competence and independence from the person who performed the work. Independence may be organizational, supervisory, or procedural depending on risk and available resources. The validator should not approve closure solely from the action owner’s summary.</w:t>
      </w:r>
    </w:p>
    <w:bookmarkEnd w:id="76"/>
    <w:bookmarkStart w:id="77" w:name="validation-methods"/>
    <w:p>
      <w:pPr>
        <w:pStyle w:val="Heading2"/>
      </w:pPr>
      <w:r>
        <w:t xml:space="preserve">Validation methods</w:t>
      </w:r>
    </w:p>
    <w:p>
      <w:pPr>
        <w:pStyle w:val="FirstParagraph"/>
      </w:pPr>
      <w:r>
        <w:t xml:space="preserve">Use one or more of the following:</w:t>
      </w:r>
    </w:p>
    <w:p>
      <w:pPr>
        <w:numPr>
          <w:ilvl w:val="0"/>
          <w:numId w:val="1026"/>
        </w:numPr>
        <w:pStyle w:val="Compact"/>
      </w:pPr>
      <w:r>
        <w:t xml:space="preserve">inspection of documents and configuration;</w:t>
      </w:r>
    </w:p>
    <w:p>
      <w:pPr>
        <w:numPr>
          <w:ilvl w:val="0"/>
          <w:numId w:val="1026"/>
        </w:numPr>
        <w:pStyle w:val="Compact"/>
      </w:pPr>
      <w:r>
        <w:t xml:space="preserve">inquiry corroborated by records;</w:t>
      </w:r>
    </w:p>
    <w:p>
      <w:pPr>
        <w:numPr>
          <w:ilvl w:val="0"/>
          <w:numId w:val="1026"/>
        </w:numPr>
        <w:pStyle w:val="Compact"/>
      </w:pPr>
      <w:r>
        <w:t xml:space="preserve">observation of process execution;</w:t>
      </w:r>
    </w:p>
    <w:p>
      <w:pPr>
        <w:numPr>
          <w:ilvl w:val="0"/>
          <w:numId w:val="1026"/>
        </w:numPr>
        <w:pStyle w:val="Compact"/>
      </w:pPr>
      <w:r>
        <w:t xml:space="preserve">reperformance;</w:t>
      </w:r>
    </w:p>
    <w:p>
      <w:pPr>
        <w:numPr>
          <w:ilvl w:val="0"/>
          <w:numId w:val="1026"/>
        </w:numPr>
        <w:pStyle w:val="Compact"/>
      </w:pPr>
      <w:r>
        <w:t xml:space="preserve">population analysis;</w:t>
      </w:r>
    </w:p>
    <w:p>
      <w:pPr>
        <w:numPr>
          <w:ilvl w:val="0"/>
          <w:numId w:val="1026"/>
        </w:numPr>
        <w:pStyle w:val="Compact"/>
      </w:pPr>
      <w:r>
        <w:t xml:space="preserve">representative sampling;</w:t>
      </w:r>
    </w:p>
    <w:p>
      <w:pPr>
        <w:numPr>
          <w:ilvl w:val="0"/>
          <w:numId w:val="1026"/>
        </w:numPr>
        <w:pStyle w:val="Compact"/>
      </w:pPr>
      <w:r>
        <w:t xml:space="preserve">exception testing;</w:t>
      </w:r>
    </w:p>
    <w:p>
      <w:pPr>
        <w:numPr>
          <w:ilvl w:val="0"/>
          <w:numId w:val="1026"/>
        </w:numPr>
        <w:pStyle w:val="Compact"/>
      </w:pPr>
      <w:r>
        <w:t xml:space="preserve">comparison to approved design;</w:t>
      </w:r>
    </w:p>
    <w:p>
      <w:pPr>
        <w:numPr>
          <w:ilvl w:val="0"/>
          <w:numId w:val="1026"/>
        </w:numPr>
        <w:pStyle w:val="Compact"/>
      </w:pPr>
      <w:r>
        <w:t xml:space="preserve">trend review over an operating period.</w:t>
      </w:r>
    </w:p>
    <w:bookmarkEnd w:id="77"/>
    <w:bookmarkStart w:id="78" w:name="design-and-operating-effectiveness"/>
    <w:p>
      <w:pPr>
        <w:pStyle w:val="Heading2"/>
      </w:pPr>
      <w:r>
        <w:t xml:space="preserve">Design and operating effectiveness</w:t>
      </w:r>
    </w:p>
    <w:p>
      <w:pPr>
        <w:pStyle w:val="FirstParagraph"/>
      </w:pPr>
      <w:r>
        <w:t xml:space="preserve">A redesigned control may be suitable in concept but not yet demonstrated in operation. When the issue concerned operating effectiveness, require evidence covering an appropriate period and population. A single successful execution may not support closure for a recurring control.</w:t>
      </w:r>
    </w:p>
    <w:bookmarkEnd w:id="78"/>
    <w:bookmarkStart w:id="79" w:name="closure-outcomes"/>
    <w:p>
      <w:pPr>
        <w:pStyle w:val="Heading2"/>
      </w:pPr>
      <w:r>
        <w:t xml:space="preserve">Closure outcomes</w:t>
      </w:r>
    </w:p>
    <w:p>
      <w:pPr>
        <w:pStyle w:val="FirstParagraph"/>
      </w:pPr>
      <w:r>
        <w:t xml:space="preserve">Use controlled outcomes such as:</w:t>
      </w:r>
    </w:p>
    <w:p>
      <w:pPr>
        <w:numPr>
          <w:ilvl w:val="0"/>
          <w:numId w:val="1027"/>
        </w:numPr>
        <w:pStyle w:val="Compact"/>
      </w:pPr>
      <w:r>
        <w:rPr>
          <w:bCs/>
          <w:b/>
        </w:rPr>
        <w:t xml:space="preserve">Closed — effective:</w:t>
      </w:r>
      <w:r>
        <w:t xml:space="preserve"> </w:t>
      </w:r>
      <w:r>
        <w:t xml:space="preserve">criteria met and risk reduced as expected.</w:t>
      </w:r>
    </w:p>
    <w:p>
      <w:pPr>
        <w:numPr>
          <w:ilvl w:val="0"/>
          <w:numId w:val="1027"/>
        </w:numPr>
        <w:pStyle w:val="Compact"/>
      </w:pPr>
      <w:r>
        <w:rPr>
          <w:bCs/>
          <w:b/>
        </w:rPr>
        <w:t xml:space="preserve">Closed — accepted residual risk:</w:t>
      </w:r>
      <w:r>
        <w:t xml:space="preserve"> </w:t>
      </w:r>
      <w:r>
        <w:t xml:space="preserve">actions completed, remaining exposure explicitly accepted.</w:t>
      </w:r>
    </w:p>
    <w:p>
      <w:pPr>
        <w:numPr>
          <w:ilvl w:val="0"/>
          <w:numId w:val="1027"/>
        </w:numPr>
        <w:pStyle w:val="Compact"/>
      </w:pPr>
      <w:r>
        <w:rPr>
          <w:bCs/>
          <w:b/>
        </w:rPr>
        <w:t xml:space="preserve">Partially remediated:</w:t>
      </w:r>
      <w:r>
        <w:t xml:space="preserve"> </w:t>
      </w:r>
      <w:r>
        <w:t xml:space="preserve">some criteria met; remaining work tracked.</w:t>
      </w:r>
    </w:p>
    <w:p>
      <w:pPr>
        <w:numPr>
          <w:ilvl w:val="0"/>
          <w:numId w:val="1027"/>
        </w:numPr>
        <w:pStyle w:val="Compact"/>
      </w:pPr>
      <w:r>
        <w:rPr>
          <w:bCs/>
          <w:b/>
        </w:rPr>
        <w:t xml:space="preserve">Validation failed:</w:t>
      </w:r>
      <w:r>
        <w:t xml:space="preserve"> </w:t>
      </w:r>
      <w:r>
        <w:t xml:space="preserve">evidence or performance does not support closure.</w:t>
      </w:r>
    </w:p>
    <w:p>
      <w:pPr>
        <w:numPr>
          <w:ilvl w:val="0"/>
          <w:numId w:val="1027"/>
        </w:numPr>
        <w:pStyle w:val="Compact"/>
      </w:pPr>
      <w:r>
        <w:rPr>
          <w:bCs/>
          <w:b/>
        </w:rPr>
        <w:t xml:space="preserve">Reopened:</w:t>
      </w:r>
      <w:r>
        <w:t xml:space="preserve"> </w:t>
      </w:r>
      <w:r>
        <w:t xml:space="preserve">previously closed issue recurred or closure evidence was materially incomplete.</w:t>
      </w:r>
    </w:p>
    <w:p>
      <w:pPr>
        <w:numPr>
          <w:ilvl w:val="0"/>
          <w:numId w:val="1027"/>
        </w:numPr>
        <w:pStyle w:val="Compact"/>
      </w:pPr>
      <w:r>
        <w:rPr>
          <w:bCs/>
          <w:b/>
        </w:rPr>
        <w:t xml:space="preserve">Superseded:</w:t>
      </w:r>
      <w:r>
        <w:t xml:space="preserve"> </w:t>
      </w:r>
      <w:r>
        <w:t xml:space="preserve">replaced by an approved consolidated finding or formally changed requirement, with traceability preserved.</w:t>
      </w:r>
    </w:p>
    <w:bookmarkEnd w:id="79"/>
    <w:bookmarkStart w:id="80" w:name="closure-memorandum"/>
    <w:p>
      <w:pPr>
        <w:pStyle w:val="Heading2"/>
      </w:pPr>
      <w:r>
        <w:t xml:space="preserve">Closure memorandum</w:t>
      </w:r>
    </w:p>
    <w:p>
      <w:pPr>
        <w:pStyle w:val="FirstParagraph"/>
      </w:pPr>
      <w:r>
        <w:t xml:space="preserve">The closure record should state:</w:t>
      </w:r>
    </w:p>
    <w:p>
      <w:pPr>
        <w:numPr>
          <w:ilvl w:val="0"/>
          <w:numId w:val="1028"/>
        </w:numPr>
        <w:pStyle w:val="Compact"/>
      </w:pPr>
      <w:r>
        <w:t xml:space="preserve">finding and plan identifiers;</w:t>
      </w:r>
    </w:p>
    <w:p>
      <w:pPr>
        <w:numPr>
          <w:ilvl w:val="0"/>
          <w:numId w:val="1028"/>
        </w:numPr>
        <w:pStyle w:val="Compact"/>
      </w:pPr>
      <w:r>
        <w:t xml:space="preserve">work completed;</w:t>
      </w:r>
    </w:p>
    <w:p>
      <w:pPr>
        <w:numPr>
          <w:ilvl w:val="0"/>
          <w:numId w:val="1028"/>
        </w:numPr>
        <w:pStyle w:val="Compact"/>
      </w:pPr>
      <w:r>
        <w:t xml:space="preserve">evidence reviewed;</w:t>
      </w:r>
    </w:p>
    <w:p>
      <w:pPr>
        <w:numPr>
          <w:ilvl w:val="0"/>
          <w:numId w:val="1028"/>
        </w:numPr>
        <w:pStyle w:val="Compact"/>
      </w:pPr>
      <w:r>
        <w:t xml:space="preserve">validation procedures;</w:t>
      </w:r>
    </w:p>
    <w:p>
      <w:pPr>
        <w:numPr>
          <w:ilvl w:val="0"/>
          <w:numId w:val="1028"/>
        </w:numPr>
        <w:pStyle w:val="Compact"/>
      </w:pPr>
      <w:r>
        <w:t xml:space="preserve">sample and period;</w:t>
      </w:r>
    </w:p>
    <w:p>
      <w:pPr>
        <w:numPr>
          <w:ilvl w:val="0"/>
          <w:numId w:val="1028"/>
        </w:numPr>
        <w:pStyle w:val="Compact"/>
      </w:pPr>
      <w:r>
        <w:t xml:space="preserve">results and exceptions;</w:t>
      </w:r>
    </w:p>
    <w:p>
      <w:pPr>
        <w:numPr>
          <w:ilvl w:val="0"/>
          <w:numId w:val="1028"/>
        </w:numPr>
        <w:pStyle w:val="Compact"/>
      </w:pPr>
      <w:r>
        <w:t xml:space="preserve">residual risk;</w:t>
      </w:r>
    </w:p>
    <w:p>
      <w:pPr>
        <w:numPr>
          <w:ilvl w:val="0"/>
          <w:numId w:val="1028"/>
        </w:numPr>
        <w:pStyle w:val="Compact"/>
      </w:pPr>
      <w:r>
        <w:t xml:space="preserve">conclusion;</w:t>
      </w:r>
    </w:p>
    <w:p>
      <w:pPr>
        <w:numPr>
          <w:ilvl w:val="0"/>
          <w:numId w:val="1028"/>
        </w:numPr>
        <w:pStyle w:val="Compact"/>
      </w:pPr>
      <w:r>
        <w:t xml:space="preserve">validator;</w:t>
      </w:r>
    </w:p>
    <w:p>
      <w:pPr>
        <w:numPr>
          <w:ilvl w:val="0"/>
          <w:numId w:val="1028"/>
        </w:numPr>
        <w:pStyle w:val="Compact"/>
      </w:pPr>
      <w:r>
        <w:t xml:space="preserve">approval date;</w:t>
      </w:r>
    </w:p>
    <w:p>
      <w:pPr>
        <w:numPr>
          <w:ilvl w:val="0"/>
          <w:numId w:val="1028"/>
        </w:numPr>
        <w:pStyle w:val="Compact"/>
      </w:pPr>
      <w:r>
        <w:t xml:space="preserve">follow-up monitoring.</w:t>
      </w:r>
    </w:p>
    <w:bookmarkEnd w:id="80"/>
    <w:bookmarkStart w:id="81" w:name="sustainability-review"/>
    <w:p>
      <w:pPr>
        <w:pStyle w:val="Heading2"/>
      </w:pPr>
      <w:r>
        <w:t xml:space="preserve">Sustainability review</w:t>
      </w:r>
    </w:p>
    <w:p>
      <w:pPr>
        <w:pStyle w:val="FirstParagraph"/>
      </w:pPr>
      <w:r>
        <w:t xml:space="preserve">For high-risk or systemic findings, schedule a post-closure review. Confirm that:</w:t>
      </w:r>
    </w:p>
    <w:p>
      <w:pPr>
        <w:numPr>
          <w:ilvl w:val="0"/>
          <w:numId w:val="1029"/>
        </w:numPr>
        <w:pStyle w:val="Compact"/>
      </w:pPr>
      <w:r>
        <w:t xml:space="preserve">the control continues to operate;</w:t>
      </w:r>
    </w:p>
    <w:p>
      <w:pPr>
        <w:numPr>
          <w:ilvl w:val="0"/>
          <w:numId w:val="1029"/>
        </w:numPr>
        <w:pStyle w:val="Compact"/>
      </w:pPr>
      <w:r>
        <w:t xml:space="preserve">ownership remains active;</w:t>
      </w:r>
    </w:p>
    <w:p>
      <w:pPr>
        <w:numPr>
          <w:ilvl w:val="0"/>
          <w:numId w:val="1029"/>
        </w:numPr>
        <w:pStyle w:val="Compact"/>
      </w:pPr>
      <w:r>
        <w:t xml:space="preserve">monitoring detects exceptions;</w:t>
      </w:r>
    </w:p>
    <w:p>
      <w:pPr>
        <w:numPr>
          <w:ilvl w:val="0"/>
          <w:numId w:val="1029"/>
        </w:numPr>
        <w:pStyle w:val="Compact"/>
      </w:pPr>
      <w:r>
        <w:t xml:space="preserve">temporary controls were retired appropriately;</w:t>
      </w:r>
    </w:p>
    <w:p>
      <w:pPr>
        <w:numPr>
          <w:ilvl w:val="0"/>
          <w:numId w:val="1029"/>
        </w:numPr>
        <w:pStyle w:val="Compact"/>
      </w:pPr>
      <w:r>
        <w:t xml:space="preserve">process changes did not introduce new risk;</w:t>
      </w:r>
    </w:p>
    <w:p>
      <w:pPr>
        <w:numPr>
          <w:ilvl w:val="0"/>
          <w:numId w:val="1029"/>
        </w:numPr>
        <w:pStyle w:val="Compact"/>
      </w:pPr>
      <w:r>
        <w:t xml:space="preserve">related populations and systems were included;</w:t>
      </w:r>
    </w:p>
    <w:p>
      <w:pPr>
        <w:numPr>
          <w:ilvl w:val="0"/>
          <w:numId w:val="1029"/>
        </w:numPr>
        <w:pStyle w:val="Compact"/>
      </w:pPr>
      <w:r>
        <w:t xml:space="preserve">metrics do not show deterioration.</w:t>
      </w:r>
    </w:p>
    <w:bookmarkEnd w:id="81"/>
    <w:bookmarkStart w:id="82" w:name="repeated-findings"/>
    <w:p>
      <w:pPr>
        <w:pStyle w:val="Heading2"/>
      </w:pPr>
      <w:r>
        <w:t xml:space="preserve">Repeated findings</w:t>
      </w:r>
    </w:p>
    <w:p>
      <w:pPr>
        <w:pStyle w:val="FirstParagraph"/>
      </w:pPr>
      <w:r>
        <w:t xml:space="preserve">A repeated finding may indicate ineffective root-cause analysis, narrow scope, weak governance, inadequate testing, or premature closure. Escalate recurrence and reassess related findings rather than treating each instance independently.</w:t>
      </w:r>
    </w:p>
    <w:bookmarkEnd w:id="82"/>
    <w:bookmarkStart w:id="83" w:name="records-and-retention"/>
    <w:p>
      <w:pPr>
        <w:pStyle w:val="Heading2"/>
      </w:pPr>
      <w:r>
        <w:t xml:space="preserve">Records and retention</w:t>
      </w:r>
    </w:p>
    <w:p>
      <w:pPr>
        <w:pStyle w:val="FirstParagraph"/>
      </w:pPr>
      <w:r>
        <w:t xml:space="preserve">Preserve closure evidence, decisions, test records, approvals, and correspondence according to legal, regulatory, contractual, audit, litigation-hold, and records-management requirements. Apply access restrictions and secure disposal when retention expires.</w:t>
      </w:r>
    </w:p>
    <w:bookmarkEnd w:id="83"/>
    <w:bookmarkEnd w:id="84"/>
    <w:bookmarkStart w:id="109" w:name="Xb867802bc9683268b4109c5ec5fda3b1d35dc1b"/>
    <w:p>
      <w:pPr>
        <w:pStyle w:val="Heading1"/>
      </w:pPr>
      <w:r>
        <w:t xml:space="preserve">Reporting, Operating Procedure, and Worked Example</w:t>
      </w:r>
    </w:p>
    <w:bookmarkStart w:id="85" w:name="executive-reporting"/>
    <w:p>
      <w:pPr>
        <w:pStyle w:val="Heading2"/>
      </w:pPr>
      <w:r>
        <w:t xml:space="preserve">Executive reporting</w:t>
      </w:r>
    </w:p>
    <w:p>
      <w:pPr>
        <w:pStyle w:val="FirstParagraph"/>
      </w:pPr>
      <w:r>
        <w:t xml:space="preserve">Readiness and remediation reporting should support decisions about risk, resources, timing, and accountability. Avoid dashboards that show only counts without severity, age, exposure, ownership, or trend.</w:t>
      </w:r>
    </w:p>
    <w:p>
      <w:pPr>
        <w:pStyle w:val="BodyText"/>
      </w:pPr>
      <w:r>
        <w:t xml:space="preserve">A useful executive view includes:</w:t>
      </w:r>
    </w:p>
    <w:p>
      <w:pPr>
        <w:numPr>
          <w:ilvl w:val="0"/>
          <w:numId w:val="1030"/>
        </w:numPr>
        <w:pStyle w:val="Compact"/>
      </w:pPr>
      <w:r>
        <w:t xml:space="preserve">assessment scope and current readiness confidence;</w:t>
      </w:r>
    </w:p>
    <w:p>
      <w:pPr>
        <w:numPr>
          <w:ilvl w:val="0"/>
          <w:numId w:val="1030"/>
        </w:numPr>
        <w:pStyle w:val="Compact"/>
      </w:pPr>
      <w:r>
        <w:t xml:space="preserve">open findings by severity and age;</w:t>
      </w:r>
    </w:p>
    <w:p>
      <w:pPr>
        <w:numPr>
          <w:ilvl w:val="0"/>
          <w:numId w:val="1030"/>
        </w:numPr>
        <w:pStyle w:val="Compact"/>
      </w:pPr>
      <w:r>
        <w:t xml:space="preserve">overdue and extended actions;</w:t>
      </w:r>
    </w:p>
    <w:p>
      <w:pPr>
        <w:numPr>
          <w:ilvl w:val="0"/>
          <w:numId w:val="1030"/>
        </w:numPr>
        <w:pStyle w:val="Compact"/>
      </w:pPr>
      <w:r>
        <w:t xml:space="preserve">critical dependencies and resource constraints;</w:t>
      </w:r>
    </w:p>
    <w:p>
      <w:pPr>
        <w:numPr>
          <w:ilvl w:val="0"/>
          <w:numId w:val="1030"/>
        </w:numPr>
        <w:pStyle w:val="Compact"/>
      </w:pPr>
      <w:r>
        <w:t xml:space="preserve">repeated or reopened findings;</w:t>
      </w:r>
    </w:p>
    <w:p>
      <w:pPr>
        <w:numPr>
          <w:ilvl w:val="0"/>
          <w:numId w:val="1030"/>
        </w:numPr>
        <w:pStyle w:val="Compact"/>
      </w:pPr>
      <w:r>
        <w:t xml:space="preserve">residual-risk concentration;</w:t>
      </w:r>
    </w:p>
    <w:p>
      <w:pPr>
        <w:numPr>
          <w:ilvl w:val="0"/>
          <w:numId w:val="1030"/>
        </w:numPr>
        <w:pStyle w:val="Compact"/>
      </w:pPr>
      <w:r>
        <w:t xml:space="preserve">upcoming audits, certifications, customer reviews, or regulatory milestones;</w:t>
      </w:r>
    </w:p>
    <w:p>
      <w:pPr>
        <w:numPr>
          <w:ilvl w:val="0"/>
          <w:numId w:val="1030"/>
        </w:numPr>
        <w:pStyle w:val="Compact"/>
      </w:pPr>
      <w:r>
        <w:t xml:space="preserve">decisions required from leadership.</w:t>
      </w:r>
    </w:p>
    <w:bookmarkEnd w:id="85"/>
    <w:bookmarkStart w:id="86" w:name="operating-cadence"/>
    <w:p>
      <w:pPr>
        <w:pStyle w:val="Heading2"/>
      </w:pPr>
      <w:r>
        <w:t xml:space="preserve">Operating cadence</w:t>
      </w:r>
    </w:p>
    <w:p>
      <w:pPr>
        <w:pStyle w:val="FirstParagraph"/>
      </w:pPr>
      <w:r>
        <w:t xml:space="preserve">A practical cadence may include:</w:t>
      </w:r>
    </w:p>
    <w:p>
      <w:pPr>
        <w:numPr>
          <w:ilvl w:val="0"/>
          <w:numId w:val="1031"/>
        </w:numPr>
        <w:pStyle w:val="Compact"/>
      </w:pPr>
      <w:r>
        <w:t xml:space="preserve">weekly action-owner review for critical and high findings;</w:t>
      </w:r>
    </w:p>
    <w:p>
      <w:pPr>
        <w:numPr>
          <w:ilvl w:val="0"/>
          <w:numId w:val="1031"/>
        </w:numPr>
        <w:pStyle w:val="Compact"/>
      </w:pPr>
      <w:r>
        <w:t xml:space="preserve">monthly remediation governance meeting;</w:t>
      </w:r>
    </w:p>
    <w:p>
      <w:pPr>
        <w:numPr>
          <w:ilvl w:val="0"/>
          <w:numId w:val="1031"/>
        </w:numPr>
        <w:pStyle w:val="Compact"/>
      </w:pPr>
      <w:r>
        <w:t xml:space="preserve">quarterly executive or risk-committee reporting;</w:t>
      </w:r>
    </w:p>
    <w:p>
      <w:pPr>
        <w:numPr>
          <w:ilvl w:val="0"/>
          <w:numId w:val="1031"/>
        </w:numPr>
        <w:pStyle w:val="Compact"/>
      </w:pPr>
      <w:r>
        <w:t xml:space="preserve">event-driven escalation for missed critical milestones, material scope changes, failed closure tests, or new exposure.</w:t>
      </w:r>
    </w:p>
    <w:p>
      <w:pPr>
        <w:pStyle w:val="FirstParagraph"/>
      </w:pPr>
      <w:r>
        <w:t xml:space="preserve">Meeting records should capture decisions, owners, due dates, and dissenting views.</w:t>
      </w:r>
    </w:p>
    <w:bookmarkEnd w:id="86"/>
    <w:bookmarkStart w:id="96" w:name="end-to-end-operating-procedure"/>
    <w:p>
      <w:pPr>
        <w:pStyle w:val="Heading2"/>
      </w:pPr>
      <w:r>
        <w:t xml:space="preserve">End-to-end operating procedure</w:t>
      </w:r>
    </w:p>
    <w:bookmarkStart w:id="87" w:name="step-1-authorize-the-readiness-review"/>
    <w:p>
      <w:pPr>
        <w:pStyle w:val="Heading3"/>
      </w:pPr>
      <w:r>
        <w:t xml:space="preserve">Step 1 — Authorize the readiness review</w:t>
      </w:r>
    </w:p>
    <w:p>
      <w:pPr>
        <w:pStyle w:val="FirstParagraph"/>
      </w:pPr>
      <w:r>
        <w:t xml:space="preserve">Confirm sponsor, objective, criteria, scope, period, systems, locations, stakeholders, independence expectations, and reporting route.</w:t>
      </w:r>
    </w:p>
    <w:bookmarkEnd w:id="87"/>
    <w:bookmarkStart w:id="88" w:name="Xefea81145c3da04719e9351721c34035eeac175"/>
    <w:p>
      <w:pPr>
        <w:pStyle w:val="Heading3"/>
      </w:pPr>
      <w:r>
        <w:t xml:space="preserve">Step 2 — Build the criteria and control universe</w:t>
      </w:r>
    </w:p>
    <w:p>
      <w:pPr>
        <w:pStyle w:val="FirstParagraph"/>
      </w:pPr>
      <w:r>
        <w:t xml:space="preserve">Map applicable requirements to control objectives, owners, systems, evidence sources, and assessment procedures. Record interpretation assumptions and exclusions.</w:t>
      </w:r>
    </w:p>
    <w:bookmarkEnd w:id="88"/>
    <w:bookmarkStart w:id="89" w:name="step-3-perform-readiness-assessment"/>
    <w:p>
      <w:pPr>
        <w:pStyle w:val="Heading3"/>
      </w:pPr>
      <w:r>
        <w:t xml:space="preserve">Step 3 — Perform readiness assessment</w:t>
      </w:r>
    </w:p>
    <w:p>
      <w:pPr>
        <w:pStyle w:val="FirstParagraph"/>
      </w:pPr>
      <w:r>
        <w:t xml:space="preserve">Review design, implementation, and available operating evidence. Use inquiry, inspection, observation, reperformance, population analysis, and sampling as appropriate.</w:t>
      </w:r>
    </w:p>
    <w:bookmarkEnd w:id="89"/>
    <w:bookmarkStart w:id="90" w:name="step-4-record-gaps-and-validate-facts"/>
    <w:p>
      <w:pPr>
        <w:pStyle w:val="Heading3"/>
      </w:pPr>
      <w:r>
        <w:t xml:space="preserve">Step 4 — Record gaps and validate facts</w:t>
      </w:r>
    </w:p>
    <w:p>
      <w:pPr>
        <w:pStyle w:val="FirstParagraph"/>
      </w:pPr>
      <w:r>
        <w:t xml:space="preserve">Document criterion, condition, evidence, scope, cause, risk, compensating controls, and proposed owner. Allow factual challenge supported by evidence.</w:t>
      </w:r>
    </w:p>
    <w:bookmarkEnd w:id="90"/>
    <w:bookmarkStart w:id="91" w:name="step-5-prioritize-and-approve-findings"/>
    <w:p>
      <w:pPr>
        <w:pStyle w:val="Heading3"/>
      </w:pPr>
      <w:r>
        <w:t xml:space="preserve">Step 5 — Prioritize and approve findings</w:t>
      </w:r>
    </w:p>
    <w:p>
      <w:pPr>
        <w:pStyle w:val="FirstParagraph"/>
      </w:pPr>
      <w:r>
        <w:t xml:space="preserve">Apply approved severity definitions. Record final classification, accountable owner, acceptance date, and escalation requirements.</w:t>
      </w:r>
    </w:p>
    <w:bookmarkEnd w:id="91"/>
    <w:bookmarkStart w:id="92" w:name="step-6-approve-remediation-plans"/>
    <w:p>
      <w:pPr>
        <w:pStyle w:val="Heading3"/>
      </w:pPr>
      <w:r>
        <w:t xml:space="preserve">Step 6 — Approve remediation plans</w:t>
      </w:r>
    </w:p>
    <w:p>
      <w:pPr>
        <w:pStyle w:val="FirstParagraph"/>
      </w:pPr>
      <w:r>
        <w:t xml:space="preserve">Require actions linked to causes, interim controls, milestones, resources, success measures, closure evidence, and residual-risk expectations.</w:t>
      </w:r>
    </w:p>
    <w:bookmarkEnd w:id="92"/>
    <w:bookmarkStart w:id="93" w:name="step-7-monitor-execution"/>
    <w:p>
      <w:pPr>
        <w:pStyle w:val="Heading3"/>
      </w:pPr>
      <w:r>
        <w:t xml:space="preserve">Step 7 — Monitor execution</w:t>
      </w:r>
    </w:p>
    <w:p>
      <w:pPr>
        <w:pStyle w:val="FirstParagraph"/>
      </w:pPr>
      <w:r>
        <w:t xml:space="preserve">Track milestones, blockers, extensions, scope changes, emerging risk, and evidence. Escalate according to severity and governance rules.</w:t>
      </w:r>
    </w:p>
    <w:bookmarkEnd w:id="93"/>
    <w:bookmarkStart w:id="94" w:name="step-8-validate-closure"/>
    <w:p>
      <w:pPr>
        <w:pStyle w:val="Heading3"/>
      </w:pPr>
      <w:r>
        <w:t xml:space="preserve">Step 8 — Validate closure</w:t>
      </w:r>
    </w:p>
    <w:p>
      <w:pPr>
        <w:pStyle w:val="FirstParagraph"/>
      </w:pPr>
      <w:r>
        <w:t xml:space="preserve">Test completion and effectiveness against pre-agreed criteria. Record evidence, procedures, sample, results, residual risk, conclusion, and follow-up monitoring.</w:t>
      </w:r>
    </w:p>
    <w:bookmarkEnd w:id="94"/>
    <w:bookmarkStart w:id="95" w:name="step-9-report-and-learn"/>
    <w:p>
      <w:pPr>
        <w:pStyle w:val="Heading3"/>
      </w:pPr>
      <w:r>
        <w:t xml:space="preserve">Step 9 — Report and learn</w:t>
      </w:r>
    </w:p>
    <w:p>
      <w:pPr>
        <w:pStyle w:val="FirstParagraph"/>
      </w:pPr>
      <w:r>
        <w:t xml:space="preserve">Report trends, repeated causes, overdue exposure, resource constraints, closure failures, and lessons that should change control design or governance.</w:t>
      </w:r>
    </w:p>
    <w:bookmarkEnd w:id="95"/>
    <w:bookmarkEnd w:id="96"/>
    <w:bookmarkStart w:id="103" w:name="worked-example"/>
    <w:p>
      <w:pPr>
        <w:pStyle w:val="Heading2"/>
      </w:pPr>
      <w:r>
        <w:t xml:space="preserve">Worked example</w:t>
      </w:r>
    </w:p>
    <w:bookmarkStart w:id="97" w:name="scenario"/>
    <w:p>
      <w:pPr>
        <w:pStyle w:val="Heading3"/>
      </w:pPr>
      <w:r>
        <w:t xml:space="preserve">Scenario</w:t>
      </w:r>
    </w:p>
    <w:p>
      <w:pPr>
        <w:pStyle w:val="FirstParagraph"/>
      </w:pPr>
      <w:r>
        <w:t xml:space="preserve">An organization’s access-control procedure requires terminated-user accounts to be disabled within one business day. A readiness review compares human-resources termination records with identity-platform accounts for the prior quarter.</w:t>
      </w:r>
    </w:p>
    <w:bookmarkEnd w:id="97"/>
    <w:bookmarkStart w:id="98" w:name="evidence-and-result"/>
    <w:p>
      <w:pPr>
        <w:pStyle w:val="Heading3"/>
      </w:pPr>
      <w:r>
        <w:t xml:space="preserve">Evidence and result</w:t>
      </w:r>
    </w:p>
    <w:p>
      <w:pPr>
        <w:pStyle w:val="FirstParagraph"/>
      </w:pPr>
      <w:r>
        <w:t xml:space="preserve">The reviewer obtains the complete termination population from the HR system and the account-status export from the identity platform. Six of 120 terminated workers had active accounts more than one business day after termination. Two accounts remained active for more than ten days. No evidence of misuse was identified, but monitoring did not reliably detect overdue disablement.</w:t>
      </w:r>
    </w:p>
    <w:bookmarkEnd w:id="98"/>
    <w:bookmarkStart w:id="99" w:name="finding"/>
    <w:p>
      <w:pPr>
        <w:pStyle w:val="Heading3"/>
      </w:pPr>
      <w:r>
        <w:t xml:space="preserve">Finding</w:t>
      </w:r>
    </w:p>
    <w:p>
      <w:pPr>
        <w:numPr>
          <w:ilvl w:val="0"/>
          <w:numId w:val="1032"/>
        </w:numPr>
        <w:pStyle w:val="Compact"/>
      </w:pPr>
      <w:r>
        <w:t xml:space="preserve">Criterion: approved termination-access procedure requiring disablement within one business day.</w:t>
      </w:r>
    </w:p>
    <w:p>
      <w:pPr>
        <w:numPr>
          <w:ilvl w:val="0"/>
          <w:numId w:val="1032"/>
        </w:numPr>
        <w:pStyle w:val="Compact"/>
      </w:pPr>
      <w:r>
        <w:t xml:space="preserve">Condition: six of 120 accounts exceeded the approved timeframe.</w:t>
      </w:r>
    </w:p>
    <w:p>
      <w:pPr>
        <w:numPr>
          <w:ilvl w:val="0"/>
          <w:numId w:val="1032"/>
        </w:numPr>
        <w:pStyle w:val="Compact"/>
      </w:pPr>
      <w:r>
        <w:t xml:space="preserve">Cause: the process depended on manual email notification, lacked reconciliation, and did not assign ownership for failed notifications.</w:t>
      </w:r>
    </w:p>
    <w:p>
      <w:pPr>
        <w:numPr>
          <w:ilvl w:val="0"/>
          <w:numId w:val="1032"/>
        </w:numPr>
        <w:pStyle w:val="Compact"/>
      </w:pPr>
      <w:r>
        <w:t xml:space="preserve">Risk: former workers could retain unauthorized access to systems and data.</w:t>
      </w:r>
    </w:p>
    <w:p>
      <w:pPr>
        <w:numPr>
          <w:ilvl w:val="0"/>
          <w:numId w:val="1032"/>
        </w:numPr>
        <w:pStyle w:val="Compact"/>
      </w:pPr>
      <w:r>
        <w:t xml:space="preserve">Priority: high, based on access exposure, duration, and monitoring weakness.</w:t>
      </w:r>
    </w:p>
    <w:bookmarkEnd w:id="99"/>
    <w:bookmarkStart w:id="100" w:name="remediation-plan"/>
    <w:p>
      <w:pPr>
        <w:pStyle w:val="Heading3"/>
      </w:pPr>
      <w:r>
        <w:t xml:space="preserve">Remediation plan</w:t>
      </w:r>
    </w:p>
    <w:p>
      <w:pPr>
        <w:numPr>
          <w:ilvl w:val="0"/>
          <w:numId w:val="1033"/>
        </w:numPr>
        <w:pStyle w:val="Compact"/>
      </w:pPr>
      <w:r>
        <w:t xml:space="preserve">Implement daily HR-to-identity reconciliation.</w:t>
      </w:r>
    </w:p>
    <w:p>
      <w:pPr>
        <w:numPr>
          <w:ilvl w:val="0"/>
          <w:numId w:val="1033"/>
        </w:numPr>
        <w:pStyle w:val="Compact"/>
      </w:pPr>
      <w:r>
        <w:t xml:space="preserve">Assign exception ownership to identity operations.</w:t>
      </w:r>
    </w:p>
    <w:p>
      <w:pPr>
        <w:numPr>
          <w:ilvl w:val="0"/>
          <w:numId w:val="1033"/>
        </w:numPr>
        <w:pStyle w:val="Compact"/>
      </w:pPr>
      <w:r>
        <w:t xml:space="preserve">Create an overdue-account alert and escalation rule.</w:t>
      </w:r>
    </w:p>
    <w:p>
      <w:pPr>
        <w:numPr>
          <w:ilvl w:val="0"/>
          <w:numId w:val="1033"/>
        </w:numPr>
        <w:pStyle w:val="Compact"/>
      </w:pPr>
      <w:r>
        <w:t xml:space="preserve">Correct all current exceptions.</w:t>
      </w:r>
    </w:p>
    <w:p>
      <w:pPr>
        <w:numPr>
          <w:ilvl w:val="0"/>
          <w:numId w:val="1033"/>
        </w:numPr>
        <w:pStyle w:val="Compact"/>
      </w:pPr>
      <w:r>
        <w:t xml:space="preserve">Test the full population weekly for eight weeks.</w:t>
      </w:r>
    </w:p>
    <w:p>
      <w:pPr>
        <w:numPr>
          <w:ilvl w:val="0"/>
          <w:numId w:val="1033"/>
        </w:numPr>
        <w:pStyle w:val="Compact"/>
      </w:pPr>
      <w:r>
        <w:t xml:space="preserve">Report exceptions and response time to the security governance forum.</w:t>
      </w:r>
    </w:p>
    <w:bookmarkEnd w:id="100"/>
    <w:bookmarkStart w:id="101" w:name="closure-criteria-1"/>
    <w:p>
      <w:pPr>
        <w:pStyle w:val="Heading3"/>
      </w:pPr>
      <w:r>
        <w:t xml:space="preserve">Closure criteria</w:t>
      </w:r>
    </w:p>
    <w:p>
      <w:pPr>
        <w:numPr>
          <w:ilvl w:val="0"/>
          <w:numId w:val="1034"/>
        </w:numPr>
        <w:pStyle w:val="Compact"/>
      </w:pPr>
      <w:r>
        <w:t xml:space="preserve">all current overdue accounts corrected;</w:t>
      </w:r>
    </w:p>
    <w:p>
      <w:pPr>
        <w:numPr>
          <w:ilvl w:val="0"/>
          <w:numId w:val="1034"/>
        </w:numPr>
        <w:pStyle w:val="Compact"/>
      </w:pPr>
      <w:r>
        <w:t xml:space="preserve">automated daily reconciliation operating;</w:t>
      </w:r>
    </w:p>
    <w:p>
      <w:pPr>
        <w:numPr>
          <w:ilvl w:val="0"/>
          <w:numId w:val="1034"/>
        </w:numPr>
        <w:pStyle w:val="Compact"/>
      </w:pPr>
      <w:r>
        <w:t xml:space="preserve">documented ownership and escalation;</w:t>
      </w:r>
    </w:p>
    <w:p>
      <w:pPr>
        <w:numPr>
          <w:ilvl w:val="0"/>
          <w:numId w:val="1034"/>
        </w:numPr>
        <w:pStyle w:val="Compact"/>
      </w:pPr>
      <w:r>
        <w:t xml:space="preserve">eight weeks of population evidence;</w:t>
      </w:r>
    </w:p>
    <w:p>
      <w:pPr>
        <w:numPr>
          <w:ilvl w:val="0"/>
          <w:numId w:val="1034"/>
        </w:numPr>
        <w:pStyle w:val="Compact"/>
      </w:pPr>
      <w:r>
        <w:t xml:space="preserve">no unexplained overdue accounts;</w:t>
      </w:r>
    </w:p>
    <w:p>
      <w:pPr>
        <w:numPr>
          <w:ilvl w:val="0"/>
          <w:numId w:val="1034"/>
        </w:numPr>
        <w:pStyle w:val="Compact"/>
      </w:pPr>
      <w:r>
        <w:t xml:space="preserve">exceptions resolved within the approved timeframe or formally escalated.</w:t>
      </w:r>
    </w:p>
    <w:bookmarkEnd w:id="101"/>
    <w:bookmarkStart w:id="102" w:name="validation-conclusion"/>
    <w:p>
      <w:pPr>
        <w:pStyle w:val="Heading3"/>
      </w:pPr>
      <w:r>
        <w:t xml:space="preserve">Validation conclusion</w:t>
      </w:r>
    </w:p>
    <w:p>
      <w:pPr>
        <w:pStyle w:val="FirstParagraph"/>
      </w:pPr>
      <w:r>
        <w:t xml:space="preserve">If the eight-week evidence supports the criteria, the finding may be closed with continuing quarterly monitoring. If overdue accounts remain or the reconciliation population is incomplete, validation fails and the finding remains open.</w:t>
      </w:r>
    </w:p>
    <w:bookmarkEnd w:id="102"/>
    <w:bookmarkEnd w:id="103"/>
    <w:bookmarkStart w:id="107" w:name="practical-implementation-roadmap"/>
    <w:p>
      <w:pPr>
        <w:pStyle w:val="Heading2"/>
      </w:pPr>
      <w:r>
        <w:t xml:space="preserve">Practical implementation roadmap</w:t>
      </w:r>
    </w:p>
    <w:bookmarkStart w:id="104" w:name="first-30-days"/>
    <w:p>
      <w:pPr>
        <w:pStyle w:val="Heading3"/>
      </w:pPr>
      <w:r>
        <w:t xml:space="preserve">First 30 days</w:t>
      </w:r>
    </w:p>
    <w:p>
      <w:pPr>
        <w:numPr>
          <w:ilvl w:val="0"/>
          <w:numId w:val="1035"/>
        </w:numPr>
        <w:pStyle w:val="Compact"/>
      </w:pPr>
      <w:r>
        <w:t xml:space="preserve">approve governance and severity definitions;</w:t>
      </w:r>
    </w:p>
    <w:p>
      <w:pPr>
        <w:numPr>
          <w:ilvl w:val="0"/>
          <w:numId w:val="1035"/>
        </w:numPr>
        <w:pStyle w:val="Compact"/>
      </w:pPr>
      <w:r>
        <w:t xml:space="preserve">inventory upcoming assurance activities;</w:t>
      </w:r>
    </w:p>
    <w:p>
      <w:pPr>
        <w:numPr>
          <w:ilvl w:val="0"/>
          <w:numId w:val="1035"/>
        </w:numPr>
        <w:pStyle w:val="Compact"/>
      </w:pPr>
      <w:r>
        <w:t xml:space="preserve">establish the criteria-to-control map;</w:t>
      </w:r>
    </w:p>
    <w:p>
      <w:pPr>
        <w:numPr>
          <w:ilvl w:val="0"/>
          <w:numId w:val="1035"/>
        </w:numPr>
        <w:pStyle w:val="Compact"/>
      </w:pPr>
      <w:r>
        <w:t xml:space="preserve">identify control and remediation owners;</w:t>
      </w:r>
    </w:p>
    <w:p>
      <w:pPr>
        <w:numPr>
          <w:ilvl w:val="0"/>
          <w:numId w:val="1035"/>
        </w:numPr>
        <w:pStyle w:val="Compact"/>
      </w:pPr>
      <w:r>
        <w:t xml:space="preserve">deploy the readiness and finding trackers.</w:t>
      </w:r>
    </w:p>
    <w:bookmarkEnd w:id="104"/>
    <w:bookmarkStart w:id="105" w:name="days-3160"/>
    <w:p>
      <w:pPr>
        <w:pStyle w:val="Heading3"/>
      </w:pPr>
      <w:r>
        <w:t xml:space="preserve">Days 31–60</w:t>
      </w:r>
    </w:p>
    <w:p>
      <w:pPr>
        <w:numPr>
          <w:ilvl w:val="0"/>
          <w:numId w:val="1036"/>
        </w:numPr>
        <w:pStyle w:val="Compact"/>
      </w:pPr>
      <w:r>
        <w:t xml:space="preserve">conduct risk-based readiness reviews;</w:t>
      </w:r>
    </w:p>
    <w:p>
      <w:pPr>
        <w:numPr>
          <w:ilvl w:val="0"/>
          <w:numId w:val="1036"/>
        </w:numPr>
        <w:pStyle w:val="Compact"/>
      </w:pPr>
      <w:r>
        <w:t xml:space="preserve">validate findings and causes;</w:t>
      </w:r>
    </w:p>
    <w:p>
      <w:pPr>
        <w:numPr>
          <w:ilvl w:val="0"/>
          <w:numId w:val="1036"/>
        </w:numPr>
        <w:pStyle w:val="Compact"/>
      </w:pPr>
      <w:r>
        <w:t xml:space="preserve">approve remediation plans;</w:t>
      </w:r>
    </w:p>
    <w:p>
      <w:pPr>
        <w:numPr>
          <w:ilvl w:val="0"/>
          <w:numId w:val="1036"/>
        </w:numPr>
        <w:pStyle w:val="Compact"/>
      </w:pPr>
      <w:r>
        <w:t xml:space="preserve">begin governance reporting;</w:t>
      </w:r>
    </w:p>
    <w:p>
      <w:pPr>
        <w:numPr>
          <w:ilvl w:val="0"/>
          <w:numId w:val="1036"/>
        </w:numPr>
        <w:pStyle w:val="Compact"/>
      </w:pPr>
      <w:r>
        <w:t xml:space="preserve">establish closure-evidence standards.</w:t>
      </w:r>
    </w:p>
    <w:bookmarkEnd w:id="105"/>
    <w:bookmarkStart w:id="106" w:name="days-6190"/>
    <w:p>
      <w:pPr>
        <w:pStyle w:val="Heading3"/>
      </w:pPr>
      <w:r>
        <w:t xml:space="preserve">Days 61–90</w:t>
      </w:r>
    </w:p>
    <w:p>
      <w:pPr>
        <w:numPr>
          <w:ilvl w:val="0"/>
          <w:numId w:val="1037"/>
        </w:numPr>
        <w:pStyle w:val="Compact"/>
      </w:pPr>
      <w:r>
        <w:t xml:space="preserve">validate early remediation results;</w:t>
      </w:r>
    </w:p>
    <w:p>
      <w:pPr>
        <w:numPr>
          <w:ilvl w:val="0"/>
          <w:numId w:val="1037"/>
        </w:numPr>
        <w:pStyle w:val="Compact"/>
      </w:pPr>
      <w:r>
        <w:t xml:space="preserve">analyze recurring causes and bottlenecks;</w:t>
      </w:r>
    </w:p>
    <w:p>
      <w:pPr>
        <w:numPr>
          <w:ilvl w:val="0"/>
          <w:numId w:val="1037"/>
        </w:numPr>
        <w:pStyle w:val="Compact"/>
      </w:pPr>
      <w:r>
        <w:t xml:space="preserve">refine metrics and escalation thresholds;</w:t>
      </w:r>
    </w:p>
    <w:p>
      <w:pPr>
        <w:numPr>
          <w:ilvl w:val="0"/>
          <w:numId w:val="1037"/>
        </w:numPr>
        <w:pStyle w:val="Compact"/>
      </w:pPr>
      <w:r>
        <w:t xml:space="preserve">schedule sustainability reviews;</w:t>
      </w:r>
    </w:p>
    <w:p>
      <w:pPr>
        <w:numPr>
          <w:ilvl w:val="0"/>
          <w:numId w:val="1037"/>
        </w:numPr>
        <w:pStyle w:val="Compact"/>
      </w:pPr>
      <w:r>
        <w:t xml:space="preserve">integrate lessons into continuous control monitoring.</w:t>
      </w:r>
    </w:p>
    <w:bookmarkEnd w:id="106"/>
    <w:bookmarkEnd w:id="107"/>
    <w:bookmarkStart w:id="108" w:name="final-principle"/>
    <w:p>
      <w:pPr>
        <w:pStyle w:val="Heading2"/>
      </w:pPr>
      <w:r>
        <w:t xml:space="preserve">Final principle</w:t>
      </w:r>
    </w:p>
    <w:p>
      <w:pPr>
        <w:pStyle w:val="FirstParagraph"/>
      </w:pPr>
      <w:r>
        <w:t xml:space="preserve">Readiness is a continuous governance capability. The objective is not to create the appearance of compliance for an assessment date, but to maintain controls and evidence that remain credible before, during, and after independent review.</w:t>
      </w:r>
    </w:p>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Readiness and Remediation Management Practical Manual</dc:title>
  <dc:creator>Alberto Al Leiva</dc:creator>
  <dc:language>en</dc:language>
  <dc:subject>GRC, audit readiness, findings, remediation, closure validation</dc:subject>
  <cp:keywords/>
  <dcterms:created xsi:type="dcterms:W3CDTF">2026-08-01T18:06:35Z</dcterms:created>
  <dcterms:modified xsi:type="dcterms:W3CDTF">2026-08-01T18:06:35Z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August 2026</vt:lpwstr>
  </property>
  <property fmtid="{D5CDD505-2E9C-101B-9397-08002B2CF9AE}" pid="3" name="rights">
    <vt:lpwstr>CC BY-NC-SA 4.0 unless a file states otherwise</vt:lpwstr>
  </property>
  <property fmtid="{D5CDD505-2E9C-101B-9397-08002B2CF9AE}" pid="4" name="status">
    <vt:lpwstr>Controlled English publication candidate</vt:lpwstr>
  </property>
</Properties>
</file>