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25 — Implementación Controlada de Gestión de Continuidad del Negocio ISO 22301</w:t>
      </w:r>
    </w:p>
    <w:p>
      <w:r>
        <w:rPr>
          <w:b/>
        </w:rPr>
        <w:t>Traducción de proyecto es-419 — no oficial.</w:t>
      </w:r>
    </w:p>
    <w:p>
      <w:pPr>
        <w:pStyle w:val="Heading2"/>
      </w:pPr>
      <w:r>
        <w:t>01. Propósito, alcance y límite de uso controlado</w:t>
      </w:r>
    </w:p>
    <w:p>
      <w:pPr>
        <w:spacing w:after="120"/>
      </w:pPr>
      <w:r>
        <w:t>Establezca un modelo práctico de implementación del SGContinuidad sin reproducir texto normativo de ISO ni implicar certificación, cumplimiento legal u opinión de auditoría.</w:t>
      </w:r>
    </w:p>
    <w:p>
      <w:pPr>
        <w:pStyle w:val="Heading2"/>
      </w:pPr>
      <w:r>
        <w:t>02. Jerarquía de fuentes y control de versiones</w:t>
      </w:r>
    </w:p>
    <w:p>
      <w:pPr>
        <w:spacing w:after="120"/>
      </w:pPr>
      <w:r>
        <w:t>Mantenga un registro de fuentes que separe ISO 22301:2019, la Enmienda 1:2024, la orientación de ISO 22313, políticas internas, requisitos contractuales, capas regulatorias y material de vigilancia de cambios.</w:t>
      </w:r>
    </w:p>
    <w:p>
      <w:pPr>
        <w:pStyle w:val="Heading2"/>
      </w:pPr>
      <w:r>
        <w:t>03. Contexto de la organización</w:t>
      </w:r>
    </w:p>
    <w:p>
      <w:pPr>
        <w:spacing w:after="120"/>
      </w:pPr>
      <w:r>
        <w:t>Identifique cuestiones internas y externas que afecten la capacidad de continuidad, incluidas dependencias, entorno operativo, partes interesadas, contexto relacionado con el clima cuando corresponda y restricciones estratégicas.</w:t>
      </w:r>
    </w:p>
    <w:p>
      <w:pPr>
        <w:pStyle w:val="Heading2"/>
      </w:pPr>
      <w:r>
        <w:t>04. Partes interesadas y obligaciones</w:t>
      </w:r>
    </w:p>
    <w:p>
      <w:pPr>
        <w:spacing w:after="120"/>
      </w:pPr>
      <w:r>
        <w:t>Mantenga un inventario controlado de expectativas de continuidad de clientes, reguladores, contratos, fuerza laboral, proveedores y sector público, con responsables y evidencia.</w:t>
      </w:r>
    </w:p>
    <w:p>
      <w:pPr>
        <w:pStyle w:val="Heading2"/>
      </w:pPr>
      <w:r>
        <w:t>05. Alcance y límites del sistema de gestión de continuidad</w:t>
      </w:r>
    </w:p>
    <w:p>
      <w:pPr>
        <w:spacing w:after="120"/>
      </w:pPr>
      <w:r>
        <w:t>Defina unidades organizativas, servicios, sitios, tecnologías, proveedores, datos, instalaciones y exclusiones dentro del límite del sistema de gestión de continuidad del negocio.</w:t>
      </w:r>
    </w:p>
    <w:p>
      <w:pPr>
        <w:pStyle w:val="Heading2"/>
      </w:pPr>
      <w:r>
        <w:t>06. Liderazgo y rendición de cuentas</w:t>
      </w:r>
    </w:p>
    <w:p>
      <w:pPr>
        <w:spacing w:after="120"/>
      </w:pPr>
      <w:r>
        <w:t>Asigne patrocinio ejecutivo, propiedad de políticas, derechos de decisión, autoridad de escalamiento, responsabilidad de financiamiento y responsabilidad sobre evidencia.</w:t>
      </w:r>
    </w:p>
    <w:p>
      <w:pPr>
        <w:pStyle w:val="Heading2"/>
      </w:pPr>
      <w:r>
        <w:t>07. Política de continuidad del negocio</w:t>
      </w:r>
    </w:p>
    <w:p>
      <w:pPr>
        <w:spacing w:after="120"/>
      </w:pPr>
      <w:r>
        <w:t>Mantenga una política aprobada alineada con objetivos organizacionales, alcance, obligaciones, expectativas de resiliencia y compromisos de mejora continua.</w:t>
      </w:r>
    </w:p>
    <w:p>
      <w:pPr>
        <w:pStyle w:val="Heading2"/>
      </w:pPr>
      <w:r>
        <w:t>08. Roles, responsabilidades y competencia</w:t>
      </w:r>
    </w:p>
    <w:p>
      <w:pPr>
        <w:spacing w:after="120"/>
      </w:pPr>
      <w:r>
        <w:t>Defina roles responsables para continuidad del negocio, liderazgo de crisis, propietarios de servicios, recuperación tecnológica, instalaciones, comunicaciones, asuntos jurídicos, RR. HH., compras y aseguramiento.</w:t>
      </w:r>
    </w:p>
    <w:p>
      <w:pPr>
        <w:pStyle w:val="Heading2"/>
      </w:pPr>
      <w:r>
        <w:t>09. Planificación de riesgos y oportunidades</w:t>
      </w:r>
    </w:p>
    <w:p>
      <w:pPr>
        <w:spacing w:after="120"/>
      </w:pPr>
      <w:r>
        <w:t>Identifique riesgos y oportunidades a nivel del sistema de gestión que puedan afectar sus resultados previstos y defina tratamientos con seguimiento.</w:t>
      </w:r>
    </w:p>
    <w:p>
      <w:pPr>
        <w:pStyle w:val="Heading2"/>
      </w:pPr>
      <w:r>
        <w:t>10. Gobernanza del análisis de impacto al negocio</w:t>
      </w:r>
    </w:p>
    <w:p>
      <w:pPr>
        <w:spacing w:after="120"/>
      </w:pPr>
      <w:r>
        <w:t>Establezca metodología de BIA, cadencia de revisión, controles de calidad de datos, autoridad de aprobación y vinculación con inventarios de servicios y estrategias de recuperación.</w:t>
      </w:r>
    </w:p>
    <w:p>
      <w:pPr>
        <w:pStyle w:val="Heading2"/>
      </w:pPr>
      <w:r>
        <w:t>11. Productos y servicios críticos</w:t>
      </w:r>
    </w:p>
    <w:p>
      <w:pPr>
        <w:spacing w:after="120"/>
      </w:pPr>
      <w:r>
        <w:t>Identifique productos, servicios, actividades y flujos de valor prioritarios, incluidos tolerancias aceptables de interrupción e impactos sobre partes interesadas.</w:t>
      </w:r>
    </w:p>
    <w:p>
      <w:pPr>
        <w:pStyle w:val="Heading2"/>
      </w:pPr>
      <w:r>
        <w:t>12. Criterios de impacto y dimensiones temporales</w:t>
      </w:r>
    </w:p>
    <w:p>
      <w:pPr>
        <w:spacing w:after="120"/>
      </w:pPr>
      <w:r>
        <w:t>Defina criterios financieros, jurídicos, de seguridad, clientes, operación, regulación, reputación y misión a través de intervalos temporales de interrupción.</w:t>
      </w:r>
    </w:p>
    <w:p>
      <w:pPr>
        <w:pStyle w:val="Heading2"/>
      </w:pPr>
      <w:r>
        <w:t>13. Dependencias y requisitos de recursos</w:t>
      </w:r>
    </w:p>
    <w:p>
      <w:pPr>
        <w:spacing w:after="120"/>
      </w:pPr>
      <w:r>
        <w:t>Mapee personas, instalaciones, tecnología, datos, servicios públicos, proveedores, logística, comunicaciones y dependencias especializadas necesarias para actividades prioritarias.</w:t>
      </w:r>
    </w:p>
    <w:p>
      <w:pPr>
        <w:pStyle w:val="Heading2"/>
      </w:pPr>
      <w:r>
        <w:t>14. Evaluación de riesgos de interrupción</w:t>
      </w:r>
    </w:p>
    <w:p>
      <w:pPr>
        <w:spacing w:after="120"/>
      </w:pPr>
      <w:r>
        <w:t>Evalúe escenarios de interrupción, vulnerabilidades, puntos únicos de falla, riesgo de concentración, exposición geográfica, dependencias cibernéticas/físicas y efectos en cascada.</w:t>
      </w:r>
    </w:p>
    <w:p>
      <w:pPr>
        <w:pStyle w:val="Heading2"/>
      </w:pPr>
      <w:r>
        <w:t>15. Selección de estrategias de continuidad</w:t>
      </w:r>
    </w:p>
    <w:p>
      <w:pPr>
        <w:spacing w:after="120"/>
      </w:pPr>
      <w:r>
        <w:t>Seleccione estrategias proporcionales basadas en resultados de BIA y riesgos, equilibrando resiliencia, capacidad de recuperación, costo, complejidad y riesgo residual.</w:t>
      </w:r>
    </w:p>
    <w:p>
      <w:pPr>
        <w:pStyle w:val="Heading2"/>
      </w:pPr>
      <w:r>
        <w:t>16. Continuidad de personas y fuerza laboral</w:t>
      </w:r>
    </w:p>
    <w:p>
      <w:pPr>
        <w:spacing w:after="120"/>
      </w:pPr>
      <w:r>
        <w:t>Defina alternativas de dotación, sucesión, capacitación cruzada, capacidad de trabajo remoto, bienestar, viajes, acceso, seguridad y controles de comunicación con la fuerza laboral.</w:t>
      </w:r>
    </w:p>
    <w:p>
      <w:pPr>
        <w:pStyle w:val="Heading2"/>
      </w:pPr>
      <w:r>
        <w:t>17. Instalaciones y resiliencia física</w:t>
      </w:r>
    </w:p>
    <w:p>
      <w:pPr>
        <w:spacing w:after="120"/>
      </w:pPr>
      <w:r>
        <w:t>Aborde espacios alternos de trabajo, servicios públicos, controles ambientales, seguridad física, acceso a sitios, diversificación geográfica y dependencias de recuperación de instalaciones.</w:t>
      </w:r>
    </w:p>
    <w:p>
      <w:pPr>
        <w:pStyle w:val="Heading2"/>
      </w:pPr>
      <w:r>
        <w:t>18. Integración de recuperación tecnológica y cibernética</w:t>
      </w:r>
    </w:p>
    <w:p>
      <w:pPr>
        <w:spacing w:after="120"/>
      </w:pPr>
      <w:r>
        <w:t>Integre objetivos de continuidad con recuperación ante desastres, respaldos, restauración, respuesta a incidentes cibernéticos, recuperación de identidades, resiliencia de infraestructura y dependencias de aplicaciones.</w:t>
      </w:r>
    </w:p>
    <w:p>
      <w:pPr>
        <w:pStyle w:val="Heading2"/>
      </w:pPr>
      <w:r>
        <w:t>19. Continuidad de información y datos</w:t>
      </w:r>
    </w:p>
    <w:p>
      <w:pPr>
        <w:spacing w:after="120"/>
      </w:pPr>
      <w:r>
        <w:t>Proteja disponibilidad, integridad, recuperabilidad, retención, confidencialidad y acceso controlado a la información requerida durante la interrupción y recuperación.</w:t>
      </w:r>
    </w:p>
    <w:p>
      <w:pPr>
        <w:pStyle w:val="Heading2"/>
      </w:pPr>
      <w:r>
        <w:t>20. Continuidad de terceros y cadena de suministro</w:t>
      </w:r>
    </w:p>
    <w:p>
      <w:pPr>
        <w:spacing w:after="120"/>
      </w:pPr>
      <w:r>
        <w:t>Defina requisitos de continuidad para proveedores, debida diligencia, evidencia, revisión de riesgo de concentración, abastecimiento alternativo, escalamiento, cláusulas contractuales y reevaluación.</w:t>
      </w:r>
    </w:p>
    <w:p>
      <w:pPr>
        <w:pStyle w:val="Heading2"/>
      </w:pPr>
      <w:r>
        <w:t>21. Estructura de gestión de crisis</w:t>
      </w:r>
    </w:p>
    <w:p>
      <w:pPr>
        <w:spacing w:after="120"/>
      </w:pPr>
      <w:r>
        <w:t>Defina roles estratégicos, tácticos y operativos de crisis, criterios de activación, estructura de mando, registro de decisiones, transferencias y escalamiento ejecutivo.</w:t>
      </w:r>
    </w:p>
    <w:p>
      <w:pPr>
        <w:pStyle w:val="Heading2"/>
      </w:pPr>
      <w:r>
        <w:t>22. Procedimientos de respuesta a incidentes y continuidad</w:t>
      </w:r>
    </w:p>
    <w:p>
      <w:pPr>
        <w:spacing w:after="120"/>
      </w:pPr>
      <w:r>
        <w:t>Mantenga procedimientos utilizables para activación, estabilización, continuidad, recuperación, escalamiento, coordinación de recursos y desactivación.</w:t>
      </w:r>
    </w:p>
    <w:p>
      <w:pPr>
        <w:pStyle w:val="Heading2"/>
      </w:pPr>
      <w:r>
        <w:t>23. Comunicaciones y gestión de partes interesadas</w:t>
      </w:r>
    </w:p>
    <w:p>
      <w:pPr>
        <w:spacing w:after="120"/>
      </w:pPr>
      <w:r>
        <w:t>Defina comunicaciones internas y externas, autoridad del vocero, aprobación de mensajes, notificaciones a reguladores/clientes, mantenimiento de contactos y control de rumores.</w:t>
      </w:r>
    </w:p>
    <w:p>
      <w:pPr>
        <w:pStyle w:val="Heading2"/>
      </w:pPr>
      <w:r>
        <w:t>24. Objetivos de recuperación y prioridades de restauración</w:t>
      </w:r>
    </w:p>
    <w:p>
      <w:pPr>
        <w:spacing w:after="120"/>
      </w:pPr>
      <w:r>
        <w:t>Traduzca tolerancias empresariales aprobadas en objetivos operativos de recuperación, secuenciación, necesidades mínimas de recursos y prioridades validadas de restauración de servicios.</w:t>
      </w:r>
    </w:p>
    <w:p>
      <w:pPr>
        <w:pStyle w:val="Heading2"/>
      </w:pPr>
      <w:r>
        <w:t>25. Documentación y accesibilidad de planes</w:t>
      </w:r>
    </w:p>
    <w:p>
      <w:pPr>
        <w:spacing w:after="120"/>
      </w:pPr>
      <w:r>
        <w:t>Asegure que los planes estén vigentes, controlados, disponibles bajo condiciones degradadas, adecuadamente protegidos, versionados y sean comprensibles para sus usuarios previstos.</w:t>
      </w:r>
    </w:p>
    <w:p>
      <w:pPr>
        <w:pStyle w:val="Heading2"/>
      </w:pPr>
      <w:r>
        <w:t>26. Capacitación y concientización</w:t>
      </w:r>
    </w:p>
    <w:p>
      <w:pPr>
        <w:spacing w:after="120"/>
      </w:pPr>
      <w:r>
        <w:t>Implemente concientización por roles, desarrollo de competencias, incorporación, capacitación de actualización, preparación de liderazgo de crisis y evidencia de finalización.</w:t>
      </w:r>
    </w:p>
    <w:p>
      <w:pPr>
        <w:pStyle w:val="Heading2"/>
      </w:pPr>
      <w:r>
        <w:t>27. Programa de ejercicios y pruebas</w:t>
      </w:r>
    </w:p>
    <w:p>
      <w:pPr>
        <w:spacing w:after="120"/>
      </w:pPr>
      <w:r>
        <w:t>Mantenga un programa basado en riesgo que use recorridos, simulaciones, pruebas técnicas de recuperación, ejercicios con proveedores, ejercicios de crisis y escenarios integrados.</w:t>
      </w:r>
    </w:p>
    <w:p>
      <w:pPr>
        <w:pStyle w:val="Heading2"/>
      </w:pPr>
      <w:r>
        <w:t>28. Hallazgos de ejercicios y remediación</w:t>
      </w:r>
    </w:p>
    <w:p>
      <w:pPr>
        <w:spacing w:after="120"/>
      </w:pPr>
      <w:r>
        <w:t>Registre observaciones, causas raíz, responsables de acciones, fechas objetivo, riesgo residual, requisitos de reprueba y evidencia de cierre para hallazgos de ejercicios e incidentes.</w:t>
      </w:r>
    </w:p>
    <w:p>
      <w:pPr>
        <w:pStyle w:val="Heading2"/>
      </w:pPr>
      <w:r>
        <w:t>29. Monitoreo, medición y métricas</w:t>
      </w:r>
    </w:p>
    <w:p>
      <w:pPr>
        <w:spacing w:after="120"/>
      </w:pPr>
      <w:r>
        <w:t>Defina indicadores para preparación, vigencia de planes, desempeño de recuperación, efectividad de ejercicios, resiliencia de proveedores, antigüedad de problemas y logro de objetivos.</w:t>
      </w:r>
    </w:p>
    <w:p>
      <w:pPr>
        <w:pStyle w:val="Heading2"/>
      </w:pPr>
      <w:r>
        <w:t>30. Auditoría interna y aseguramiento</w:t>
      </w:r>
    </w:p>
    <w:p>
      <w:pPr>
        <w:spacing w:after="120"/>
      </w:pPr>
      <w:r>
        <w:t>Planifique aseguramiento independiente y basado en evidencia sobre diseño y operación del sistema de gestión, preservando competencia del auditor, alcance, muestreo, hallazgos y límites de seguimiento.</w:t>
      </w:r>
    </w:p>
    <w:p>
      <w:pPr>
        <w:pStyle w:val="Heading2"/>
      </w:pPr>
      <w:r>
        <w:t>31. Revisión por la dirección y mejora continua</w:t>
      </w:r>
    </w:p>
    <w:p>
      <w:pPr>
        <w:spacing w:after="120"/>
      </w:pPr>
      <w:r>
        <w:t>Proporcione al liderazgo evidencia sobre desempeño, cambios, incidentes, ejercicios, resultados de auditoría, riesgos, recursos, objetivos y acciones de mejora.</w:t>
      </w:r>
    </w:p>
    <w:p>
      <w:pPr>
        <w:pStyle w:val="Heading2"/>
      </w:pPr>
      <w:r>
        <w:t>32. Publicación, evidencia y hoja de ruta de implementación</w:t>
      </w:r>
    </w:p>
    <w:p>
      <w:pPr>
        <w:spacing w:after="120"/>
      </w:pPr>
      <w:r>
        <w:t>Empaquete una hoja de ruta de implementación Esencial / Estructurada / Mejorada con verificación de fuentes, mapeo de controles/evidencia, seguimiento de problemas, localización, accesibilidad, procedencia, checksum, seguridad de workflows y compuertas de publicación. Revalide el estado de las fuentes ISO inmediatamente antes de publicar y trate ISO/CD 22301 e ISO/AWI 22313 como vigilancia de cambios no normativa mientras no se publiquen formalmente.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