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23 — Implementación Controlada de DORA</w:t>
      </w:r>
    </w:p>
    <w:p>
      <w:r>
        <w:rPr>
          <w:b/>
        </w:rPr>
        <w:t>Traducción de proyecto es-419 — no oficial</w:t>
      </w:r>
    </w:p>
    <w:p>
      <w:pPr>
        <w:spacing w:after="120"/>
      </w:pPr>
      <w:r>
        <w:t>**Orden de la serie:** 23</w:t>
      </w:r>
    </w:p>
    <w:p>
      <w:pPr>
        <w:spacing w:after="120"/>
      </w:pPr>
      <w:r>
        <w:t>**Base estatutaria principal:** Reglamento (UE) 2022/2554 (DORA)</w:t>
      </w:r>
    </w:p>
    <w:p>
      <w:pPr>
        <w:spacing w:after="120"/>
      </w:pPr>
      <w:r>
        <w:t>**Regla de capas de fuentes:** el texto estatutario, los actos delegados/de ejecución, los materiales de supervisión, la práctica contractual y los procedimientos internos se mantienen diferenciados.</w:t>
      </w:r>
    </w:p>
    <w:p>
      <w:pPr>
        <w:spacing w:after="120"/>
      </w:pPr>
      <w:r>
        <w:t>**Límite:** Este manual no sustituye el RGPD, NIS2, requisitos prudenciales sectoriales, derecho nacional ni instrucciones de autoridades competentes.</w:t>
      </w:r>
    </w:p>
    <w:p>
      <w:pPr>
        <w:pStyle w:val="Heading2"/>
      </w:pPr>
      <w:r>
        <w:t>01. Gobernanza y rendición de cuentas</w:t>
      </w:r>
    </w:p>
    <w:p>
      <w:pPr>
        <w:spacing w:after="120"/>
      </w:pPr>
      <w:r>
        <w:t>Establezca un marco de resiliencia operativa digital aprobado por el órgano de dirección, con responsabilidades, derechos de decisión, frecuencia de reportes, umbrales de escalamiento y conservación de evidencia. Registre responsables, delegaciones, decisiones materiales, cuestionamientos y seguimiento de remediación.</w:t>
      </w:r>
    </w:p>
    <w:p>
      <w:pPr>
        <w:pStyle w:val="Heading2"/>
      </w:pPr>
      <w:r>
        <w:t>02. Alcance y aplicabilidad</w:t>
      </w:r>
    </w:p>
    <w:p>
      <w:pPr>
        <w:spacing w:after="120"/>
      </w:pPr>
      <w:r>
        <w:t>Determine qué entidades jurídicas, servicios, sucursales, activos TIC y acuerdos de externalización están dentro de DORA. Vincule las conclusiones de alcance a hechos de entidad y servicio; no generalice la aplicabilidad más allá de la evidencia.</w:t>
      </w:r>
    </w:p>
    <w:p>
      <w:pPr>
        <w:pStyle w:val="Heading2"/>
      </w:pPr>
      <w:r>
        <w:t>03. Marco de gestión de riesgos TIC</w:t>
      </w:r>
    </w:p>
    <w:p>
      <w:pPr>
        <w:spacing w:after="120"/>
      </w:pPr>
      <w:r>
        <w:t>Mantenga un marco documentado de gestión de riesgos TIC integrado con gestión de riesgos empresariales. Defina objetivos, dominios de control, apetito/tolerancia, excepciones, pruebas y disparadores de reevaluación.</w:t>
      </w:r>
    </w:p>
    <w:p>
      <w:pPr>
        <w:pStyle w:val="Heading2"/>
      </w:pPr>
      <w:r>
        <w:t>04. Inventario y dependencias</w:t>
      </w:r>
    </w:p>
    <w:p>
      <w:pPr>
        <w:spacing w:after="120"/>
      </w:pPr>
      <w:r>
        <w:t>Mantenga inventarios actuales de activos de información y TIC, sistemas, aplicaciones, flujos de datos, funciones críticas, dependencias, interfaces y servicios de terceros. Relacione servicios de negocio con componentes técnicos y responsables.</w:t>
      </w:r>
    </w:p>
    <w:p>
      <w:pPr>
        <w:pStyle w:val="Heading2"/>
      </w:pPr>
      <w:r>
        <w:t>05. Protección y prevención</w:t>
      </w:r>
    </w:p>
    <w:p>
      <w:pPr>
        <w:spacing w:after="120"/>
      </w:pPr>
      <w:r>
        <w:t>Implemente salvaguardas preventivas proporcionales al riesgo, incluyendo control de acceso, configuración segura, gestión de cambios, protección de red, cifrado, defensas antimalware, vulnerabilidades, desarrollo seguro y controles físicos/ambientales aplicables.</w:t>
      </w:r>
    </w:p>
    <w:p>
      <w:pPr>
        <w:pStyle w:val="Heading2"/>
      </w:pPr>
      <w:r>
        <w:t>06. Detección</w:t>
      </w:r>
    </w:p>
    <w:p>
      <w:pPr>
        <w:spacing w:after="120"/>
      </w:pPr>
      <w:r>
        <w:t>Defina capacidades de monitoreo y detección para actividad anómala, degradación del servicio, fallas de integridad, acceso no autorizado, fallas de control y disrupción de terceros. Conserve lógica de alertas, propiedad, criterios de triage y evidencia.</w:t>
      </w:r>
    </w:p>
    <w:p>
      <w:pPr>
        <w:pStyle w:val="Heading2"/>
      </w:pPr>
      <w:r>
        <w:t>07. Respuesta</w:t>
      </w:r>
    </w:p>
    <w:p>
      <w:pPr>
        <w:spacing w:after="120"/>
      </w:pPr>
      <w:r>
        <w:t>Mantenga procedimientos documentados de respuesta a incidentes TIC que cubran clasificación, mando, comunicación, contención, investigación, coordinación de recuperación, preservación de evidencia, registro de decisiones y rutas de notificación regulatoria.</w:t>
      </w:r>
    </w:p>
    <w:p>
      <w:pPr>
        <w:pStyle w:val="Heading2"/>
      </w:pPr>
      <w:r>
        <w:t>08. Recuperación y restauración</w:t>
      </w:r>
    </w:p>
    <w:p>
      <w:pPr>
        <w:spacing w:after="120"/>
      </w:pPr>
      <w:r>
        <w:t>Defina prioridades de recuperación, objetivos, procedimientos de restauración, procesamiento alterno, secuencia de dependencias, verificaciones de integridad y validación del negocio antes de volver a operación normal.</w:t>
      </w:r>
    </w:p>
    <w:p>
      <w:pPr>
        <w:pStyle w:val="Heading2"/>
      </w:pPr>
      <w:r>
        <w:t>09. Copias de seguridad y restauración</w:t>
      </w:r>
    </w:p>
    <w:p>
      <w:pPr>
        <w:spacing w:after="120"/>
      </w:pPr>
      <w:r>
        <w:t>Use arreglos resilientes de respaldo con alcance, frecuencia, retención, segregación, inmutabilidad o protección equivalente cuando corresponda, pruebas de restauración y evidencia de que los objetivos de recuperación siguen siendo alcanzables.</w:t>
      </w:r>
    </w:p>
    <w:p>
      <w:pPr>
        <w:pStyle w:val="Heading2"/>
      </w:pPr>
      <w:r>
        <w:t>10. Aprendizaje y mejora</w:t>
      </w:r>
    </w:p>
    <w:p>
      <w:pPr>
        <w:spacing w:after="120"/>
      </w:pPr>
      <w:r>
        <w:t>Realice revisiones estructuradas posteriores a incidentes y pruebas. Registre causas raíz, brechas, lecciones, acciones correctivas, responsables, fechas objetivo, evidencia de verificación y disparadores de reevaluación.</w:t>
      </w:r>
    </w:p>
    <w:p>
      <w:pPr>
        <w:pStyle w:val="Heading2"/>
      </w:pPr>
      <w:r>
        <w:t>11. Comunicación</w:t>
      </w:r>
    </w:p>
    <w:p>
      <w:pPr>
        <w:spacing w:after="120"/>
      </w:pPr>
      <w:r>
        <w:t>Mantenga procedimientos de comunicación interna y externa para disrupciones TIC importantes. Defina partes interesadas, aprobación de mensajes, escalamiento, consideraciones de medios/mercado/clientes y responsabilidades de contacto regulatorio.</w:t>
      </w:r>
    </w:p>
    <w:p>
      <w:pPr>
        <w:pStyle w:val="Heading2"/>
      </w:pPr>
      <w:r>
        <w:t>12. Clasificación de incidentes TIC</w:t>
      </w:r>
    </w:p>
    <w:p>
      <w:pPr>
        <w:spacing w:after="120"/>
      </w:pPr>
      <w:r>
        <w:t>Use criterios documentados para clasificar incidentes relacionados con TIC. Mantenga separados los modelos internos de severidad de los criterios regulatorios y revalide umbrales y normas técnicas aplicables antes de publicar y usar.</w:t>
      </w:r>
    </w:p>
    <w:p>
      <w:pPr>
        <w:pStyle w:val="Heading2"/>
      </w:pPr>
      <w:r>
        <w:t>13. Reporte de incidentes mayores</w:t>
      </w:r>
    </w:p>
    <w:p>
      <w:pPr>
        <w:spacing w:after="120"/>
      </w:pPr>
      <w:r>
        <w:t>Mantenga un proceso fail-closed para determinar si un incidente TIC cumple requisitos de reporte de incidente mayor. Registre autoridad competente, campos exigidos, etapas, plazos, evidencia y correcciones. Revalide plantillas y tiempos actuales antes de uso operativo.</w:t>
      </w:r>
    </w:p>
    <w:p>
      <w:pPr>
        <w:pStyle w:val="Heading2"/>
      </w:pPr>
      <w:r>
        <w:t>14. Notificación voluntaria de amenazas cibernéticas</w:t>
      </w:r>
    </w:p>
    <w:p>
      <w:pPr>
        <w:spacing w:after="120"/>
      </w:pPr>
      <w:r>
        <w:t>Mantenga la notificación voluntaria de amenazas cibernéticas significativas separada del reporte obligatorio de incidentes mayores. Documente autoridad de decisión, fundamento, destinatarios y obligaciones resultantes.</w:t>
      </w:r>
    </w:p>
    <w:p>
      <w:pPr>
        <w:pStyle w:val="Heading2"/>
      </w:pPr>
      <w:r>
        <w:t>15. Estrategia de pruebas</w:t>
      </w:r>
    </w:p>
    <w:p>
      <w:pPr>
        <w:spacing w:after="120"/>
      </w:pPr>
      <w:r>
        <w:t>Mantenga un programa de pruebas de resiliencia operativa digital basado en riesgo para sistemas y servicios TIC que soporten funciones críticas o importantes. Defina alcance, frecuencia, independencia, evidencia, remediación y repetición de pruebas.</w:t>
      </w:r>
    </w:p>
    <w:p>
      <w:pPr>
        <w:pStyle w:val="Heading2"/>
      </w:pPr>
      <w:r>
        <w:t>16. Evaluaciones de vulnerabilidad</w:t>
      </w:r>
    </w:p>
    <w:p>
      <w:pPr>
        <w:spacing w:after="120"/>
      </w:pPr>
      <w:r>
        <w:t>Realice evaluaciones de vulnerabilidad con métodos proporcionales a criticidad y exposición. Registre hallazgos, severidad, controles compensatorios, plazos, excepciones, evidencia y verificación de cierre.</w:t>
      </w:r>
    </w:p>
    <w:p>
      <w:pPr>
        <w:pStyle w:val="Heading2"/>
      </w:pPr>
      <w:r>
        <w:t>17. Pruebas de escenarios y resiliencia</w:t>
      </w:r>
    </w:p>
    <w:p>
      <w:pPr>
        <w:spacing w:after="120"/>
      </w:pPr>
      <w:r>
        <w:t>Use pruebas basadas en escenarios para validar resiliencia ante disrupciones severas plausibles. Incluya personas, procesos, tecnología, instalaciones, comunicaciones, dependencias de terceros y decisiones de recuperación.</w:t>
      </w:r>
    </w:p>
    <w:p>
      <w:pPr>
        <w:pStyle w:val="Heading2"/>
      </w:pPr>
      <w:r>
        <w:t>18. Pruebas de penetración basadas en amenazas</w:t>
      </w:r>
    </w:p>
    <w:p>
      <w:pPr>
        <w:spacing w:after="120"/>
      </w:pPr>
      <w:r>
        <w:t>Cuando aplique, gestione TLPT como un régimen de control distinto. Verifique aplicabilidad, alcance, requisitos de testers, expectativas de autoridad, evidencia, remediación y obligaciones de repetición antes de ejecutar.</w:t>
      </w:r>
    </w:p>
    <w:p>
      <w:pPr>
        <w:pStyle w:val="Heading2"/>
      </w:pPr>
      <w:r>
        <w:t>19. Independencia y competencia de testers</w:t>
      </w:r>
    </w:p>
    <w:p>
      <w:pPr>
        <w:spacing w:after="120"/>
      </w:pPr>
      <w:r>
        <w:t>Defina requisitos de independencia, competencia, conflicto de interés, confidencialidad, autorización y evidencia para testers internos y externos. Distinga requisitos regulatorios formales de expectativas internas de calidad.</w:t>
      </w:r>
    </w:p>
    <w:p>
      <w:pPr>
        <w:pStyle w:val="Heading2"/>
      </w:pPr>
      <w:r>
        <w:t>20. Remediación y repetición de pruebas</w:t>
      </w:r>
    </w:p>
    <w:p>
      <w:pPr>
        <w:spacing w:after="120"/>
      </w:pPr>
      <w:r>
        <w:t>Gestione hallazgos mediante un ciclo controlado de remediación con responsable, calificación de riesgo, fecha objetivo, autoridad de excepción, evidencia de cierre y repetición de prueba cuando corresponda.</w:t>
      </w:r>
    </w:p>
    <w:p>
      <w:pPr>
        <w:pStyle w:val="Heading2"/>
      </w:pPr>
      <w:r>
        <w:t>21. Marco de riesgo de terceros TIC</w:t>
      </w:r>
    </w:p>
    <w:p>
      <w:pPr>
        <w:spacing w:after="120"/>
      </w:pPr>
      <w:r>
        <w:t>Mantenga gobernanza para riesgo de terceros TIC en incorporación, debida diligencia, contratación, monitoreo, incidentes, concentración, cambios, renovación, salida y conservación de evidencia.</w:t>
      </w:r>
    </w:p>
    <w:p>
      <w:pPr>
        <w:pStyle w:val="Heading2"/>
      </w:pPr>
      <w:r>
        <w:t>22. Debida diligencia precontractual</w:t>
      </w:r>
    </w:p>
    <w:p>
      <w:pPr>
        <w:spacing w:after="120"/>
      </w:pPr>
      <w:r>
        <w:t>Antes de contratar servicios TIC, evalúe capacidad del proveedor, seguridad, resiliencia, manejo de datos, ajuste legal/regulatorio, subcontratación, dependencias geográficas, auditabilidad, continuidad, viabilidad de salida y concentración.</w:t>
      </w:r>
    </w:p>
    <w:p>
      <w:pPr>
        <w:pStyle w:val="Heading2"/>
      </w:pPr>
      <w:r>
        <w:t>23. Controles contractuales</w:t>
      </w:r>
    </w:p>
    <w:p>
      <w:pPr>
        <w:spacing w:after="120"/>
      </w:pPr>
      <w:r>
        <w:t>Use cláusulas apropiadas a la criticidad del servicio y a DORA. Cubra descripción del servicio, ubicaciones, seguridad, apoyo en incidentes, derechos de acceso/auditoría, continuidad, devolución de datos, terminación, cooperación y acceso regulatorio cuando aplique.</w:t>
      </w:r>
    </w:p>
    <w:p>
      <w:pPr>
        <w:pStyle w:val="Heading2"/>
      </w:pPr>
      <w:r>
        <w:t>24. Subcontratación y riesgo de cadena</w:t>
      </w:r>
    </w:p>
    <w:p>
      <w:pPr>
        <w:spacing w:after="120"/>
      </w:pPr>
      <w:r>
        <w:t>Identifique cadenas materiales de subcontratación, dependencias críticas, ubicaciones, riesgo de sustitución, concentración, notificación de cambios y obligaciones aguas abajo. No trate la supervisión del proveedor principal como eliminación del riesgo de cadena.</w:t>
      </w:r>
    </w:p>
    <w:p>
      <w:pPr>
        <w:pStyle w:val="Heading2"/>
      </w:pPr>
      <w:r>
        <w:t>25. Riesgo de concentración</w:t>
      </w:r>
    </w:p>
    <w:p>
      <w:pPr>
        <w:spacing w:after="120"/>
      </w:pPr>
      <w:r>
        <w:t>Evalúe concentración entre proveedores, servicios, tecnologías, regiones, ubicaciones de datos, infraestructura común y sustituibilidad. Documente supuestos, escenarios de estrés, mitigaciones y decisiones de gestión.</w:t>
      </w:r>
    </w:p>
    <w:p>
      <w:pPr>
        <w:pStyle w:val="Heading2"/>
      </w:pPr>
      <w:r>
        <w:t>26. Registro de información</w:t>
      </w:r>
    </w:p>
    <w:p>
      <w:pPr>
        <w:spacing w:after="120"/>
      </w:pPr>
      <w:r>
        <w:t>Mantenga el registro de información requerido para acuerdos TIC relevantes usando estructura y campos vigentes. Revalide plantillas, taxonomía, expectativas de presentación e instrucciones de autoridad antes de presentar.</w:t>
      </w:r>
    </w:p>
    <w:p>
      <w:pPr>
        <w:pStyle w:val="Heading2"/>
      </w:pPr>
      <w:r>
        <w:t>27. Proveedores TIC críticos</w:t>
      </w:r>
    </w:p>
    <w:p>
      <w:pPr>
        <w:spacing w:after="120"/>
      </w:pPr>
      <w:r>
        <w:t>Mantenga controles para dependencias de proveedores designados o potencialmente sujetos al marco europeo de supervisión de proveedores TIC críticos. Distinga esa supervisión de las responsabilidades continuas de la entidad financiera.</w:t>
      </w:r>
    </w:p>
    <w:p>
      <w:pPr>
        <w:pStyle w:val="Heading2"/>
      </w:pPr>
      <w:r>
        <w:t>28. Planificación de salida y transición</w:t>
      </w:r>
    </w:p>
    <w:p>
      <w:pPr>
        <w:spacing w:after="120"/>
      </w:pPr>
      <w:r>
        <w:t>Cree planes probados de salida y transición para servicios TIC que soportan funciones críticas o importantes. Incluya portabilidad de datos, proveedores alternos, posibilidad de insourcing, secuencia, continuidad, transferencia de conocimiento, disparadores contractuales y riesgo residual.</w:t>
      </w:r>
    </w:p>
    <w:p>
      <w:pPr>
        <w:pStyle w:val="Heading2"/>
      </w:pPr>
      <w:r>
        <w:t>29. Métricas de resiliencia operativa</w:t>
      </w:r>
    </w:p>
    <w:p>
      <w:pPr>
        <w:spacing w:after="120"/>
      </w:pPr>
      <w:r>
        <w:t>Defina métricas para incidentes, recuperación, pruebas, desempeño de terceros, vulnerabilidades, remediación, excepciones, concentración y efectividad de controles. Vincule métricas con decisiones y escalamiento.</w:t>
      </w:r>
    </w:p>
    <w:p>
      <w:pPr>
        <w:pStyle w:val="Heading2"/>
      </w:pPr>
      <w:r>
        <w:t>30. Evidencia y preparación supervisora</w:t>
      </w:r>
    </w:p>
    <w:p>
      <w:pPr>
        <w:spacing w:after="120"/>
      </w:pPr>
      <w:r>
        <w:t>Mantenga objetos de evidencia para cada control material: política, responsable, procedimiento, registro operativo, resultado de prueba, excepción, remediación, aprobación cuando corresponda y reevaluación. Asegure soporte para auditoría interna, aseguramiento externo y solicitudes de autoridades.</w:t>
      </w:r>
    </w:p>
    <w:p>
      <w:pPr>
        <w:pStyle w:val="Heading2"/>
      </w:pPr>
      <w:r>
        <w:t>31. Localización y control de implementación</w:t>
      </w:r>
    </w:p>
    <w:p>
      <w:pPr>
        <w:spacing w:after="120"/>
      </w:pPr>
      <w:r>
        <w:t>Traduzca únicamente desde una fuente inglesa exacta congelada. Preserve términos legales/regulatorios, distinciones de reporte, terminología de terceros, límites de alcance y condición de traducción no oficial. Ejecute controles de paridad estructural y semántica antes de generar candidatos.</w:t>
      </w:r>
    </w:p>
    <w:p>
      <w:pPr>
        <w:pStyle w:val="Heading2"/>
      </w:pPr>
      <w:r>
        <w:t>32. Vigilancia de fuentes, cambios, procedencia y publicación</w:t>
      </w:r>
    </w:p>
    <w:p>
      <w:pPr>
        <w:spacing w:after="120"/>
      </w:pPr>
      <w:r>
        <w:t>Antes de congelar y publicar, revalide aplicabilidad del Reglamento (UE) 2022/2554, actos delegados/de ejecución, materiales ESA, normas técnicas de reporte de incidentes, TLPT, especificaciones del registro de información y actualizaciones supervisoras. Vincule commit fuente, localizaciones, binarios DOCX/PDF, SHA-256, QA de renderizado/accesibilidad, seguridad de workflows, estado del predecesor y reconciliación del registro. Si no quedan defectos materiales y todas las puertas objetivas están verdes, publique bajo la autorización permanente del repositorio.</w:t>
      </w:r>
    </w:p>
    <w:p>
      <w:pPr>
        <w:pStyle w:val="Heading2"/>
      </w:pPr>
      <w:r>
        <w:t>Registro mínimo de control para cada capítulo</w:t>
      </w:r>
    </w:p>
    <w:p>
      <w:pPr>
        <w:spacing w:after="120"/>
      </w:pPr>
      <w:r>
        <w:t>Para cada capítulo sustantivo, los registros de implementación deben identificar: capa de fuente aplicable; decisión de aplicabilidad; responsable; procedimiento operativo; objeto/ubicación de evidencia; método de revisión o prueba; ruta de excepción/remediación; y disparador de reevaluación.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