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23 — Implementação Controlada do DORA</w:t>
      </w:r>
    </w:p>
    <w:p>
      <w:r>
        <w:rPr>
          <w:b/>
        </w:rPr>
        <w:t>Tradução de projeto pt-BR — não oficial</w:t>
      </w:r>
    </w:p>
    <w:p>
      <w:pPr>
        <w:spacing w:after="120"/>
      </w:pPr>
      <w:r>
        <w:t>**Ordem da série:** 23</w:t>
      </w:r>
    </w:p>
    <w:p>
      <w:pPr>
        <w:spacing w:after="120"/>
      </w:pPr>
      <w:r>
        <w:t>**Base estatutária principal:** Regulamento (UE) 2022/2554 (DORA)</w:t>
      </w:r>
    </w:p>
    <w:p>
      <w:pPr>
        <w:spacing w:after="120"/>
      </w:pPr>
      <w:r>
        <w:t>**Regra de camadas de fontes:** texto estatutário, atos delegados/de execução, materiais de supervisão, prática contratual e procedimentos internos permanecem distintos.</w:t>
      </w:r>
    </w:p>
    <w:p>
      <w:pPr>
        <w:spacing w:after="120"/>
      </w:pPr>
      <w:r>
        <w:t>**Limite:** Este manual não substitui GDPR, NIS2, requisitos prudenciais setoriais, legislação nacional ou instruções de autoridades competentes.</w:t>
      </w:r>
    </w:p>
    <w:p>
      <w:pPr>
        <w:pStyle w:val="Heading2"/>
      </w:pPr>
      <w:r>
        <w:t>01. Governança e responsabilização</w:t>
      </w:r>
    </w:p>
    <w:p>
      <w:pPr>
        <w:spacing w:after="120"/>
      </w:pPr>
      <w:r>
        <w:t>Estabeleça uma estrutura de resiliência operacional digital aprovada pelo órgão de administração, com responsabilidades nomeadas, direitos de decisão, frequência de reporte, limiares de escalonamento e retenção de evidências. Registre responsáveis, delegações, decisões materiais, questionamentos e acompanhamento da remediação.</w:t>
      </w:r>
    </w:p>
    <w:p>
      <w:pPr>
        <w:pStyle w:val="Heading2"/>
      </w:pPr>
      <w:r>
        <w:t>02. Escopo e aplicabilidade</w:t>
      </w:r>
    </w:p>
    <w:p>
      <w:pPr>
        <w:spacing w:after="120"/>
      </w:pPr>
      <w:r>
        <w:t>Determine quais entidades jurídicas, serviços, filiais, ativos de TIC e acordos de terceirização estão sujeitos ao DORA. Vincule conclusões de escopo aos fatos de entidade e serviço; não generalize a aplicabilidade além da evidência disponível.</w:t>
      </w:r>
    </w:p>
    <w:p>
      <w:pPr>
        <w:pStyle w:val="Heading2"/>
      </w:pPr>
      <w:r>
        <w:t>03. Estrutura de gestão de riscos de TIC</w:t>
      </w:r>
    </w:p>
    <w:p>
      <w:pPr>
        <w:spacing w:after="120"/>
      </w:pPr>
      <w:r>
        <w:t>Mantenha uma estrutura documentada de gestão de riscos de TIC integrada à gestão de riscos corporativos. Defina objetivos, domínios de controle, apetite/tolerância, tratamento de exceções, testes e gatilhos de reavaliação.</w:t>
      </w:r>
    </w:p>
    <w:p>
      <w:pPr>
        <w:pStyle w:val="Heading2"/>
      </w:pPr>
      <w:r>
        <w:t>04. Mapeamento de ativos e dependências</w:t>
      </w:r>
    </w:p>
    <w:p>
      <w:pPr>
        <w:spacing w:after="120"/>
      </w:pPr>
      <w:r>
        <w:t>Mantenha inventários atuais de ativos de informação e TIC, sistemas, aplicações, fluxos de dados, funções críticas, dependências, interfaces e serviços de terceiros. Relacione dependências de serviços de negócio a componentes técnicos e responsáveis.</w:t>
      </w:r>
    </w:p>
    <w:p>
      <w:pPr>
        <w:pStyle w:val="Heading2"/>
      </w:pPr>
      <w:r>
        <w:t>05. Proteção e prevenção</w:t>
      </w:r>
    </w:p>
    <w:p>
      <w:pPr>
        <w:spacing w:after="120"/>
      </w:pPr>
      <w:r>
        <w:t>Implemente salvaguardas preventivas proporcionais ao risco, incluindo controle de acesso, configuração segura, gestão de mudanças, proteção de rede, criptografia, defesas contra malware, gestão de vulnerabilidades, desenvolvimento seguro e controles físicos/ambientais quando aplicável.</w:t>
      </w:r>
    </w:p>
    <w:p>
      <w:pPr>
        <w:pStyle w:val="Heading2"/>
      </w:pPr>
      <w:r>
        <w:t>06. Detecção</w:t>
      </w:r>
    </w:p>
    <w:p>
      <w:pPr>
        <w:spacing w:after="120"/>
      </w:pPr>
      <w:r>
        <w:t>Defina capacidades de monitoramento e detecção para atividade anômala, degradação de serviço, falhas de integridade, acesso não autorizado, falhas de controle e interrupções de terceiros. Preserve lógica de alertas, propriedade, critérios de triagem e evidências.</w:t>
      </w:r>
    </w:p>
    <w:p>
      <w:pPr>
        <w:pStyle w:val="Heading2"/>
      </w:pPr>
      <w:r>
        <w:t>07. Resposta</w:t>
      </w:r>
    </w:p>
    <w:p>
      <w:pPr>
        <w:spacing w:after="120"/>
      </w:pPr>
      <w:r>
        <w:t>Mantenha procedimentos documentados de resposta a incidentes de TIC cobrindo classificação, comando, comunicação, contenção, investigação, coordenação de recuperação, preservação de evidências, registro de decisões e roteamento de notificações regulatórias.</w:t>
      </w:r>
    </w:p>
    <w:p>
      <w:pPr>
        <w:pStyle w:val="Heading2"/>
      </w:pPr>
      <w:r>
        <w:t>08. Recuperação e restauração</w:t>
      </w:r>
    </w:p>
    <w:p>
      <w:pPr>
        <w:spacing w:after="120"/>
      </w:pPr>
      <w:r>
        <w:t>Defina prioridades de recuperação, objetivos, procedimentos de restauração, processamento alternativo, sequenciamento de dependências, verificações de integridade e validação do negócio antes do retorno à operação normal.</w:t>
      </w:r>
    </w:p>
    <w:p>
      <w:pPr>
        <w:pStyle w:val="Heading2"/>
      </w:pPr>
      <w:r>
        <w:t>09. Controles de backup e restauração</w:t>
      </w:r>
    </w:p>
    <w:p>
      <w:pPr>
        <w:spacing w:after="120"/>
      </w:pPr>
      <w:r>
        <w:t>Use arranjos resilientes de backup com escopo, frequência, retenção, segregação, imutabilidade ou proteção equivalente quando apropriado, testes de restauração e evidências de que os objetivos de recuperação permanecem alcançáveis.</w:t>
      </w:r>
    </w:p>
    <w:p>
      <w:pPr>
        <w:pStyle w:val="Heading2"/>
      </w:pPr>
      <w:r>
        <w:t>10. Aprendizado e melhoria</w:t>
      </w:r>
    </w:p>
    <w:p>
      <w:pPr>
        <w:spacing w:after="120"/>
      </w:pPr>
      <w:r>
        <w:t>Realize revisões estruturadas pós-incidente e pós-teste. Registre causas raiz, lacunas de controle, lições aprendidas, ações corretivas, responsáveis, prazos, evidências de verificação e gatilhos de reavaliação.</w:t>
      </w:r>
    </w:p>
    <w:p>
      <w:pPr>
        <w:pStyle w:val="Heading2"/>
      </w:pPr>
      <w:r>
        <w:t>11. Comunicação</w:t>
      </w:r>
    </w:p>
    <w:p>
      <w:pPr>
        <w:spacing w:after="120"/>
      </w:pPr>
      <w:r>
        <w:t>Mantenha procedimentos de comunicação interna e externa para grandes interrupções de TIC. Defina partes interessadas, aprovação de mensagens, escalonamento, considerações de mídia/mercado/clientes e responsabilidades de contato regulatório.</w:t>
      </w:r>
    </w:p>
    <w:p>
      <w:pPr>
        <w:pStyle w:val="Heading2"/>
      </w:pPr>
      <w:r>
        <w:t>12. Classificação de incidentes de TIC</w:t>
      </w:r>
    </w:p>
    <w:p>
      <w:pPr>
        <w:spacing w:after="120"/>
      </w:pPr>
      <w:r>
        <w:t>Use critérios documentados para classificar incidentes relacionados a TIC. Mantenha modelos internos de severidade separados dos critérios regulatórios e revalide limiares e normas técnicas aplicáveis antes da publicação e do uso.</w:t>
      </w:r>
    </w:p>
    <w:p>
      <w:pPr>
        <w:pStyle w:val="Heading2"/>
      </w:pPr>
      <w:r>
        <w:t>13. Reporte de incidentes graves</w:t>
      </w:r>
    </w:p>
    <w:p>
      <w:pPr>
        <w:spacing w:after="120"/>
      </w:pPr>
      <w:r>
        <w:t>Mantenha um processo fail-closed para determinar se um incidente de TIC atende aos requisitos de reporte de incidente grave. Registre autoridade competente, campos exigidos, etapas, prazos, evidências e correções. Revalide modelos e regras de prazo atuais antes do uso operacional.</w:t>
      </w:r>
    </w:p>
    <w:p>
      <w:pPr>
        <w:pStyle w:val="Heading2"/>
      </w:pPr>
      <w:r>
        <w:t>14. Notificação voluntária de ameaças cibernéticas</w:t>
      </w:r>
    </w:p>
    <w:p>
      <w:pPr>
        <w:spacing w:after="120"/>
      </w:pPr>
      <w:r>
        <w:t>Mantenha a notificação voluntária de ameaças cibernéticas significativas separada do reporte obrigatório de incidentes graves. Documente autoridade decisória, justificativa, destinatários e quaisquer obrigações resultantes.</w:t>
      </w:r>
    </w:p>
    <w:p>
      <w:pPr>
        <w:pStyle w:val="Heading2"/>
      </w:pPr>
      <w:r>
        <w:t>15. Estratégia de testes</w:t>
      </w:r>
    </w:p>
    <w:p>
      <w:pPr>
        <w:spacing w:after="120"/>
      </w:pPr>
      <w:r>
        <w:t>Mantenha um programa de testes de resiliência operacional digital baseado em risco para sistemas e serviços de TIC que suportem funções críticas ou importantes. Defina escopo, frequência, independência, evidências, remediação e reteste.</w:t>
      </w:r>
    </w:p>
    <w:p>
      <w:pPr>
        <w:pStyle w:val="Heading2"/>
      </w:pPr>
      <w:r>
        <w:t>16. Avaliações de vulnerabilidade</w:t>
      </w:r>
    </w:p>
    <w:p>
      <w:pPr>
        <w:spacing w:after="120"/>
      </w:pPr>
      <w:r>
        <w:t>Realize avaliações de vulnerabilidade com métodos proporcionais à criticidade e exposição. Registre achados, severidade, controles compensatórios, prazos, exceções, evidências e verificação de encerramento.</w:t>
      </w:r>
    </w:p>
    <w:p>
      <w:pPr>
        <w:pStyle w:val="Heading2"/>
      </w:pPr>
      <w:r>
        <w:t>17. Testes de cenário e resiliência</w:t>
      </w:r>
    </w:p>
    <w:p>
      <w:pPr>
        <w:spacing w:after="120"/>
      </w:pPr>
      <w:r>
        <w:t>Use testes baseados em cenários para validar a resiliência frente a interrupções severas plausíveis. Inclua pessoas, processos, tecnologia, instalações, comunicações, dependências de terceiros e decisões de recuperação.</w:t>
      </w:r>
    </w:p>
    <w:p>
      <w:pPr>
        <w:pStyle w:val="Heading2"/>
      </w:pPr>
      <w:r>
        <w:t>18. Testes de penetração orientados por ameaças</w:t>
      </w:r>
    </w:p>
    <w:p>
      <w:pPr>
        <w:spacing w:after="120"/>
      </w:pPr>
      <w:r>
        <w:t>Quando aplicável, gerencie TLPT como um regime de controle distinto. Verifique aplicabilidade da entidade, escopo, requisitos dos testadores, expectativas da autoridade, evidências, remediação e obrigações de reteste antes da execução.</w:t>
      </w:r>
    </w:p>
    <w:p>
      <w:pPr>
        <w:pStyle w:val="Heading2"/>
      </w:pPr>
      <w:r>
        <w:t>19. Independência e competência dos testadores</w:t>
      </w:r>
    </w:p>
    <w:p>
      <w:pPr>
        <w:spacing w:after="120"/>
      </w:pPr>
      <w:r>
        <w:t>Defina requisitos de independência, competência, conflito de interesses, confidencialidade, autorização e evidências para testadores internos e externos. Mantenha requisitos regulatórios formais distintos das expectativas internas de qualidade.</w:t>
      </w:r>
    </w:p>
    <w:p>
      <w:pPr>
        <w:pStyle w:val="Heading2"/>
      </w:pPr>
      <w:r>
        <w:t>20. Remediação e reteste</w:t>
      </w:r>
    </w:p>
    <w:p>
      <w:pPr>
        <w:spacing w:after="120"/>
      </w:pPr>
      <w:r>
        <w:t>Gerencie achados por um ciclo controlado de remediação com responsável, classificação de risco, data-alvo, autoridade de exceção, evidência de encerramento e reteste quando necessário.</w:t>
      </w:r>
    </w:p>
    <w:p>
      <w:pPr>
        <w:pStyle w:val="Heading2"/>
      </w:pPr>
      <w:r>
        <w:t>21. Estrutura de risco de terceiros de TIC</w:t>
      </w:r>
    </w:p>
    <w:p>
      <w:pPr>
        <w:spacing w:after="120"/>
      </w:pPr>
      <w:r>
        <w:t>Mantenha governança para riscos de terceiros de TIC em onboarding, due diligence, contratação, monitoramento, incidentes, concentração, mudanças, renovação, saída e retenção de evidências.</w:t>
      </w:r>
    </w:p>
    <w:p>
      <w:pPr>
        <w:pStyle w:val="Heading2"/>
      </w:pPr>
      <w:r>
        <w:t>22. Due diligence pré-contratual</w:t>
      </w:r>
    </w:p>
    <w:p>
      <w:pPr>
        <w:spacing w:after="120"/>
      </w:pPr>
      <w:r>
        <w:t>Antes de contratar serviços de TIC, avalie capacidade do fornecedor, segurança, resiliência, tratamento de dados, adequação legal/regulatória, subcontratação, dependências geográficas, auditabilidade, continuidade, viabilidade de saída e concentração.</w:t>
      </w:r>
    </w:p>
    <w:p>
      <w:pPr>
        <w:pStyle w:val="Heading2"/>
      </w:pPr>
      <w:r>
        <w:t>23. Controles contratuais</w:t>
      </w:r>
    </w:p>
    <w:p>
      <w:pPr>
        <w:spacing w:after="120"/>
      </w:pPr>
      <w:r>
        <w:t>Use disposições contratuais apropriadas à criticidade do serviço e aos requisitos DORA aplicáveis. Cubra descrição do serviço, localizações, segurança, apoio a incidentes, direitos de acesso/auditoria, continuidade, devolução de dados, término, cooperação e acesso regulatório quando aplicável.</w:t>
      </w:r>
    </w:p>
    <w:p>
      <w:pPr>
        <w:pStyle w:val="Heading2"/>
      </w:pPr>
      <w:r>
        <w:t>24. Subcontratação e risco da cadeia</w:t>
      </w:r>
    </w:p>
    <w:p>
      <w:pPr>
        <w:spacing w:after="120"/>
      </w:pPr>
      <w:r>
        <w:t>Identifique cadeias materiais de subcontratação, dependências críticas, localizações, risco de substituição, concentração, notificação de mudanças e obrigações a jusante. Não trate a supervisão do fornecedor principal como eliminação do risco da cadeia.</w:t>
      </w:r>
    </w:p>
    <w:p>
      <w:pPr>
        <w:pStyle w:val="Heading2"/>
      </w:pPr>
      <w:r>
        <w:t>25. Risco de concentração</w:t>
      </w:r>
    </w:p>
    <w:p>
      <w:pPr>
        <w:spacing w:after="120"/>
      </w:pPr>
      <w:r>
        <w:t>Avalie concentração entre fornecedores, serviços, tecnologias, regiões geográficas, localizações de dados, infraestrutura comum e substituibilidade. Documente premissas, cenários de estresse, mitigações e decisões de gestão.</w:t>
      </w:r>
    </w:p>
    <w:p>
      <w:pPr>
        <w:pStyle w:val="Heading2"/>
      </w:pPr>
      <w:r>
        <w:t>26. Registro de informações</w:t>
      </w:r>
    </w:p>
    <w:p>
      <w:pPr>
        <w:spacing w:after="120"/>
      </w:pPr>
      <w:r>
        <w:t>Mantenha o registro de informações exigido para acordos de TIC relevantes usando estrutura e campos prescritos atuais. Revalide modelos, taxonomia, expectativas de apresentação e instruções da autoridade competente antes do envio.</w:t>
      </w:r>
    </w:p>
    <w:p>
      <w:pPr>
        <w:pStyle w:val="Heading2"/>
      </w:pPr>
      <w:r>
        <w:t>27. Provedores terceiros críticos de TIC</w:t>
      </w:r>
    </w:p>
    <w:p>
      <w:pPr>
        <w:spacing w:after="120"/>
      </w:pPr>
      <w:r>
        <w:t>Mantenha controles para dependências de provedores designados ou potencialmente sujeitos ao marco de supervisão da UE para provedores terceiros críticos de TIC. Distinga a supervisão do provedor das responsabilidades contínuas de cada entidade financeira.</w:t>
      </w:r>
    </w:p>
    <w:p>
      <w:pPr>
        <w:pStyle w:val="Heading2"/>
      </w:pPr>
      <w:r>
        <w:t>28. Planejamento de saída e transição</w:t>
      </w:r>
    </w:p>
    <w:p>
      <w:pPr>
        <w:spacing w:after="120"/>
      </w:pPr>
      <w:r>
        <w:t>Crie planos testados de saída e transição para serviços de TIC que suportem funções críticas ou importantes. Aborde portabilidade de dados, provedores alternativos, viabilidade de internalização, sequenciamento, continuidade, transferência de conhecimento, gatilhos contratuais e risco residual.</w:t>
      </w:r>
    </w:p>
    <w:p>
      <w:pPr>
        <w:pStyle w:val="Heading2"/>
      </w:pPr>
      <w:r>
        <w:t>29. Métricas de resiliência operacional</w:t>
      </w:r>
    </w:p>
    <w:p>
      <w:pPr>
        <w:spacing w:after="120"/>
      </w:pPr>
      <w:r>
        <w:t>Defina métricas e indicadores para incidentes, recuperação, testes, desempenho de terceiros, vulnerabilidades, remediação, exceções, concentração e eficácia de controles. Vincule métricas a decisões e escalonamento.</w:t>
      </w:r>
    </w:p>
    <w:p>
      <w:pPr>
        <w:pStyle w:val="Heading2"/>
      </w:pPr>
      <w:r>
        <w:t>30. Evidências e prontidão supervisora</w:t>
      </w:r>
    </w:p>
    <w:p>
      <w:pPr>
        <w:spacing w:after="120"/>
      </w:pPr>
      <w:r>
        <w:t>Mantenha objetos de evidência para cada controle material, incluindo política, responsável, procedimento, registro operacional, resultado de teste, exceção, remediação, aprovação quando necessária e reavaliação. Garanta suporte a auditoria interna, asseguração externa e solicitações de autoridades.</w:t>
      </w:r>
    </w:p>
    <w:p>
      <w:pPr>
        <w:pStyle w:val="Heading2"/>
      </w:pPr>
      <w:r>
        <w:t>31. Localização e controle de implementação</w:t>
      </w:r>
    </w:p>
    <w:p>
      <w:pPr>
        <w:spacing w:after="120"/>
      </w:pPr>
      <w:r>
        <w:t>Traduza somente a partir de uma fonte inglesa exata congelada. Preserve termos legais e regulatórios, distinções de reporte de incidentes, terminologia de terceiros, limites de escopo e status de tradução não oficial. Execute verificações de paridade estrutural e semântica antes da geração de candidatos.</w:t>
      </w:r>
    </w:p>
    <w:p>
      <w:pPr>
        <w:pStyle w:val="Heading2"/>
      </w:pPr>
      <w:r>
        <w:t>32. Monitoramento de fontes, mudanças, proveniência e publicação</w:t>
      </w:r>
    </w:p>
    <w:p>
      <w:pPr>
        <w:spacing w:after="120"/>
      </w:pPr>
      <w:r>
        <w:t>Antes do congelamento e publicação do candidato, revalide a aplicabilidade do Regulamento (UE) 2022/2554, atos delegados/de execução, materiais das ESAs, normas técnicas de reporte de incidentes, requisitos de TLPT, especificações do registro de informações e atualizações de supervisão. Vincule commit-fonte, fontes localizadas, binários DOCX/PDF, identidades SHA-256, QA de renderização/acessibilidade, resultados de segurança de workflows, estado de publicação do predecessor e reconciliação do registro. Se não houver defeito material não resolvido e todos os gates objetivos aplicáveis estiverem verdes, publique sob a autorização permanente do repositório.</w:t>
      </w:r>
    </w:p>
    <w:p>
      <w:pPr>
        <w:pStyle w:val="Heading2"/>
      </w:pPr>
      <w:r>
        <w:t>Registro mínimo de controle para cada capítulo</w:t>
      </w:r>
    </w:p>
    <w:p>
      <w:pPr>
        <w:spacing w:after="120"/>
      </w:pPr>
      <w:r>
        <w:t>Para cada capítulo substantivo, os registros de implementação devem identificar: camada de fonte aplicável; decisão de aplicabilidade; responsável; procedimento operacional; objeto/localização de evidência; método de revisão ou teste; caminho de exceção/remediação; e gatilho de reavaliação.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