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27 — Implementación Controlada de Gobernanza de Datos e Ingeniería de Privacidad</w:t>
      </w:r>
    </w:p>
    <w:p>
      <w:r>
        <w:rPr>
          <w:b/>
        </w:rPr>
        <w:t>Traducción de proyecto es-419 — no oficial</w:t>
      </w:r>
    </w:p>
    <w:p>
      <w:pPr>
        <w:spacing w:after="120"/>
      </w:pPr>
      <w:r>
        <w:t>**Orden de la serie:** 27</w:t>
      </w:r>
    </w:p>
    <w:p>
      <w:pPr>
        <w:spacing w:after="120"/>
      </w:pPr>
      <w:r>
        <w:t>**Base publicada de NIST:** NIST Privacy Framework 1.0</w:t>
      </w:r>
    </w:p>
    <w:p>
      <w:pPr>
        <w:spacing w:after="120"/>
      </w:pPr>
      <w:r>
        <w:t>**Vigilancia de cambios:** borrador público inicial de NIST Privacy Framework 1.1 / versión final futura</w:t>
      </w:r>
    </w:p>
    <w:p>
      <w:pPr>
        <w:spacing w:after="120"/>
      </w:pPr>
      <w:r>
        <w:t>**Referencia de ingeniería de privacidad:** NISTIR 8062</w:t>
      </w:r>
    </w:p>
    <w:p>
      <w:pPr>
        <w:spacing w:after="120"/>
      </w:pPr>
      <w:r>
        <w:t>**Límite:** Este manual es guía de implementación, no asesoría jurídica, aprobación regulatoria, certificación ni sustituto de la legislación aplicable por jurisdicción.</w:t>
      </w:r>
    </w:p>
    <w:p>
      <w:pPr>
        <w:pStyle w:val="Heading2"/>
      </w:pPr>
      <w:r>
        <w:t>01. Propósito, alcance y límites</w:t>
      </w:r>
    </w:p>
    <w:p>
      <w:pPr>
        <w:spacing w:after="120"/>
      </w:pPr>
      <w:r>
        <w:t>Defina prácticas empresariales de gobernanza de datos e ingeniería de privacidad sin confundir orientación con obligaciones jurídicas específicas de una jurisdicción.</w:t>
      </w:r>
    </w:p>
    <w:p>
      <w:pPr>
        <w:pStyle w:val="Heading2"/>
      </w:pPr>
      <w:r>
        <w:t>02. Jerarquía de fuentes y control de cambios</w:t>
      </w:r>
    </w:p>
    <w:p>
      <w:pPr>
        <w:spacing w:after="120"/>
      </w:pPr>
      <w:r>
        <w:t>Separe leyes/regulaciones, orientación de reguladores, NIST Privacy Framework, orientación de ingeniería de privacidad, contratos, políticas y estándares internos.</w:t>
      </w:r>
    </w:p>
    <w:p>
      <w:pPr>
        <w:pStyle w:val="Heading2"/>
      </w:pPr>
      <w:r>
        <w:t>03. Modelo operativo de gobernanza de datos</w:t>
      </w:r>
    </w:p>
    <w:p>
      <w:pPr>
        <w:spacing w:after="120"/>
      </w:pPr>
      <w:r>
        <w:t>Defina consejos, stewards, custodios, propietarios, privacidad, seguridad, legal, registros, arquitectura y roles de responsabilidad del negocio.</w:t>
      </w:r>
    </w:p>
    <w:p>
      <w:pPr>
        <w:pStyle w:val="Heading2"/>
      </w:pPr>
      <w:r>
        <w:t>04. Inventario y linaje de datos</w:t>
      </w:r>
    </w:p>
    <w:p>
      <w:pPr>
        <w:spacing w:after="120"/>
      </w:pPr>
      <w:r>
        <w:t>Mantenga inventarios autoritativos de dominios de datos, sistemas, flujos, almacenes, encargados/procesadores, transferencias y relaciones de linaje.</w:t>
      </w:r>
    </w:p>
    <w:p>
      <w:pPr>
        <w:pStyle w:val="Heading2"/>
      </w:pPr>
      <w:r>
        <w:t>05. Clasificación y manejo</w:t>
      </w:r>
    </w:p>
    <w:p>
      <w:pPr>
        <w:spacing w:after="120"/>
      </w:pPr>
      <w:r>
        <w:t>Establezca criterios de clasificación, reglas de manejo, condiciones de acceso, límites de intercambio, requisitos de protección y evidencia.</w:t>
      </w:r>
    </w:p>
    <w:p>
      <w:pPr>
        <w:pStyle w:val="Heading2"/>
      </w:pPr>
      <w:r>
        <w:t>06. Especificación de propósito y limitación de uso</w:t>
      </w:r>
    </w:p>
    <w:p>
      <w:pPr>
        <w:spacing w:after="120"/>
      </w:pPr>
      <w:r>
        <w:t>Registre propósitos empresariales aprobados, usos compatibles, restricciones, responsables, disparadores de revisión y excepciones.</w:t>
      </w:r>
    </w:p>
    <w:p>
      <w:pPr>
        <w:pStyle w:val="Heading2"/>
      </w:pPr>
      <w:r>
        <w:t>07. Minimización de datos</w:t>
      </w:r>
    </w:p>
    <w:p>
      <w:pPr>
        <w:spacing w:after="120"/>
      </w:pPr>
      <w:r>
        <w:t>Recopile, cree, conserve y exponga únicamente datos proporcionales a los propósitos y obligaciones definidos.</w:t>
      </w:r>
    </w:p>
    <w:p>
      <w:pPr>
        <w:pStyle w:val="Heading2"/>
      </w:pPr>
      <w:r>
        <w:t>08. Calidad y exactitud de datos</w:t>
      </w:r>
    </w:p>
    <w:p>
      <w:pPr>
        <w:spacing w:after="120"/>
      </w:pPr>
      <w:r>
        <w:t>Defina dimensiones de calidad, validación, corrección, propiedad, monitoreo y controles de gestión de problemas.</w:t>
      </w:r>
    </w:p>
    <w:p>
      <w:pPr>
        <w:pStyle w:val="Heading2"/>
      </w:pPr>
      <w:r>
        <w:t>09. Retención y eliminación</w:t>
      </w:r>
    </w:p>
    <w:p>
      <w:pPr>
        <w:spacing w:after="120"/>
      </w:pPr>
      <w:r>
        <w:t>Implemente calendarios de retención, retenciones legales, eliminación, archivo, disposición, excepciones y evidencia de ejecución.</w:t>
      </w:r>
    </w:p>
    <w:p>
      <w:pPr>
        <w:pStyle w:val="Heading2"/>
      </w:pPr>
      <w:r>
        <w:t>10. Gobernanza de acceso</w:t>
      </w:r>
    </w:p>
    <w:p>
      <w:pPr>
        <w:spacing w:after="120"/>
      </w:pPr>
      <w:r>
        <w:t>Aplique mínimo privilegio, controles basados en roles/atributos, acceso privilegiado, revisión periódica, segregación y revocación.</w:t>
      </w:r>
    </w:p>
    <w:p>
      <w:pPr>
        <w:pStyle w:val="Heading2"/>
      </w:pPr>
      <w:r>
        <w:t>11. Intercambio y divulgación de datos</w:t>
      </w:r>
    </w:p>
    <w:p>
      <w:pPr>
        <w:spacing w:after="120"/>
      </w:pPr>
      <w:r>
        <w:t>Controle el intercambio interno y externo mediante autorización, acuerdos, restricciones de propósito, minimización, registro y revisión.</w:t>
      </w:r>
    </w:p>
    <w:p>
      <w:pPr>
        <w:pStyle w:val="Heading2"/>
      </w:pPr>
      <w:r>
        <w:t>12. Flujos transfronterizos y jurisdiccionales de datos</w:t>
      </w:r>
    </w:p>
    <w:p>
      <w:pPr>
        <w:spacing w:after="120"/>
      </w:pPr>
      <w:r>
        <w:t>Mantenga evaluaciones jurídicas/contractuales de transferencia y evite asumir que un único mecanismo global aplica en todas partes.</w:t>
      </w:r>
    </w:p>
    <w:p>
      <w:pPr>
        <w:pStyle w:val="Heading2"/>
      </w:pPr>
      <w:r>
        <w:t>13. Evaluación de riesgos de privacidad</w:t>
      </w:r>
    </w:p>
    <w:p>
      <w:pPr>
        <w:spacing w:after="120"/>
      </w:pPr>
      <w:r>
        <w:t>Identifique daños a la privacidad, personas afectadas, probabilidad, severidad, mitigaciones, riesgo residual y disparadores de reevaluación.</w:t>
      </w:r>
    </w:p>
    <w:p>
      <w:pPr>
        <w:pStyle w:val="Heading2"/>
      </w:pPr>
      <w:r>
        <w:t>14. Objetivos de ingeniería de privacidad</w:t>
      </w:r>
    </w:p>
    <w:p>
      <w:pPr>
        <w:spacing w:after="120"/>
      </w:pPr>
      <w:r>
        <w:t>Traduzca objetivos de privacidad en propiedades del sistema como predictibilidad, gestionabilidad, disociabilidad, control y transparencia.</w:t>
      </w:r>
    </w:p>
    <w:p>
      <w:pPr>
        <w:pStyle w:val="Heading2"/>
      </w:pPr>
      <w:r>
        <w:t>15. Privacidad desde el diseño y por defecto</w:t>
      </w:r>
    </w:p>
    <w:p>
      <w:pPr>
        <w:spacing w:after="120"/>
      </w:pPr>
      <w:r>
        <w:t>Incorpore requisitos de privacidad en arquitectura, SDLC, adquisiciones, gestión de cambios y configuraciones predeterminadas.</w:t>
      </w:r>
    </w:p>
    <w:p>
      <w:pPr>
        <w:pStyle w:val="Heading2"/>
      </w:pPr>
      <w:r>
        <w:t>16. Gestión de consentimiento y preferencias</w:t>
      </w:r>
    </w:p>
    <w:p>
      <w:pPr>
        <w:spacing w:after="120"/>
      </w:pPr>
      <w:r>
        <w:t>Cuando corresponda, gobierne avisos, opciones, estado del consentimiento, retiro, propagación de preferencias, evidencia y excepciones.</w:t>
      </w:r>
    </w:p>
    <w:p>
      <w:pPr>
        <w:pStyle w:val="Heading2"/>
      </w:pPr>
      <w:r>
        <w:t>17. Operaciones de derechos individuales</w:t>
      </w:r>
    </w:p>
    <w:p>
      <w:pPr>
        <w:spacing w:after="120"/>
      </w:pPr>
      <w:r>
        <w:t>Soporte acceso, corrección, eliminación, portabilidad, oposición, restricción y otros derechos aplicables mediante flujos de trabajo conscientes de la jurisdicción.</w:t>
      </w:r>
    </w:p>
    <w:p>
      <w:pPr>
        <w:pStyle w:val="Heading2"/>
      </w:pPr>
      <w:r>
        <w:t>18. Protección de identidad y datos sensibles</w:t>
      </w:r>
    </w:p>
    <w:p>
      <w:pPr>
        <w:spacing w:after="120"/>
      </w:pPr>
      <w:r>
        <w:t>Aplique gobernanza reforzada para identificadores, credenciales, datos de salud, financieros, biométricos, ubicación precisa, datos de menores y datos similares cuando corresponda.</w:t>
      </w:r>
    </w:p>
    <w:p>
      <w:pPr>
        <w:pStyle w:val="Heading2"/>
      </w:pPr>
      <w:r>
        <w:t>19. Desidentificación y seudonimización</w:t>
      </w:r>
    </w:p>
    <w:p>
      <w:pPr>
        <w:spacing w:after="120"/>
      </w:pPr>
      <w:r>
        <w:t>Defina técnicas aprobadas, evaluación del riesgo de reidentificación, controles, pruebas, contratos y restricciones de uso.</w:t>
      </w:r>
    </w:p>
    <w:p>
      <w:pPr>
        <w:pStyle w:val="Heading2"/>
      </w:pPr>
      <w:r>
        <w:t>20. Tecnologías de mejora de la privacidad</w:t>
      </w:r>
    </w:p>
    <w:p>
      <w:pPr>
        <w:spacing w:after="120"/>
      </w:pPr>
      <w:r>
        <w:t>Evalúe cifrado, tokenización, computación segura, privacidad diferencial, técnicas federadas, datos sintéticos y otras PET de forma proporcional al riesgo.</w:t>
      </w:r>
    </w:p>
    <w:p>
      <w:pPr>
        <w:pStyle w:val="Heading2"/>
      </w:pPr>
      <w:r>
        <w:t>21. Registro, monitoreo y observabilidad</w:t>
      </w:r>
    </w:p>
    <w:p>
      <w:pPr>
        <w:spacing w:after="120"/>
      </w:pPr>
      <w:r>
        <w:t>Registre accesos, intercambio, eliminación, estado de consentimiento, solicitudes de derechos, excepciones de política y cambios materiales en flujos de datos.</w:t>
      </w:r>
    </w:p>
    <w:p>
      <w:pPr>
        <w:pStyle w:val="Heading2"/>
      </w:pPr>
      <w:r>
        <w:t>22. Gobernanza de datos de terceros</w:t>
      </w:r>
    </w:p>
    <w:p>
      <w:pPr>
        <w:spacing w:after="120"/>
      </w:pPr>
      <w:r>
        <w:t>Evalúe encargados/proveedores, instrucciones, subprocesamiento, evidencia, controles de seguridad/privacidad, retención, eliminación y obligaciones ante incidentes.</w:t>
      </w:r>
    </w:p>
    <w:p>
      <w:pPr>
        <w:pStyle w:val="Heading2"/>
      </w:pPr>
      <w:r>
        <w:t>23. Gobernanza de nube y plataformas de datos</w:t>
      </w:r>
    </w:p>
    <w:p>
      <w:pPr>
        <w:spacing w:after="120"/>
      </w:pPr>
      <w:r>
        <w:t>Gobierne data lakes, warehouses, SaaS, plataformas analíticas, object stores, APIs, notebooks e intercambio entre cuentas.</w:t>
      </w:r>
    </w:p>
    <w:p>
      <w:pPr>
        <w:pStyle w:val="Heading2"/>
      </w:pPr>
      <w:r>
        <w:t>24. Analítica y uso secundario</w:t>
      </w:r>
    </w:p>
    <w:p>
      <w:pPr>
        <w:spacing w:after="120"/>
      </w:pPr>
      <w:r>
        <w:t>Revise nuevas analíticas, enriquecimiento, inferencias, perfilado y reutilización respecto de compatibilidad de propósito, riesgo de privacidad, equidad y transparencia.</w:t>
      </w:r>
    </w:p>
    <w:p>
      <w:pPr>
        <w:pStyle w:val="Heading2"/>
      </w:pPr>
      <w:r>
        <w:t>25. Arquitectura de registros y evidencia</w:t>
      </w:r>
    </w:p>
    <w:p>
      <w:pPr>
        <w:spacing w:after="120"/>
      </w:pPr>
      <w:r>
        <w:t>Mantenga decisiones, evaluaciones, aprobaciones, mapeos, excepciones, avisos, contratos, logs, registros de problemas y evidencia de remediación.</w:t>
      </w:r>
    </w:p>
    <w:p>
      <w:pPr>
        <w:pStyle w:val="Heading2"/>
      </w:pPr>
      <w:r>
        <w:t>26. Coordinación de incidentes y brechas</w:t>
      </w:r>
    </w:p>
    <w:p>
      <w:pPr>
        <w:spacing w:after="120"/>
      </w:pPr>
      <w:r>
        <w:t>Integre la gobernanza de datos con detección, contención, evaluación, notificación, recuperación y lecciones aprendidas de incidentes de seguridad/privacidad.</w:t>
      </w:r>
    </w:p>
    <w:p>
      <w:pPr>
        <w:pStyle w:val="Heading2"/>
      </w:pPr>
      <w:r>
        <w:t>27. Métricas e indicadores</w:t>
      </w:r>
    </w:p>
    <w:p>
      <w:pPr>
        <w:spacing w:after="120"/>
      </w:pPr>
      <w:r>
        <w:t>Rastree cobertura de inventario, calidad de datos, desempeño de derechos, ejecución de retención, revisión de acceso, riesgo de privacidad, problemas de proveedores y antigüedad de remediación.</w:t>
      </w:r>
    </w:p>
    <w:p>
      <w:pPr>
        <w:pStyle w:val="Heading2"/>
      </w:pPr>
      <w:r>
        <w:t>28. Capacitación y competencia por rol</w:t>
      </w:r>
    </w:p>
    <w:p>
      <w:pPr>
        <w:spacing w:after="120"/>
      </w:pPr>
      <w:r>
        <w:t>Proporcione capacitación basada en roles para propietarios, stewards, ingenieros, analistas, privacidad, seguridad, adquisiciones y liderazgo.</w:t>
      </w:r>
    </w:p>
    <w:p>
      <w:pPr>
        <w:pStyle w:val="Heading2"/>
      </w:pPr>
      <w:r>
        <w:t>29. Aseguramiento y pruebas</w:t>
      </w:r>
    </w:p>
    <w:p>
      <w:pPr>
        <w:spacing w:after="120"/>
      </w:pPr>
      <w:r>
        <w:t>Pruebe el diseño y la operación de la gobernanza mediante muestreo, validación de controles, pruebas técnicas, revisión de solicitudes de derechos e inspección de evidencia.</w:t>
      </w:r>
    </w:p>
    <w:p>
      <w:pPr>
        <w:pStyle w:val="Heading2"/>
      </w:pPr>
      <w:r>
        <w:t>30. Revisión de gestión</w:t>
      </w:r>
    </w:p>
    <w:p>
      <w:pPr>
        <w:spacing w:after="120"/>
      </w:pPr>
      <w:r>
        <w:t>Revise desempeño, cambio regulatorio, incidentes, riesgo de privacidad, métricas, excepciones, recursos y prioridades de mejora.</w:t>
      </w:r>
    </w:p>
    <w:p>
      <w:pPr>
        <w:pStyle w:val="Heading2"/>
      </w:pPr>
      <w:r>
        <w:t>31. Mejora continua</w:t>
      </w:r>
    </w:p>
    <w:p>
      <w:pPr>
        <w:spacing w:after="120"/>
      </w:pPr>
      <w:r>
        <w:t>Use hallazgos, incidentes, quejas, resultados de auditoría, cambios tecnológicos y regulatorios para impulsar mejoras controladas.</w:t>
      </w:r>
    </w:p>
    <w:p>
      <w:pPr>
        <w:pStyle w:val="Heading2"/>
      </w:pPr>
      <w:r>
        <w:t>32. Publicación y hoja de ruta de implementación</w:t>
      </w:r>
    </w:p>
    <w:p>
      <w:pPr>
        <w:spacing w:after="120"/>
      </w:pPr>
      <w:r>
        <w:t>Empaquete rutas de implementación Esencial / Estructurada / Mejorada con verificación de fuentes, localización, accesibilidad, procedencia, checksums, seguridad de workflows, evidencia de revisión humana cuando se requiera y controles de publicación secuencial.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