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27 — Implementação Controlada de Governança de Dados e Engenharia de Privacidade</w:t>
      </w:r>
    </w:p>
    <w:p>
      <w:r>
        <w:rPr>
          <w:b/>
        </w:rPr>
        <w:t>Tradução de projeto pt-BR — não oficial</w:t>
      </w:r>
    </w:p>
    <w:p>
      <w:pPr>
        <w:spacing w:after="120"/>
      </w:pPr>
      <w:r>
        <w:t>**Ordem da série:** 27</w:t>
      </w:r>
    </w:p>
    <w:p>
      <w:pPr>
        <w:spacing w:after="120"/>
      </w:pPr>
      <w:r>
        <w:t>**Base publicada do NIST:** NIST Privacy Framework 1.0</w:t>
      </w:r>
    </w:p>
    <w:p>
      <w:pPr>
        <w:spacing w:after="120"/>
      </w:pPr>
      <w:r>
        <w:t>**Vigilância de mudanças:** versão preliminar pública inicial do NIST Privacy Framework 1.1 / versão final futura</w:t>
      </w:r>
    </w:p>
    <w:p>
      <w:pPr>
        <w:spacing w:after="120"/>
      </w:pPr>
      <w:r>
        <w:t>**Referência de engenharia de privacidade:** NISTIR 8062</w:t>
      </w:r>
    </w:p>
    <w:p>
      <w:pPr>
        <w:spacing w:after="120"/>
      </w:pPr>
      <w:r>
        <w:t>**Limite:** Este manual é orientação de implementação, não assessoria jurídica, aprovação regulatória, certificação nem substituto da legislação aplicável por jurisdição.</w:t>
      </w:r>
    </w:p>
    <w:p>
      <w:pPr>
        <w:pStyle w:val="Heading2"/>
      </w:pPr>
      <w:r>
        <w:t>01. Propósito, escopo e limites</w:t>
      </w:r>
    </w:p>
    <w:p>
      <w:pPr>
        <w:spacing w:after="120"/>
      </w:pPr>
      <w:r>
        <w:t>Defina práticas empresariais de governança de dados e engenharia de privacidade sem confundir orientação com obrigações jurídicas específicas de uma jurisdição.</w:t>
      </w:r>
    </w:p>
    <w:p>
      <w:pPr>
        <w:pStyle w:val="Heading2"/>
      </w:pPr>
      <w:r>
        <w:t>02. Hierarquia de fontes e controle de mudanças</w:t>
      </w:r>
    </w:p>
    <w:p>
      <w:pPr>
        <w:spacing w:after="120"/>
      </w:pPr>
      <w:r>
        <w:t>Separe leis/regulamentos, orientação de reguladores, NIST Privacy Framework, orientação de engenharia de privacidade, contratos, políticas e padrões internos.</w:t>
      </w:r>
    </w:p>
    <w:p>
      <w:pPr>
        <w:pStyle w:val="Heading2"/>
      </w:pPr>
      <w:r>
        <w:t>03. Modelo operacional de governança de dados</w:t>
      </w:r>
    </w:p>
    <w:p>
      <w:pPr>
        <w:spacing w:after="120"/>
      </w:pPr>
      <w:r>
        <w:t>Defina conselhos, stewards, custodians, proprietários, privacidade, segurança, jurídico, registros, arquitetura e papéis de responsabilidade do negócio.</w:t>
      </w:r>
    </w:p>
    <w:p>
      <w:pPr>
        <w:pStyle w:val="Heading2"/>
      </w:pPr>
      <w:r>
        <w:t>04. Inventário e linhagem de dados</w:t>
      </w:r>
    </w:p>
    <w:p>
      <w:pPr>
        <w:spacing w:after="120"/>
      </w:pPr>
      <w:r>
        <w:t>Mantenha inventários autoritativos de domínios de dados, sistemas, fluxos, armazenamentos, operadores/processadores, transferências e relações de linhagem.</w:t>
      </w:r>
    </w:p>
    <w:p>
      <w:pPr>
        <w:pStyle w:val="Heading2"/>
      </w:pPr>
      <w:r>
        <w:t>05. Classificação e tratamento</w:t>
      </w:r>
    </w:p>
    <w:p>
      <w:pPr>
        <w:spacing w:after="120"/>
      </w:pPr>
      <w:r>
        <w:t>Estabeleça critérios de classificação, regras de tratamento, condições de acesso, limites de compartilhamento, requisitos de proteção e evidências.</w:t>
      </w:r>
    </w:p>
    <w:p>
      <w:pPr>
        <w:pStyle w:val="Heading2"/>
      </w:pPr>
      <w:r>
        <w:t>06. Especificação de finalidade e limitação de uso</w:t>
      </w:r>
    </w:p>
    <w:p>
      <w:pPr>
        <w:spacing w:after="120"/>
      </w:pPr>
      <w:r>
        <w:t>Registre finalidades de negócio aprovadas, usos compatíveis, restrições, responsáveis, gatilhos de revisão e exceções.</w:t>
      </w:r>
    </w:p>
    <w:p>
      <w:pPr>
        <w:pStyle w:val="Heading2"/>
      </w:pPr>
      <w:r>
        <w:t>07. Minimização de dados</w:t>
      </w:r>
    </w:p>
    <w:p>
      <w:pPr>
        <w:spacing w:after="120"/>
      </w:pPr>
      <w:r>
        <w:t>Colete, crie, retenha e exponha somente dados proporcionais às finalidades e obrigações definidas.</w:t>
      </w:r>
    </w:p>
    <w:p>
      <w:pPr>
        <w:pStyle w:val="Heading2"/>
      </w:pPr>
      <w:r>
        <w:t>08. Qualidade e exatidão dos dados</w:t>
      </w:r>
    </w:p>
    <w:p>
      <w:pPr>
        <w:spacing w:after="120"/>
      </w:pPr>
      <w:r>
        <w:t>Defina dimensões de qualidade, validação, correção, propriedade, monitoramento e controles de gestão de problemas.</w:t>
      </w:r>
    </w:p>
    <w:p>
      <w:pPr>
        <w:pStyle w:val="Heading2"/>
      </w:pPr>
      <w:r>
        <w:t>09. Retenção e exclusão</w:t>
      </w:r>
    </w:p>
    <w:p>
      <w:pPr>
        <w:spacing w:after="120"/>
      </w:pPr>
      <w:r>
        <w:t>Implemente cronogramas de retenção, legal holds, exclusão, arquivamento, descarte, exceções e evidência de execução.</w:t>
      </w:r>
    </w:p>
    <w:p>
      <w:pPr>
        <w:pStyle w:val="Heading2"/>
      </w:pPr>
      <w:r>
        <w:t>10. Governança de acesso</w:t>
      </w:r>
    </w:p>
    <w:p>
      <w:pPr>
        <w:spacing w:after="120"/>
      </w:pPr>
      <w:r>
        <w:t>Aplique menor privilégio, controles baseados em papéis/atributos, acesso privilegiado, revisão periódica, segregação e revogação.</w:t>
      </w:r>
    </w:p>
    <w:p>
      <w:pPr>
        <w:pStyle w:val="Heading2"/>
      </w:pPr>
      <w:r>
        <w:t>11. Compartilhamento e divulgação de dados</w:t>
      </w:r>
    </w:p>
    <w:p>
      <w:pPr>
        <w:spacing w:after="120"/>
      </w:pPr>
      <w:r>
        <w:t>Controle o compartilhamento interno e externo por meio de autorização, acordos, restrições de finalidade, minimização, registro e revisão.</w:t>
      </w:r>
    </w:p>
    <w:p>
      <w:pPr>
        <w:pStyle w:val="Heading2"/>
      </w:pPr>
      <w:r>
        <w:t>12. Fluxos transfronteiriços e jurisdicionais de dados</w:t>
      </w:r>
    </w:p>
    <w:p>
      <w:pPr>
        <w:spacing w:after="120"/>
      </w:pPr>
      <w:r>
        <w:t>Mantenha avaliações jurídicas/contratuais de transferência e evite presumir que um único mecanismo global se aplica em todos os lugares.</w:t>
      </w:r>
    </w:p>
    <w:p>
      <w:pPr>
        <w:pStyle w:val="Heading2"/>
      </w:pPr>
      <w:r>
        <w:t>13. Avaliação de riscos de privacidade</w:t>
      </w:r>
    </w:p>
    <w:p>
      <w:pPr>
        <w:spacing w:after="120"/>
      </w:pPr>
      <w:r>
        <w:t>Identifique danos à privacidade, pessoas afetadas, probabilidade, severidade, mitigações, risco residual e gatilhos de reavaliação.</w:t>
      </w:r>
    </w:p>
    <w:p>
      <w:pPr>
        <w:pStyle w:val="Heading2"/>
      </w:pPr>
      <w:r>
        <w:t>14. Objetivos de engenharia de privacidade</w:t>
      </w:r>
    </w:p>
    <w:p>
      <w:pPr>
        <w:spacing w:after="120"/>
      </w:pPr>
      <w:r>
        <w:t>Traduza objetivos de privacidade em propriedades de sistema como previsibilidade, gerenciabilidade, dissociabilidade, controle e transparência.</w:t>
      </w:r>
    </w:p>
    <w:p>
      <w:pPr>
        <w:pStyle w:val="Heading2"/>
      </w:pPr>
      <w:r>
        <w:t>15. Privacidade desde a concepção e por padrão</w:t>
      </w:r>
    </w:p>
    <w:p>
      <w:pPr>
        <w:spacing w:after="120"/>
      </w:pPr>
      <w:r>
        <w:t>Incorpore requisitos de privacidade à arquitetura, SDLC, aquisições, gestão de mudanças e configurações padrão.</w:t>
      </w:r>
    </w:p>
    <w:p>
      <w:pPr>
        <w:pStyle w:val="Heading2"/>
      </w:pPr>
      <w:r>
        <w:t>16. Gestão de consentimento e preferências</w:t>
      </w:r>
    </w:p>
    <w:p>
      <w:pPr>
        <w:spacing w:after="120"/>
      </w:pPr>
      <w:r>
        <w:t>Quando aplicável, governe avisos, escolhas, estado de consentimento, retirada, propagação de preferências, evidências e exceções.</w:t>
      </w:r>
    </w:p>
    <w:p>
      <w:pPr>
        <w:pStyle w:val="Heading2"/>
      </w:pPr>
      <w:r>
        <w:t>17. Operações de direitos individuais</w:t>
      </w:r>
    </w:p>
    <w:p>
      <w:pPr>
        <w:spacing w:after="120"/>
      </w:pPr>
      <w:r>
        <w:t>Suporte acesso, correção, exclusão, portabilidade, oposição, restrição e outros direitos aplicáveis com fluxos de trabalho conscientes da jurisdição.</w:t>
      </w:r>
    </w:p>
    <w:p>
      <w:pPr>
        <w:pStyle w:val="Heading2"/>
      </w:pPr>
      <w:r>
        <w:t>18. Proteção de identidade e dados sensíveis</w:t>
      </w:r>
    </w:p>
    <w:p>
      <w:pPr>
        <w:spacing w:after="120"/>
      </w:pPr>
      <w:r>
        <w:t>Aplique governança reforçada a identificadores, credenciais, dados de saúde, financeiros, biométricos, localização precisa, dados de crianças e dados semelhantes quando aplicável.</w:t>
      </w:r>
    </w:p>
    <w:p>
      <w:pPr>
        <w:pStyle w:val="Heading2"/>
      </w:pPr>
      <w:r>
        <w:t>19. Desidentificação e pseudonimização</w:t>
      </w:r>
    </w:p>
    <w:p>
      <w:pPr>
        <w:spacing w:after="120"/>
      </w:pPr>
      <w:r>
        <w:t>Defina técnicas aprovadas, avaliação de risco de reidentificação, controles, testes, contratos e restrições de uso.</w:t>
      </w:r>
    </w:p>
    <w:p>
      <w:pPr>
        <w:pStyle w:val="Heading2"/>
      </w:pPr>
      <w:r>
        <w:t>20. Tecnologias de aprimoramento da privacidade</w:t>
      </w:r>
    </w:p>
    <w:p>
      <w:pPr>
        <w:spacing w:after="120"/>
      </w:pPr>
      <w:r>
        <w:t>Avalie criptografia, tokenização, computação segura, privacidade diferencial, técnicas federadas, dados sintéticos e outras PETs de forma proporcional ao risco.</w:t>
      </w:r>
    </w:p>
    <w:p>
      <w:pPr>
        <w:pStyle w:val="Heading2"/>
      </w:pPr>
      <w:r>
        <w:t>21. Registro, monitoramento e observabilidade</w:t>
      </w:r>
    </w:p>
    <w:p>
      <w:pPr>
        <w:spacing w:after="120"/>
      </w:pPr>
      <w:r>
        <w:t>Registre acessos, compartilhamento, exclusão, estado de consentimento, solicitações de direitos, exceções de política e mudanças materiais nos fluxos de dados.</w:t>
      </w:r>
    </w:p>
    <w:p>
      <w:pPr>
        <w:pStyle w:val="Heading2"/>
      </w:pPr>
      <w:r>
        <w:t>22. Governança de dados de terceiros</w:t>
      </w:r>
    </w:p>
    <w:p>
      <w:pPr>
        <w:spacing w:after="120"/>
      </w:pPr>
      <w:r>
        <w:t>Avalie operadores/fornecedores, instruções, subprocessamento, evidências, controles de segurança/privacidade, retenção, exclusão e obrigações de incidentes.</w:t>
      </w:r>
    </w:p>
    <w:p>
      <w:pPr>
        <w:pStyle w:val="Heading2"/>
      </w:pPr>
      <w:r>
        <w:t>23. Governança de nuvem e plataformas de dados</w:t>
      </w:r>
    </w:p>
    <w:p>
      <w:pPr>
        <w:spacing w:after="120"/>
      </w:pPr>
      <w:r>
        <w:t>Governe data lakes, warehouses, SaaS, plataformas analíticas, object stores, APIs, notebooks e compartilhamento entre contas.</w:t>
      </w:r>
    </w:p>
    <w:p>
      <w:pPr>
        <w:pStyle w:val="Heading2"/>
      </w:pPr>
      <w:r>
        <w:t>24. Análise e uso secundário</w:t>
      </w:r>
    </w:p>
    <w:p>
      <w:pPr>
        <w:spacing w:after="120"/>
      </w:pPr>
      <w:r>
        <w:t>Revise novas análises, enriquecimento, inferências, profiling e reutilização quanto à compatibilidade de finalidade, risco de privacidade, equidade e transparência.</w:t>
      </w:r>
    </w:p>
    <w:p>
      <w:pPr>
        <w:pStyle w:val="Heading2"/>
      </w:pPr>
      <w:r>
        <w:t>25. Arquitetura de registros e evidências</w:t>
      </w:r>
    </w:p>
    <w:p>
      <w:pPr>
        <w:spacing w:after="120"/>
      </w:pPr>
      <w:r>
        <w:t>Mantenha decisões, avaliações, aprovações, mapeamentos, exceções, avisos, contratos, logs, registros de problemas e evidências de remediação.</w:t>
      </w:r>
    </w:p>
    <w:p>
      <w:pPr>
        <w:pStyle w:val="Heading2"/>
      </w:pPr>
      <w:r>
        <w:t>26. Coordenação de incidentes e violações</w:t>
      </w:r>
    </w:p>
    <w:p>
      <w:pPr>
        <w:spacing w:after="120"/>
      </w:pPr>
      <w:r>
        <w:t>Integre a governança de dados à detecção, contenção, avaliação, notificação, recuperação e lições aprendidas de incidentes de segurança/privacidade.</w:t>
      </w:r>
    </w:p>
    <w:p>
      <w:pPr>
        <w:pStyle w:val="Heading2"/>
      </w:pPr>
      <w:r>
        <w:t>27. Métricas e indicadores</w:t>
      </w:r>
    </w:p>
    <w:p>
      <w:pPr>
        <w:spacing w:after="120"/>
      </w:pPr>
      <w:r>
        <w:t>Acompanhe cobertura de inventário, qualidade de dados, desempenho de direitos, execução de retenção, revisão de acesso, risco de privacidade, problemas de fornecedores e envelhecimento de remediação.</w:t>
      </w:r>
    </w:p>
    <w:p>
      <w:pPr>
        <w:pStyle w:val="Heading2"/>
      </w:pPr>
      <w:r>
        <w:t>28. Treinamento e competência por função</w:t>
      </w:r>
    </w:p>
    <w:p>
      <w:pPr>
        <w:spacing w:after="120"/>
      </w:pPr>
      <w:r>
        <w:t>Forneça treinamento baseado em função para proprietários, stewards, engenheiros, analistas, privacidade, segurança, aquisições e liderança.</w:t>
      </w:r>
    </w:p>
    <w:p>
      <w:pPr>
        <w:pStyle w:val="Heading2"/>
      </w:pPr>
      <w:r>
        <w:t>29. Assurance e testes</w:t>
      </w:r>
    </w:p>
    <w:p>
      <w:pPr>
        <w:spacing w:after="120"/>
      </w:pPr>
      <w:r>
        <w:t>Teste o desenho e a operação da governança por amostragem, validação de controles, testes técnicos, revisão de solicitações de direitos e inspeção de evidências.</w:t>
      </w:r>
    </w:p>
    <w:p>
      <w:pPr>
        <w:pStyle w:val="Heading2"/>
      </w:pPr>
      <w:r>
        <w:t>30. Análise crítica pela gestão</w:t>
      </w:r>
    </w:p>
    <w:p>
      <w:pPr>
        <w:spacing w:after="120"/>
      </w:pPr>
      <w:r>
        <w:t>Revise desempenho, mudança regulatória, incidentes, risco de privacidade, métricas, exceções, recursos e prioridades de melhoria.</w:t>
      </w:r>
    </w:p>
    <w:p>
      <w:pPr>
        <w:pStyle w:val="Heading2"/>
      </w:pPr>
      <w:r>
        <w:t>31. Melhoria contínua</w:t>
      </w:r>
    </w:p>
    <w:p>
      <w:pPr>
        <w:spacing w:after="120"/>
      </w:pPr>
      <w:r>
        <w:t>Use achados, incidentes, reclamações, resultados de auditoria, mudanças tecnológicas e regulatórias para impulsionar melhorias controladas.</w:t>
      </w:r>
    </w:p>
    <w:p>
      <w:pPr>
        <w:pStyle w:val="Heading2"/>
      </w:pPr>
      <w:r>
        <w:t>32. Publicação e roteiro de implementação</w:t>
      </w:r>
    </w:p>
    <w:p>
      <w:pPr>
        <w:spacing w:after="120"/>
      </w:pPr>
      <w:r>
        <w:t>Empacote caminhos de implementação Essencial / Estruturado / Aprimorado com verificação de fontes, localização, acessibilidade, proveniência, checksums, segurança de workflows, evidência de revisão humana quando exigida e controles de publicação sequencial.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