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42 — Canada Privacy Controlled Implementation</w:t>
      </w:r>
    </w:p>
    <w:p>
      <w:pPr>
        <w:spacing w:after="120"/>
      </w:pPr>
      <w:r>
        <w:t>**Controlled baseline:** PIPEDA remains the federal private-sector privacy baseline, with provincial substantially-similar/private-sector laws, sector rules, and Office of the Privacy Commissioner guidance/findings treated as distinct source layers.</w:t>
      </w:r>
    </w:p>
    <w:p>
      <w:pPr>
        <w:spacing w:after="120"/>
      </w:pPr>
      <w:r>
        <w:t>**Boundary:** applicability depends on organization, province, activity, sector, employment context, and interprovincial/international facts; do not represent one federal rule as universally controlling all Canadian processing.</w:t>
      </w:r>
    </w:p>
    <w:p>
      <w:pPr>
        <w:spacing w:after="120"/>
      </w:pPr>
      <w:r>
        <w:t>**Release rule:** reverify federal/provincial law status and current regulator material at candidate freeze.</w:t>
      </w:r>
    </w:p>
    <w:p>
      <w:pPr>
        <w:pStyle w:val="Heading2"/>
      </w:pPr>
      <w:r>
        <w:t>Chapter 01 — Purpose, scope, and source hierarchy</w:t>
      </w:r>
    </w:p>
    <w:p>
      <w:pPr>
        <w:spacing w:after="120"/>
      </w:pPr>
      <w:r>
        <w:t>Define controlled federal, provincial, sector, regulator, contractual, and organization-specific source layers. Maintain applicability decisions, change watch, owners, and evidence index.</w:t>
      </w:r>
    </w:p>
    <w:p>
      <w:pPr>
        <w:pStyle w:val="Heading2"/>
      </w:pPr>
      <w:r>
        <w:t>Chapter 02 — Federal and provincial applicability</w:t>
      </w:r>
    </w:p>
    <w:p>
      <w:pPr>
        <w:spacing w:after="120"/>
      </w:pPr>
      <w:r>
        <w:t>Determine whether PIPEDA, a substantially similar provincial law, another provincial private-sector law, or sector-specific requirements apply to each processing activity. Record rationale and overlap handling.</w:t>
      </w:r>
    </w:p>
    <w:p>
      <w:pPr>
        <w:pStyle w:val="Heading2"/>
      </w:pPr>
      <w:r>
        <w:t>Chapter 03 — Accountability</w:t>
      </w:r>
    </w:p>
    <w:p>
      <w:pPr>
        <w:spacing w:after="120"/>
      </w:pPr>
      <w:r>
        <w:t>Assign accountable privacy leadership and operational control owners. Maintain policies, delegated responsibilities, management oversight, issue escalation, risk decisions, and corrective-action evidence.</w:t>
      </w:r>
    </w:p>
    <w:p>
      <w:pPr>
        <w:pStyle w:val="Heading2"/>
      </w:pPr>
      <w:r>
        <w:t>Chapter 04 — Identifying purposes</w:t>
      </w:r>
    </w:p>
    <w:p>
      <w:pPr>
        <w:spacing w:after="120"/>
      </w:pPr>
      <w:r>
        <w:t>Document purposes before or at collection and link them to systems, data categories, notices, consent or other authority, recipients, retention, and downstream uses.</w:t>
      </w:r>
    </w:p>
    <w:p>
      <w:pPr>
        <w:pStyle w:val="Heading2"/>
      </w:pPr>
      <w:r>
        <w:t>Chapter 05 — Consent governance</w:t>
      </w:r>
    </w:p>
    <w:p>
      <w:pPr>
        <w:spacing w:after="120"/>
      </w:pPr>
      <w:r>
        <w:t>Determine the appropriate form and validity of consent based on sensitivity, expectations, context, risk, and applicable law. Maintain capture, withdrawal, exceptions, and evidence.</w:t>
      </w:r>
    </w:p>
    <w:p>
      <w:pPr>
        <w:pStyle w:val="Heading2"/>
      </w:pPr>
      <w:r>
        <w:t>Chapter 06 — Limiting collection</w:t>
      </w:r>
    </w:p>
    <w:p>
      <w:pPr>
        <w:spacing w:after="120"/>
      </w:pPr>
      <w:r>
        <w:t>Collect only personal information appropriate to documented purposes and applicable authority. Govern optional fields, telemetry, inferred data, enrichment, and secondary collection sources.</w:t>
      </w:r>
    </w:p>
    <w:p>
      <w:pPr>
        <w:pStyle w:val="Heading2"/>
      </w:pPr>
      <w:r>
        <w:t>Chapter 07 — Limiting use, disclosure, and retention</w:t>
      </w:r>
    </w:p>
    <w:p>
      <w:pPr>
        <w:spacing w:after="120"/>
      </w:pPr>
      <w:r>
        <w:t>Restrict use/disclosure to documented purposes or applicable exceptions and retain information only as justified by legal, regulatory, contractual, records, litigation, and business requirements.</w:t>
      </w:r>
    </w:p>
    <w:p>
      <w:pPr>
        <w:pStyle w:val="Heading2"/>
      </w:pPr>
      <w:r>
        <w:t>Chapter 08 — Accuracy</w:t>
      </w:r>
    </w:p>
    <w:p>
      <w:pPr>
        <w:spacing w:after="120"/>
      </w:pPr>
      <w:r>
        <w:t>Maintain proportionate data-quality controls based on use and decision impact. Provide correction paths, source-validation controls, propagation of updates, and exception evidence.</w:t>
      </w:r>
    </w:p>
    <w:p>
      <w:pPr>
        <w:pStyle w:val="Heading2"/>
      </w:pPr>
      <w:r>
        <w:t>Chapter 09 — Safeguards</w:t>
      </w:r>
    </w:p>
    <w:p>
      <w:pPr>
        <w:spacing w:after="120"/>
      </w:pPr>
      <w:r>
        <w:t>Apply administrative, technical, and physical safeguards proportionate to sensitivity, quantity, format, threat, access model, and harm. Maintain security design and test evidence.</w:t>
      </w:r>
    </w:p>
    <w:p>
      <w:pPr>
        <w:pStyle w:val="Heading2"/>
      </w:pPr>
      <w:r>
        <w:t>Chapter 10 — Openness and transparency</w:t>
      </w:r>
    </w:p>
    <w:p>
      <w:pPr>
        <w:spacing w:after="120"/>
      </w:pPr>
      <w:r>
        <w:t>Make privacy practices, responsible contacts, rights routes, major processing purposes, cross-border handling, complaint paths, and relevant choices accessible and understandable.</w:t>
      </w:r>
    </w:p>
    <w:p>
      <w:pPr>
        <w:pStyle w:val="Heading2"/>
      </w:pPr>
      <w:r>
        <w:t>Chapter 11 — Individual access and correction</w:t>
      </w:r>
    </w:p>
    <w:p>
      <w:pPr>
        <w:spacing w:after="120"/>
      </w:pPr>
      <w:r>
        <w:t>Operate controlled request intake, identity/authority checks, search, exemptions, response, correction, secure delivery, timing, escalation, and closure evidence.</w:t>
      </w:r>
    </w:p>
    <w:p>
      <w:pPr>
        <w:pStyle w:val="Heading2"/>
      </w:pPr>
      <w:r>
        <w:t>Chapter 12 — Challenging compliance</w:t>
      </w:r>
    </w:p>
    <w:p>
      <w:pPr>
        <w:spacing w:after="120"/>
      </w:pPr>
      <w:r>
        <w:t>Maintain complaint intake, investigation, response, corrective action, escalation, regulator interaction, trend analysis, and evidence preservation.</w:t>
      </w:r>
    </w:p>
    <w:p>
      <w:pPr>
        <w:pStyle w:val="Heading2"/>
      </w:pPr>
      <w:r>
        <w:t>Chapter 13 — Data inventory and flow mapping</w:t>
      </w:r>
    </w:p>
    <w:p>
      <w:pPr>
        <w:spacing w:after="120"/>
      </w:pPr>
      <w:r>
        <w:t>Inventory systems, repositories, vendors, interfaces, transfers, data categories, processing purposes, locations, owners, access paths, and retention dependencies.</w:t>
      </w:r>
    </w:p>
    <w:p>
      <w:pPr>
        <w:pStyle w:val="Heading2"/>
      </w:pPr>
      <w:r>
        <w:t>Chapter 14 — Processor and vendor governance</w:t>
      </w:r>
    </w:p>
    <w:p>
      <w:pPr>
        <w:spacing w:after="120"/>
      </w:pPr>
      <w:r>
        <w:t>Assess service providers for purpose, access, safeguards, subcontractors, location, breach support, retention, deletion, oversight, audit, and exit requirements. Maintain contracts and monitoring.</w:t>
      </w:r>
    </w:p>
    <w:p>
      <w:pPr>
        <w:pStyle w:val="Heading2"/>
      </w:pPr>
      <w:r>
        <w:t>Chapter 15 — Cross-border processing</w:t>
      </w:r>
    </w:p>
    <w:p>
      <w:pPr>
        <w:spacing w:after="120"/>
      </w:pPr>
      <w:r>
        <w:t>Document cross-border storage, access, support, disclosures, legal exposure, contracts, transparency, risk controls, and applicable federal/provincial requirements without implying that cross-border processing is categorically prohibited or unrestricted.</w:t>
      </w:r>
    </w:p>
    <w:p>
      <w:pPr>
        <w:pStyle w:val="Heading2"/>
      </w:pPr>
      <w:r>
        <w:t>Chapter 16 — Breach risk assessment</w:t>
      </w:r>
    </w:p>
    <w:p>
      <w:pPr>
        <w:spacing w:after="120"/>
      </w:pPr>
      <w:r>
        <w:t>Use a documented method to evaluate security incidents involving personal information, including sensitivity, probability of misuse, affected individuals, safeguards, exposure, and applicable legal thresholds.</w:t>
      </w:r>
    </w:p>
    <w:p>
      <w:pPr>
        <w:pStyle w:val="Heading2"/>
      </w:pPr>
      <w:r>
        <w:t>Chapter 17 — Breach reporting and notification</w:t>
      </w:r>
    </w:p>
    <w:p>
      <w:pPr>
        <w:spacing w:after="120"/>
      </w:pPr>
      <w:r>
        <w:t>Determine regulator and individual notification requirements under the applicable law and facts. Maintain decision evidence, timing, content, communications, third-party coordination, and remediation.</w:t>
      </w:r>
    </w:p>
    <w:p>
      <w:pPr>
        <w:pStyle w:val="Heading2"/>
      </w:pPr>
      <w:r>
        <w:t>Chapter 18 — Breach recordkeeping</w:t>
      </w:r>
    </w:p>
    <w:p>
      <w:pPr>
        <w:spacing w:after="120"/>
      </w:pPr>
      <w:r>
        <w:t>Maintain required breach records and supporting analysis for the applicable retention period and regulator expectations, with access controls and linkage to incident evidence.</w:t>
      </w:r>
    </w:p>
    <w:p>
      <w:pPr>
        <w:pStyle w:val="Heading2"/>
      </w:pPr>
      <w:r>
        <w:t>Chapter 19 — Employee information</w:t>
      </w:r>
    </w:p>
    <w:p>
      <w:pPr>
        <w:spacing w:after="120"/>
      </w:pPr>
      <w:r>
        <w:t>Assess employee and applicant information separately by jurisdiction, organization type, and activity. Maintain workforce notices, access, security, monitoring, retention, rights, and vendor controls.</w:t>
      </w:r>
    </w:p>
    <w:p>
      <w:pPr>
        <w:pStyle w:val="Heading2"/>
      </w:pPr>
      <w:r>
        <w:t>Chapter 20 — Children and youth</w:t>
      </w:r>
    </w:p>
    <w:p>
      <w:pPr>
        <w:spacing w:after="120"/>
      </w:pPr>
      <w:r>
        <w:t>Apply age-, capacity-, sensitivity-, service-, and risk-appropriate transparency, consent/authority, minimization, design, advertising, profiling, and safeguarding controls based on applicable law and regulator expectations.</w:t>
      </w:r>
    </w:p>
    <w:p>
      <w:pPr>
        <w:pStyle w:val="Heading2"/>
      </w:pPr>
      <w:r>
        <w:t>Chapter 21 — Biometrics</w:t>
      </w:r>
    </w:p>
    <w:p>
      <w:pPr>
        <w:spacing w:after="120"/>
      </w:pPr>
      <w:r>
        <w:t>Identify biometric collection, inference, matching, authentication, monitoring, or identification use cases. Document authority, necessity, proportionality, security, retention, access, deletion, vendor, and provincial overlays.</w:t>
      </w:r>
    </w:p>
    <w:p>
      <w:pPr>
        <w:pStyle w:val="Heading2"/>
      </w:pPr>
      <w:r>
        <w:t>Chapter 22 — Marketing and analytics</w:t>
      </w:r>
    </w:p>
    <w:p>
      <w:pPr>
        <w:spacing w:after="120"/>
      </w:pPr>
      <w:r>
        <w:t>Govern marketing, tracking, profiling, analytics, audience creation, consent/choice, suppression, data sharing, and related communications under applicable privacy and anti-spam/electronic-marketing requirements.</w:t>
      </w:r>
    </w:p>
    <w:p>
      <w:pPr>
        <w:pStyle w:val="Heading2"/>
      </w:pPr>
      <w:r>
        <w:t>Chapter 23 — Cloud and SaaS</w:t>
      </w:r>
    </w:p>
    <w:p>
      <w:pPr>
        <w:spacing w:after="120"/>
      </w:pPr>
      <w:r>
        <w:t>Map responsibilities for cloud/SaaS processing, administrative access, location, telemetry, backups, subprocessors, incident support, deletion, portability, security settings, and exit.</w:t>
      </w:r>
    </w:p>
    <w:p>
      <w:pPr>
        <w:pStyle w:val="Heading2"/>
      </w:pPr>
      <w:r>
        <w:t>Chapter 24 — AI and automated processing</w:t>
      </w:r>
    </w:p>
    <w:p>
      <w:pPr>
        <w:spacing w:after="120"/>
      </w:pPr>
      <w:r>
        <w:t>Inventory automated and AI-supported processing involving personal information. Assess purpose, consent/authority, data quality, minimization, transparency, inference risk, human oversight, security, vendor, and provincial requirements.</w:t>
      </w:r>
    </w:p>
    <w:p>
      <w:pPr>
        <w:pStyle w:val="Heading2"/>
      </w:pPr>
      <w:r>
        <w:t>Chapter 25 — Rights-request operations</w:t>
      </w:r>
    </w:p>
    <w:p>
      <w:pPr>
        <w:spacing w:after="120"/>
      </w:pPr>
      <w:r>
        <w:t>Maintain standardized intake, routing, identity/authority, search, legal review, response, secure delivery, correction, complaint, metrics, and evidence workflows across applicable jurisdictions.</w:t>
      </w:r>
    </w:p>
    <w:p>
      <w:pPr>
        <w:pStyle w:val="Heading2"/>
      </w:pPr>
      <w:r>
        <w:t>Chapter 26 — Provincial overlays</w:t>
      </w:r>
    </w:p>
    <w:p>
      <w:pPr>
        <w:spacing w:after="120"/>
      </w:pPr>
      <w:r>
        <w:t>Maintain separate controlled overlays for applicable provincial private-sector, health, public-sector, employment, biometrics, consumer, and sector obligations. Do not merge provincial duties into federal PIPEDA requirements.</w:t>
      </w:r>
    </w:p>
    <w:p>
      <w:pPr>
        <w:pStyle w:val="Heading2"/>
      </w:pPr>
      <w:r>
        <w:t>Chapter 27 — Retention and disposal</w:t>
      </w:r>
    </w:p>
    <w:p>
      <w:pPr>
        <w:spacing w:after="120"/>
      </w:pPr>
      <w:r>
        <w:t>Define retention schedules, legal holds, archival, deletion, anonymization where appropriate, media sanitization, vendor deletion, exceptions, and disposal evidence.</w:t>
      </w:r>
    </w:p>
    <w:p>
      <w:pPr>
        <w:pStyle w:val="Heading2"/>
      </w:pPr>
      <w:r>
        <w:t>Chapter 28 — Training and competence</w:t>
      </w:r>
    </w:p>
    <w:p>
      <w:pPr>
        <w:spacing w:after="120"/>
      </w:pPr>
      <w:r>
        <w:t>Deliver role-based privacy/security training for data handlers, rights teams, HR, marketing, engineering, procurement, security, executives, and incident personnel. Maintain competency evidence.</w:t>
      </w:r>
    </w:p>
    <w:p>
      <w:pPr>
        <w:pStyle w:val="Heading2"/>
      </w:pPr>
      <w:r>
        <w:t>Chapter 29 — Assurance and audit</w:t>
      </w:r>
    </w:p>
    <w:p>
      <w:pPr>
        <w:spacing w:after="120"/>
      </w:pPr>
      <w:r>
        <w:t>Test consent, purposes, notices, requests, safeguards, vendors, cross-border processing, breaches, retention, marketing, biometrics, and AI using risk-based samples. Track findings to verified closure.</w:t>
      </w:r>
    </w:p>
    <w:p>
      <w:pPr>
        <w:pStyle w:val="Heading2"/>
      </w:pPr>
      <w:r>
        <w:t>Chapter 30 — Metrics and management review</w:t>
      </w:r>
    </w:p>
    <w:p>
      <w:pPr>
        <w:spacing w:after="120"/>
      </w:pPr>
      <w:r>
        <w:t>Track rights timeliness, complaints, breach decisions, vendor findings, consent issues, retention exceptions, training, remediation aging, provincial change watch, and regulator developments. Record management decisions.</w:t>
      </w:r>
    </w:p>
    <w:p>
      <w:pPr>
        <w:pStyle w:val="Heading2"/>
      </w:pPr>
      <w:r>
        <w:t>Chapter 31 — Localization, provenance, and release evidence</w:t>
      </w:r>
    </w:p>
    <w:p>
      <w:pPr>
        <w:spacing w:after="120"/>
      </w:pPr>
      <w:r>
        <w:t>Freeze EN/es-419/pt-BR candidates before final exact review. Bind DOCX/PDF identities to SHA-256 and preserve source-version, structure, parity, accessibility, render, workflow-security, and staging evidence.</w:t>
      </w:r>
    </w:p>
    <w:p>
      <w:pPr>
        <w:pStyle w:val="Heading2"/>
      </w:pPr>
      <w:r>
        <w:t>Chapter 32 — Implementation roadmap and release-time reverification</w:t>
      </w:r>
    </w:p>
    <w:p>
      <w:pPr>
        <w:spacing w:after="120"/>
      </w:pPr>
      <w:r>
        <w:t>Implement applicability/inventory; accountability/purposes; consent/rights; safeguards/vendors; transfers/breaches; special contexts; assurance/improvement. Immediately before publication, reverify PIPEDA status, applicable provincial laws, and current regulator guidance. Publication remains sequential after Manual 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