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GRC Risk Register and Risk Treatment Practical Manual</w:t>
      </w:r>
    </w:p>
    <w:p>
      <w:pPr>
        <w:pStyle w:val="Author"/>
      </w:pPr>
      <w:r>
        <w:t xml:space="preserve">Alberto Al Leiva</w:t>
      </w:r>
    </w:p>
    <w:p>
      <w:pPr>
        <w:pStyle w:val="Date"/>
      </w:pPr>
      <w:r>
        <w:t xml:space="preserve">1</w:t>
      </w:r>
      <w:r>
        <w:t xml:space="preserve"> </w:t>
      </w: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X7f5efc0edb75eaeb54717bb2f06123ea6909ada"/>
    <w:p>
      <w:pPr>
        <w:pStyle w:val="Heading1"/>
      </w:pPr>
      <w:r>
        <w:t xml:space="preserve">GRC Risk Register and Risk Treatment Practical Manual</w:t>
      </w:r>
    </w:p>
    <w:p>
      <w:pPr>
        <w:pStyle w:val="FirstParagraph"/>
      </w:pPr>
      <w:r>
        <w:rPr>
          <w:bCs/>
          <w:b/>
        </w:rPr>
        <w:t xml:space="preserve">Version 1.0 — August 2026</w:t>
      </w:r>
    </w:p>
    <w:p>
      <w:pPr>
        <w:pStyle w:val="BodyText"/>
      </w:pPr>
      <w:r>
        <w:rPr>
          <w:bCs/>
          <w:b/>
        </w:rPr>
        <w:t xml:space="preserve">Author:</w:t>
      </w:r>
      <w:r>
        <w:t xml:space="preserve"> </w:t>
      </w:r>
      <w:r>
        <w:t xml:space="preserve">Alberto</w:t>
      </w:r>
      <w:r>
        <w:t xml:space="preserve"> </w:t>
      </w:r>
      <w:r>
        <w:t xml:space="preserve">“</w:t>
      </w:r>
      <w:r>
        <w:t xml:space="preserve">Al</w:t>
      </w:r>
      <w:r>
        <w:t xml:space="preserve">”</w:t>
      </w:r>
      <w:r>
        <w:t xml:space="preserve"> </w:t>
      </w:r>
      <w:r>
        <w:t xml:space="preserve">Leiva</w:t>
      </w:r>
    </w:p>
    <w:p>
      <w:pPr>
        <w:pStyle w:val="BodyText"/>
      </w:pPr>
      <w:r>
        <w:t xml:space="preserve">ChatGPT assisted under the author’s direction. The author remains responsible for editorial and release decisions.</w:t>
      </w:r>
    </w:p>
    <w:bookmarkStart w:id="20" w:name="educational-use-notice"/>
    <w:p>
      <w:pPr>
        <w:pStyle w:val="Heading2"/>
      </w:pPr>
      <w:r>
        <w:t xml:space="preserve">Educational-use notice</w:t>
      </w:r>
    </w:p>
    <w:p>
      <w:pPr>
        <w:pStyle w:val="FirstParagraph"/>
      </w:pPr>
      <w:r>
        <w:t xml:space="preserve">This manual and its companion tools are educational resources. They must be adapted to the organization’s objectives, risk appetite, legal and contractual obligations, systems, data, decision authority, and operating context. They do not constitute legal, accounting, regulatory, certification, or formal audit advice.</w:t>
      </w:r>
    </w:p>
    <w:bookmarkEnd w:id="20"/>
    <w:bookmarkStart w:id="21" w:name="how-to-use-this-manual"/>
    <w:p>
      <w:pPr>
        <w:pStyle w:val="Heading2"/>
      </w:pPr>
      <w:r>
        <w:t xml:space="preserve">How to use this manual</w:t>
      </w:r>
    </w:p>
    <w:p>
      <w:pPr>
        <w:pStyle w:val="FirstParagraph"/>
      </w:pPr>
      <w:r>
        <w:t xml:space="preserve">Use the chapters in order when establishing a new risk register. Existing programs may use individual sections for scenario quality, scoring, treatment, acceptance, monitoring, or governance improvement. Preserve the rationale, evidence, ownership, approvals, and review history for every material risk decision.</w:t>
      </w:r>
    </w:p>
    <w:bookmarkEnd w:id="21"/>
    <w:bookmarkEnd w:id="22"/>
    <w:bookmarkStart w:id="35" w:name="risk-management-foundations"/>
    <w:p>
      <w:pPr>
        <w:pStyle w:val="Heading1"/>
      </w:pPr>
      <w:r>
        <w:t xml:space="preserve">1. Risk Management Foundations</w:t>
      </w:r>
    </w:p>
    <w:bookmarkStart w:id="23" w:name="purpose"/>
    <w:p>
      <w:pPr>
        <w:pStyle w:val="Heading2"/>
      </w:pPr>
      <w:r>
        <w:t xml:space="preserve">Purpose</w:t>
      </w:r>
    </w:p>
    <w:p>
      <w:pPr>
        <w:pStyle w:val="FirstParagraph"/>
      </w:pPr>
      <w:r>
        <w:t xml:space="preserve">A risk register is a controlled decision record. It documents uncertain events or conditions that could affect objectives, the evidence used to assess them, the response selected by accountable leaders, and the actions needed to keep exposure within approved limits.</w:t>
      </w:r>
    </w:p>
    <w:p>
      <w:pPr>
        <w:pStyle w:val="BodyText"/>
      </w:pPr>
      <w:r>
        <w:t xml:space="preserve">A register should support decisions rather than become a static list of concerns. Each entry must be specific enough that another qualified person can understand the scenario, reproduce the assessment logic, identify the accountable owner, and determine whether treatment is progressing.</w:t>
      </w:r>
    </w:p>
    <w:bookmarkEnd w:id="23"/>
    <w:bookmarkStart w:id="31" w:name="core-concepts"/>
    <w:p>
      <w:pPr>
        <w:pStyle w:val="Heading2"/>
      </w:pPr>
      <w:r>
        <w:t xml:space="preserve">Core concepts</w:t>
      </w:r>
    </w:p>
    <w:bookmarkStart w:id="24" w:name="objective"/>
    <w:p>
      <w:pPr>
        <w:pStyle w:val="Heading3"/>
      </w:pPr>
      <w:r>
        <w:t xml:space="preserve">Objective</w:t>
      </w:r>
    </w:p>
    <w:p>
      <w:pPr>
        <w:pStyle w:val="FirstParagraph"/>
      </w:pPr>
      <w:r>
        <w:t xml:space="preserve">The business, mission, service, compliance, safety, security, privacy, financial, or operational result that could be affected.</w:t>
      </w:r>
    </w:p>
    <w:bookmarkEnd w:id="24"/>
    <w:bookmarkStart w:id="25" w:name="risk-scenario"/>
    <w:p>
      <w:pPr>
        <w:pStyle w:val="Heading3"/>
      </w:pPr>
      <w:r>
        <w:t xml:space="preserve">Risk scenario</w:t>
      </w:r>
    </w:p>
    <w:p>
      <w:pPr>
        <w:pStyle w:val="FirstParagraph"/>
      </w:pPr>
      <w:r>
        <w:t xml:space="preserve">A concise description of how a threat, condition, dependency, decision, or opportunity could affect an objective. A useful structure is:</w:t>
      </w:r>
    </w:p>
    <w:p>
      <w:pPr>
        <w:pStyle w:val="BlockText"/>
      </w:pPr>
      <w:r>
        <w:t xml:space="preserve">Because of</w:t>
      </w:r>
      <w:r>
        <w:t xml:space="preserve"> </w:t>
      </w:r>
      <w:r>
        <w:rPr>
          <w:bCs/>
          <w:b/>
        </w:rPr>
        <w:t xml:space="preserve">cause or condition</w:t>
      </w:r>
      <w:r>
        <w:t xml:space="preserve">,</w:t>
      </w:r>
      <w:r>
        <w:t xml:space="preserve"> </w:t>
      </w:r>
      <w:r>
        <w:rPr>
          <w:bCs/>
          <w:b/>
        </w:rPr>
        <w:t xml:space="preserve">event</w:t>
      </w:r>
      <w:r>
        <w:t xml:space="preserve"> </w:t>
      </w:r>
      <w:r>
        <w:t xml:space="preserve">may occur, resulting in</w:t>
      </w:r>
      <w:r>
        <w:t xml:space="preserve"> </w:t>
      </w:r>
      <w:r>
        <w:rPr>
          <w:bCs/>
          <w:b/>
        </w:rPr>
        <w:t xml:space="preserve">consequence to an objective</w:t>
      </w:r>
      <w:r>
        <w:t xml:space="preserve">.</w:t>
      </w:r>
    </w:p>
    <w:bookmarkEnd w:id="25"/>
    <w:bookmarkStart w:id="26" w:name="inherent-risk"/>
    <w:p>
      <w:pPr>
        <w:pStyle w:val="Heading3"/>
      </w:pPr>
      <w:r>
        <w:t xml:space="preserve">Inherent risk</w:t>
      </w:r>
    </w:p>
    <w:p>
      <w:pPr>
        <w:pStyle w:val="FirstParagraph"/>
      </w:pPr>
      <w:r>
        <w:t xml:space="preserve">The estimated exposure before considering the effectiveness of existing controls. Organizations must define whether inherent risk assumes no controls, only baseline controls, or another stated condition.</w:t>
      </w:r>
    </w:p>
    <w:bookmarkEnd w:id="26"/>
    <w:bookmarkStart w:id="27" w:name="existing-controls"/>
    <w:p>
      <w:pPr>
        <w:pStyle w:val="Heading3"/>
      </w:pPr>
      <w:r>
        <w:t xml:space="preserve">Existing controls</w:t>
      </w:r>
    </w:p>
    <w:p>
      <w:pPr>
        <w:pStyle w:val="FirstParagraph"/>
      </w:pPr>
      <w:r>
        <w:t xml:space="preserve">Policies, processes, technologies, contracts, training, oversight, or other measures already operating to modify likelihood or impact.</w:t>
      </w:r>
    </w:p>
    <w:bookmarkEnd w:id="27"/>
    <w:bookmarkStart w:id="28" w:name="residual-risk"/>
    <w:p>
      <w:pPr>
        <w:pStyle w:val="Heading3"/>
      </w:pPr>
      <w:r>
        <w:t xml:space="preserve">Residual risk</w:t>
      </w:r>
    </w:p>
    <w:p>
      <w:pPr>
        <w:pStyle w:val="FirstParagraph"/>
      </w:pPr>
      <w:r>
        <w:t xml:space="preserve">The exposure remaining after considering the design and operating effectiveness of existing controls.</w:t>
      </w:r>
    </w:p>
    <w:bookmarkEnd w:id="28"/>
    <w:bookmarkStart w:id="29" w:name="target-risk"/>
    <w:p>
      <w:pPr>
        <w:pStyle w:val="Heading3"/>
      </w:pPr>
      <w:r>
        <w:t xml:space="preserve">Target risk</w:t>
      </w:r>
    </w:p>
    <w:p>
      <w:pPr>
        <w:pStyle w:val="FirstParagraph"/>
      </w:pPr>
      <w:r>
        <w:t xml:space="preserve">The exposure expected after approved treatment actions are completed and verified.</w:t>
      </w:r>
    </w:p>
    <w:bookmarkEnd w:id="29"/>
    <w:bookmarkStart w:id="30" w:name="risk-appetite-and-tolerance"/>
    <w:p>
      <w:pPr>
        <w:pStyle w:val="Heading3"/>
      </w:pPr>
      <w:r>
        <w:t xml:space="preserve">Risk appetite and tolerance</w:t>
      </w:r>
    </w:p>
    <w:p>
      <w:pPr>
        <w:pStyle w:val="FirstParagraph"/>
      </w:pPr>
      <w:r>
        <w:t xml:space="preserve">Risk appetite expresses the amount and type of risk an organization is willing to pursue or retain in support of objectives. Tolerance establishes measurable boundaries or acceptable variation around those objectives. Entries outside tolerance require escalation, treatment, transfer, avoidance, or formally authorized acceptance.</w:t>
      </w:r>
    </w:p>
    <w:bookmarkEnd w:id="30"/>
    <w:bookmarkEnd w:id="31"/>
    <w:bookmarkStart w:id="32" w:name="governance-principles"/>
    <w:p>
      <w:pPr>
        <w:pStyle w:val="Heading2"/>
      </w:pPr>
      <w:r>
        <w:t xml:space="preserve">Governance principles</w:t>
      </w:r>
    </w:p>
    <w:p>
      <w:pPr>
        <w:numPr>
          <w:ilvl w:val="0"/>
          <w:numId w:val="1001"/>
        </w:numPr>
        <w:pStyle w:val="Compact"/>
      </w:pPr>
      <w:r>
        <w:t xml:space="preserve">Link every material risk to an objective.</w:t>
      </w:r>
    </w:p>
    <w:p>
      <w:pPr>
        <w:numPr>
          <w:ilvl w:val="0"/>
          <w:numId w:val="1001"/>
        </w:numPr>
        <w:pStyle w:val="Compact"/>
      </w:pPr>
      <w:r>
        <w:t xml:space="preserve">Assign one accountable risk owner, even when many teams contribute.</w:t>
      </w:r>
    </w:p>
    <w:p>
      <w:pPr>
        <w:numPr>
          <w:ilvl w:val="0"/>
          <w:numId w:val="1001"/>
        </w:numPr>
        <w:pStyle w:val="Compact"/>
      </w:pPr>
      <w:r>
        <w:t xml:space="preserve">Separate evidence from judgment.</w:t>
      </w:r>
    </w:p>
    <w:p>
      <w:pPr>
        <w:numPr>
          <w:ilvl w:val="0"/>
          <w:numId w:val="1001"/>
        </w:numPr>
        <w:pStyle w:val="Compact"/>
      </w:pPr>
      <w:r>
        <w:t xml:space="preserve">State uncertainty and assumptions explicitly.</w:t>
      </w:r>
    </w:p>
    <w:p>
      <w:pPr>
        <w:numPr>
          <w:ilvl w:val="0"/>
          <w:numId w:val="1001"/>
        </w:numPr>
        <w:pStyle w:val="Compact"/>
      </w:pPr>
      <w:r>
        <w:t xml:space="preserve">Use defined scales consistently.</w:t>
      </w:r>
    </w:p>
    <w:p>
      <w:pPr>
        <w:numPr>
          <w:ilvl w:val="0"/>
          <w:numId w:val="1001"/>
        </w:numPr>
        <w:pStyle w:val="Compact"/>
      </w:pPr>
      <w:r>
        <w:t xml:space="preserve">Do not average away severe consequences without documented rationale.</w:t>
      </w:r>
    </w:p>
    <w:p>
      <w:pPr>
        <w:numPr>
          <w:ilvl w:val="0"/>
          <w:numId w:val="1001"/>
        </w:numPr>
        <w:pStyle w:val="Compact"/>
      </w:pPr>
      <w:r>
        <w:t xml:space="preserve">Record who accepted residual risk and the acceptance period.</w:t>
      </w:r>
    </w:p>
    <w:p>
      <w:pPr>
        <w:numPr>
          <w:ilvl w:val="0"/>
          <w:numId w:val="1001"/>
        </w:numPr>
        <w:pStyle w:val="Compact"/>
      </w:pPr>
      <w:r>
        <w:t xml:space="preserve">Reassess after material changes, incidents, control failures, or new information.</w:t>
      </w:r>
    </w:p>
    <w:p>
      <w:pPr>
        <w:numPr>
          <w:ilvl w:val="0"/>
          <w:numId w:val="1001"/>
        </w:numPr>
        <w:pStyle w:val="Compact"/>
      </w:pPr>
      <w:r>
        <w:t xml:space="preserve">Maintain traceability to supporting evidence and related issues.</w:t>
      </w:r>
    </w:p>
    <w:p>
      <w:pPr>
        <w:numPr>
          <w:ilvl w:val="0"/>
          <w:numId w:val="1001"/>
        </w:numPr>
        <w:pStyle w:val="Compact"/>
      </w:pPr>
      <w:r>
        <w:t xml:space="preserve">Escalate overdue treatment and expired acceptance automatically or through a documented review process.</w:t>
      </w:r>
    </w:p>
    <w:bookmarkEnd w:id="32"/>
    <w:bookmarkStart w:id="33" w:name="roles"/>
    <w:p>
      <w:pPr>
        <w:pStyle w:val="Heading2"/>
      </w:pPr>
      <w:r>
        <w:t xml:space="preserve">Roles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Primary responsibility</w:t>
            </w:r>
          </w:p>
        </w:tc>
      </w:tr>
      <w:tr>
        <w:tc>
          <w:tcPr/>
          <w:p>
            <w:pPr>
              <w:pStyle w:val="Compact"/>
              <w:jc w:val="left"/>
            </w:pPr>
            <w:r>
              <w:t xml:space="preserve">Governing body or executive committee</w:t>
            </w:r>
          </w:p>
        </w:tc>
        <w:tc>
          <w:tcPr/>
          <w:p>
            <w:pPr>
              <w:pStyle w:val="Compact"/>
              <w:jc w:val="left"/>
            </w:pPr>
            <w:r>
              <w:t xml:space="preserve">Approves appetite, tolerance, and major risk decisions</w:t>
            </w:r>
          </w:p>
        </w:tc>
      </w:tr>
      <w:tr>
        <w:tc>
          <w:tcPr/>
          <w:p>
            <w:pPr>
              <w:pStyle w:val="Compact"/>
              <w:jc w:val="left"/>
            </w:pPr>
            <w:r>
              <w:t xml:space="preserve">Risk owner</w:t>
            </w:r>
          </w:p>
        </w:tc>
        <w:tc>
          <w:tcPr/>
          <w:p>
            <w:pPr>
              <w:pStyle w:val="Compact"/>
              <w:jc w:val="left"/>
            </w:pPr>
            <w:r>
              <w:t xml:space="preserve">Accountable for understanding and managing the risk</w:t>
            </w:r>
          </w:p>
        </w:tc>
      </w:tr>
      <w:tr>
        <w:tc>
          <w:tcPr/>
          <w:p>
            <w:pPr>
              <w:pStyle w:val="Compact"/>
              <w:jc w:val="left"/>
            </w:pPr>
            <w:r>
              <w:t xml:space="preserve">Control owner</w:t>
            </w:r>
          </w:p>
        </w:tc>
        <w:tc>
          <w:tcPr/>
          <w:p>
            <w:pPr>
              <w:pStyle w:val="Compact"/>
              <w:jc w:val="left"/>
            </w:pPr>
            <w:r>
              <w:t xml:space="preserve">Accountable for design, operation, and evidence of a control</w:t>
            </w:r>
          </w:p>
        </w:tc>
      </w:tr>
      <w:tr>
        <w:tc>
          <w:tcPr/>
          <w:p>
            <w:pPr>
              <w:pStyle w:val="Compact"/>
              <w:jc w:val="left"/>
            </w:pPr>
            <w:r>
              <w:t xml:space="preserve">Action owner</w:t>
            </w:r>
          </w:p>
        </w:tc>
        <w:tc>
          <w:tcPr/>
          <w:p>
            <w:pPr>
              <w:pStyle w:val="Compact"/>
              <w:jc w:val="left"/>
            </w:pPr>
            <w:r>
              <w:t xml:space="preserve">Completes a specific treatment task</w:t>
            </w:r>
          </w:p>
        </w:tc>
      </w:tr>
      <w:tr>
        <w:tc>
          <w:tcPr/>
          <w:p>
            <w:pPr>
              <w:pStyle w:val="Compact"/>
              <w:jc w:val="left"/>
            </w:pPr>
            <w:r>
              <w:t xml:space="preserve">Risk function</w:t>
            </w:r>
          </w:p>
        </w:tc>
        <w:tc>
          <w:tcPr/>
          <w:p>
            <w:pPr>
              <w:pStyle w:val="Compact"/>
              <w:jc w:val="left"/>
            </w:pPr>
            <w:r>
              <w:t xml:space="preserve">Defines methodology, challenges assessments, and reports portfolio exposure</w:t>
            </w:r>
          </w:p>
        </w:tc>
      </w:tr>
      <w:tr>
        <w:tc>
          <w:tcPr/>
          <w:p>
            <w:pPr>
              <w:pStyle w:val="Compact"/>
              <w:jc w:val="left"/>
            </w:pPr>
            <w:r>
              <w:t xml:space="preserve">Assurance function</w:t>
            </w:r>
          </w:p>
        </w:tc>
        <w:tc>
          <w:tcPr/>
          <w:p>
            <w:pPr>
              <w:pStyle w:val="Compact"/>
              <w:jc w:val="left"/>
            </w:pPr>
            <w:r>
              <w:t xml:space="preserve">Independently evaluates governance, controls, and evidence</w:t>
            </w:r>
          </w:p>
        </w:tc>
      </w:tr>
      <w:tr>
        <w:tc>
          <w:tcPr/>
          <w:p>
            <w:pPr>
              <w:pStyle w:val="Compact"/>
              <w:jc w:val="left"/>
            </w:pPr>
            <w:r>
              <w:t xml:space="preserve">Subject-matter expert</w:t>
            </w:r>
          </w:p>
        </w:tc>
        <w:tc>
          <w:tcPr/>
          <w:p>
            <w:pPr>
              <w:pStyle w:val="Compact"/>
              <w:jc w:val="left"/>
            </w:pPr>
            <w:r>
              <w:t xml:space="preserve">Provides technical, legal, operational, financial, or other specialist input</w:t>
            </w:r>
          </w:p>
        </w:tc>
      </w:tr>
    </w:tbl>
    <w:bookmarkEnd w:id="33"/>
    <w:bookmarkStart w:id="34" w:name="minimum-quality-test"/>
    <w:p>
      <w:pPr>
        <w:pStyle w:val="Heading2"/>
      </w:pPr>
      <w:r>
        <w:t xml:space="preserve">Minimum quality test</w:t>
      </w:r>
    </w:p>
    <w:p>
      <w:pPr>
        <w:pStyle w:val="FirstParagraph"/>
      </w:pPr>
      <w:r>
        <w:t xml:space="preserve">A risk entry is not ready for approval unless it identifies the affected objective, describes a plausible scenario, cites evidence, assigns an owner, records current controls, estimates likelihood and impact using defined criteria, states residual exposure, selects a response, and includes a review date.</w:t>
      </w:r>
    </w:p>
    <w:bookmarkEnd w:id="34"/>
    <w:bookmarkEnd w:id="35"/>
    <w:bookmarkStart w:id="43" w:name="risk-identification-and-scenario-writing"/>
    <w:p>
      <w:pPr>
        <w:pStyle w:val="Heading1"/>
      </w:pPr>
      <w:r>
        <w:t xml:space="preserve">2. Risk Identification and Scenario Writing</w:t>
      </w:r>
    </w:p>
    <w:bookmarkStart w:id="36" w:name="identify-risks-from-objectives"/>
    <w:p>
      <w:pPr>
        <w:pStyle w:val="Heading2"/>
      </w:pPr>
      <w:r>
        <w:t xml:space="preserve">Identify risks from objectives</w:t>
      </w:r>
    </w:p>
    <w:p>
      <w:pPr>
        <w:pStyle w:val="FirstParagraph"/>
      </w:pPr>
      <w:r>
        <w:t xml:space="preserve">Start with the objective, not with a generic threat list. Review strategic goals, critical services, legal and contractual obligations, key assets, important data, major third parties, projects, changes, and known dependencies.</w:t>
      </w:r>
    </w:p>
    <w:p>
      <w:pPr>
        <w:pStyle w:val="BodyText"/>
      </w:pPr>
      <w:r>
        <w:t xml:space="preserve">Useful identification inputs include:</w:t>
      </w:r>
    </w:p>
    <w:p>
      <w:pPr>
        <w:numPr>
          <w:ilvl w:val="0"/>
          <w:numId w:val="1002"/>
        </w:numPr>
        <w:pStyle w:val="Compact"/>
      </w:pPr>
      <w:r>
        <w:t xml:space="preserve">Business and mission objectives</w:t>
      </w:r>
    </w:p>
    <w:p>
      <w:pPr>
        <w:numPr>
          <w:ilvl w:val="0"/>
          <w:numId w:val="1002"/>
        </w:numPr>
        <w:pStyle w:val="Compact"/>
      </w:pPr>
      <w:r>
        <w:t xml:space="preserve">Business impact analyses</w:t>
      </w:r>
    </w:p>
    <w:p>
      <w:pPr>
        <w:numPr>
          <w:ilvl w:val="0"/>
          <w:numId w:val="1002"/>
        </w:numPr>
        <w:pStyle w:val="Compact"/>
      </w:pPr>
      <w:r>
        <w:t xml:space="preserve">Architecture and data-flow diagrams</w:t>
      </w:r>
    </w:p>
    <w:p>
      <w:pPr>
        <w:numPr>
          <w:ilvl w:val="0"/>
          <w:numId w:val="1002"/>
        </w:numPr>
        <w:pStyle w:val="Compact"/>
      </w:pPr>
      <w:r>
        <w:t xml:space="preserve">Asset and service inventories</w:t>
      </w:r>
    </w:p>
    <w:p>
      <w:pPr>
        <w:numPr>
          <w:ilvl w:val="0"/>
          <w:numId w:val="1002"/>
        </w:numPr>
        <w:pStyle w:val="Compact"/>
      </w:pPr>
      <w:r>
        <w:t xml:space="preserve">Threat intelligence and incident history</w:t>
      </w:r>
    </w:p>
    <w:p>
      <w:pPr>
        <w:numPr>
          <w:ilvl w:val="0"/>
          <w:numId w:val="1002"/>
        </w:numPr>
        <w:pStyle w:val="Compact"/>
      </w:pPr>
      <w:r>
        <w:t xml:space="preserve">Audit findings and control-test results</w:t>
      </w:r>
    </w:p>
    <w:p>
      <w:pPr>
        <w:numPr>
          <w:ilvl w:val="0"/>
          <w:numId w:val="1002"/>
        </w:numPr>
        <w:pStyle w:val="Compact"/>
      </w:pPr>
      <w:r>
        <w:t xml:space="preserve">Vulnerability and configuration data</w:t>
      </w:r>
    </w:p>
    <w:p>
      <w:pPr>
        <w:numPr>
          <w:ilvl w:val="0"/>
          <w:numId w:val="1002"/>
        </w:numPr>
        <w:pStyle w:val="Compact"/>
      </w:pPr>
      <w:r>
        <w:t xml:space="preserve">Vendor and concentration-risk assessments</w:t>
      </w:r>
    </w:p>
    <w:p>
      <w:pPr>
        <w:numPr>
          <w:ilvl w:val="0"/>
          <w:numId w:val="1002"/>
        </w:numPr>
        <w:pStyle w:val="Compact"/>
      </w:pPr>
      <w:r>
        <w:t xml:space="preserve">Regulatory and contractual requirements</w:t>
      </w:r>
    </w:p>
    <w:p>
      <w:pPr>
        <w:numPr>
          <w:ilvl w:val="0"/>
          <w:numId w:val="1002"/>
        </w:numPr>
        <w:pStyle w:val="Compact"/>
      </w:pPr>
      <w:r>
        <w:t xml:space="preserve">Change portfolios and transformation plans</w:t>
      </w:r>
    </w:p>
    <w:p>
      <w:pPr>
        <w:numPr>
          <w:ilvl w:val="0"/>
          <w:numId w:val="1002"/>
        </w:numPr>
        <w:pStyle w:val="Compact"/>
      </w:pPr>
      <w:r>
        <w:t xml:space="preserve">Complaints, near misses, exceptions, and loss events</w:t>
      </w:r>
    </w:p>
    <w:bookmarkEnd w:id="36"/>
    <w:bookmarkStart w:id="37" w:name="scenario-structure"/>
    <w:p>
      <w:pPr>
        <w:pStyle w:val="Heading2"/>
      </w:pPr>
      <w:r>
        <w:t xml:space="preserve">Scenario structure</w:t>
      </w:r>
    </w:p>
    <w:p>
      <w:pPr>
        <w:pStyle w:val="FirstParagraph"/>
      </w:pPr>
      <w:r>
        <w:t xml:space="preserve">A defensible risk scenario contains four elements:</w:t>
      </w:r>
    </w:p>
    <w:p>
      <w:pPr>
        <w:numPr>
          <w:ilvl w:val="0"/>
          <w:numId w:val="1003"/>
        </w:numPr>
        <w:pStyle w:val="Compact"/>
      </w:pPr>
      <w:r>
        <w:rPr>
          <w:bCs/>
          <w:b/>
        </w:rPr>
        <w:t xml:space="preserve">Context or cause</w:t>
      </w:r>
      <w:r>
        <w:t xml:space="preserve"> </w:t>
      </w:r>
      <w:r>
        <w:t xml:space="preserve">— the condition that creates exposure.</w:t>
      </w:r>
    </w:p>
    <w:p>
      <w:pPr>
        <w:numPr>
          <w:ilvl w:val="0"/>
          <w:numId w:val="1003"/>
        </w:numPr>
        <w:pStyle w:val="Compact"/>
      </w:pPr>
      <w:r>
        <w:rPr>
          <w:bCs/>
          <w:b/>
        </w:rPr>
        <w:t xml:space="preserve">Event</w:t>
      </w:r>
      <w:r>
        <w:t xml:space="preserve"> </w:t>
      </w:r>
      <w:r>
        <w:t xml:space="preserve">— what may happen.</w:t>
      </w:r>
    </w:p>
    <w:p>
      <w:pPr>
        <w:numPr>
          <w:ilvl w:val="0"/>
          <w:numId w:val="1003"/>
        </w:numPr>
        <w:pStyle w:val="Compact"/>
      </w:pPr>
      <w:r>
        <w:rPr>
          <w:bCs/>
          <w:b/>
        </w:rPr>
        <w:t xml:space="preserve">Affected objective or asset</w:t>
      </w:r>
      <w:r>
        <w:t xml:space="preserve"> </w:t>
      </w:r>
      <w:r>
        <w:t xml:space="preserve">— what matters to the organization.</w:t>
      </w:r>
    </w:p>
    <w:p>
      <w:pPr>
        <w:numPr>
          <w:ilvl w:val="0"/>
          <w:numId w:val="1003"/>
        </w:numPr>
        <w:pStyle w:val="Compact"/>
      </w:pPr>
      <w:r>
        <w:rPr>
          <w:bCs/>
          <w:b/>
        </w:rPr>
        <w:t xml:space="preserve">Consequence</w:t>
      </w:r>
      <w:r>
        <w:t xml:space="preserve"> </w:t>
      </w:r>
      <w:r>
        <w:t xml:space="preserve">— the credible harm or missed opportunity.</w:t>
      </w:r>
    </w:p>
    <w:p>
      <w:pPr>
        <w:pStyle w:val="FirstParagraph"/>
      </w:pPr>
      <w:r>
        <w:t xml:space="preserve">Example:</w:t>
      </w:r>
    </w:p>
    <w:p>
      <w:pPr>
        <w:pStyle w:val="BlockText"/>
      </w:pPr>
      <w:r>
        <w:t xml:space="preserve">Because privileged accounts are not reviewed consistently, an unauthorized or excessive privilege may remain active, enabling inappropriate access to sensitive customer information and causing regulatory, financial, and reputational harm.</w:t>
      </w:r>
    </w:p>
    <w:bookmarkEnd w:id="37"/>
    <w:bookmarkStart w:id="38" w:name="avoid-weak-statements"/>
    <w:p>
      <w:pPr>
        <w:pStyle w:val="Heading2"/>
      </w:pPr>
      <w:r>
        <w:t xml:space="preserve">Avoid weak statements</w:t>
      </w:r>
    </w:p>
    <w:p>
      <w:pPr>
        <w:pStyle w:val="FirstParagraph"/>
      </w:pPr>
      <w:r>
        <w:t xml:space="preserve">Weak entries include single words such as</w:t>
      </w:r>
      <w:r>
        <w:t xml:space="preserve"> </w:t>
      </w:r>
      <w:r>
        <w:t xml:space="preserve">“</w:t>
      </w:r>
      <w:r>
        <w:t xml:space="preserve">ransomware,</w:t>
      </w:r>
      <w:r>
        <w:t xml:space="preserve">”</w:t>
      </w:r>
      <w:r>
        <w:t xml:space="preserve"> </w:t>
      </w:r>
      <w:r>
        <w:t xml:space="preserve">“</w:t>
      </w:r>
      <w:r>
        <w:t xml:space="preserve">vendor risk,</w:t>
      </w:r>
      <w:r>
        <w:t xml:space="preserve">”</w:t>
      </w:r>
      <w:r>
        <w:t xml:space="preserve"> </w:t>
      </w:r>
      <w:r>
        <w:t xml:space="preserve">or</w:t>
      </w:r>
      <w:r>
        <w:t xml:space="preserve"> </w:t>
      </w:r>
      <w:r>
        <w:t xml:space="preserve">“</w:t>
      </w:r>
      <w:r>
        <w:t xml:space="preserve">noncompliance.</w:t>
      </w:r>
      <w:r>
        <w:t xml:space="preserve">”</w:t>
      </w:r>
      <w:r>
        <w:t xml:space="preserve"> </w:t>
      </w:r>
      <w:r>
        <w:t xml:space="preserve">They do not explain the business consequence or support a repeatable assessment.</w:t>
      </w:r>
    </w:p>
    <w:p>
      <w:pPr>
        <w:pStyle w:val="BodyText"/>
      </w:pPr>
      <w:r>
        <w:t xml:space="preserve">Rewrite vague statements by asking:</w:t>
      </w:r>
    </w:p>
    <w:p>
      <w:pPr>
        <w:numPr>
          <w:ilvl w:val="0"/>
          <w:numId w:val="1004"/>
        </w:numPr>
        <w:pStyle w:val="Compact"/>
      </w:pPr>
      <w:r>
        <w:t xml:space="preserve">What condition makes the event possible?</w:t>
      </w:r>
    </w:p>
    <w:p>
      <w:pPr>
        <w:numPr>
          <w:ilvl w:val="0"/>
          <w:numId w:val="1004"/>
        </w:numPr>
        <w:pStyle w:val="Compact"/>
      </w:pPr>
      <w:r>
        <w:t xml:space="preserve">What event could occur?</w:t>
      </w:r>
    </w:p>
    <w:p>
      <w:pPr>
        <w:numPr>
          <w:ilvl w:val="0"/>
          <w:numId w:val="1004"/>
        </w:numPr>
        <w:pStyle w:val="Compact"/>
      </w:pPr>
      <w:r>
        <w:t xml:space="preserve">Which objective, service, asset, or obligation is affected?</w:t>
      </w:r>
    </w:p>
    <w:p>
      <w:pPr>
        <w:numPr>
          <w:ilvl w:val="0"/>
          <w:numId w:val="1004"/>
        </w:numPr>
        <w:pStyle w:val="Compact"/>
      </w:pPr>
      <w:r>
        <w:t xml:space="preserve">What is the credible consequence?</w:t>
      </w:r>
    </w:p>
    <w:p>
      <w:pPr>
        <w:numPr>
          <w:ilvl w:val="0"/>
          <w:numId w:val="1004"/>
        </w:numPr>
        <w:pStyle w:val="Compact"/>
      </w:pPr>
      <w:r>
        <w:t xml:space="preserve">What evidence supports the scenario?</w:t>
      </w:r>
    </w:p>
    <w:bookmarkEnd w:id="38"/>
    <w:bookmarkStart w:id="39" w:name="risk-taxonomy"/>
    <w:p>
      <w:pPr>
        <w:pStyle w:val="Heading2"/>
      </w:pPr>
      <w:r>
        <w:t xml:space="preserve">Risk taxonomy</w:t>
      </w:r>
    </w:p>
    <w:p>
      <w:pPr>
        <w:pStyle w:val="FirstParagraph"/>
      </w:pPr>
      <w:r>
        <w:t xml:space="preserve">A taxonomy helps aggregate entries without replacing scenario-level analysis. Categories may include:</w:t>
      </w:r>
    </w:p>
    <w:p>
      <w:pPr>
        <w:numPr>
          <w:ilvl w:val="0"/>
          <w:numId w:val="1005"/>
        </w:numPr>
        <w:pStyle w:val="Compact"/>
      </w:pPr>
      <w:r>
        <w:t xml:space="preserve">Strategic</w:t>
      </w:r>
    </w:p>
    <w:p>
      <w:pPr>
        <w:numPr>
          <w:ilvl w:val="0"/>
          <w:numId w:val="1005"/>
        </w:numPr>
        <w:pStyle w:val="Compact"/>
      </w:pPr>
      <w:r>
        <w:t xml:space="preserve">Operational</w:t>
      </w:r>
    </w:p>
    <w:p>
      <w:pPr>
        <w:numPr>
          <w:ilvl w:val="0"/>
          <w:numId w:val="1005"/>
        </w:numPr>
        <w:pStyle w:val="Compact"/>
      </w:pPr>
      <w:r>
        <w:t xml:space="preserve">Cybersecurity</w:t>
      </w:r>
    </w:p>
    <w:p>
      <w:pPr>
        <w:numPr>
          <w:ilvl w:val="0"/>
          <w:numId w:val="1005"/>
        </w:numPr>
        <w:pStyle w:val="Compact"/>
      </w:pPr>
      <w:r>
        <w:t xml:space="preserve">Privacy</w:t>
      </w:r>
    </w:p>
    <w:p>
      <w:pPr>
        <w:numPr>
          <w:ilvl w:val="0"/>
          <w:numId w:val="1005"/>
        </w:numPr>
        <w:pStyle w:val="Compact"/>
      </w:pPr>
      <w:r>
        <w:t xml:space="preserve">Legal and regulatory</w:t>
      </w:r>
    </w:p>
    <w:p>
      <w:pPr>
        <w:numPr>
          <w:ilvl w:val="0"/>
          <w:numId w:val="1005"/>
        </w:numPr>
        <w:pStyle w:val="Compact"/>
      </w:pPr>
      <w:r>
        <w:t xml:space="preserve">Financial</w:t>
      </w:r>
    </w:p>
    <w:p>
      <w:pPr>
        <w:numPr>
          <w:ilvl w:val="0"/>
          <w:numId w:val="1005"/>
        </w:numPr>
        <w:pStyle w:val="Compact"/>
      </w:pPr>
      <w:r>
        <w:t xml:space="preserve">Technology</w:t>
      </w:r>
    </w:p>
    <w:p>
      <w:pPr>
        <w:numPr>
          <w:ilvl w:val="0"/>
          <w:numId w:val="1005"/>
        </w:numPr>
        <w:pStyle w:val="Compact"/>
      </w:pPr>
      <w:r>
        <w:t xml:space="preserve">Third-party and supply-chain</w:t>
      </w:r>
    </w:p>
    <w:p>
      <w:pPr>
        <w:numPr>
          <w:ilvl w:val="0"/>
          <w:numId w:val="1005"/>
        </w:numPr>
        <w:pStyle w:val="Compact"/>
      </w:pPr>
      <w:r>
        <w:t xml:space="preserve">Resilience and continuity</w:t>
      </w:r>
    </w:p>
    <w:p>
      <w:pPr>
        <w:numPr>
          <w:ilvl w:val="0"/>
          <w:numId w:val="1005"/>
        </w:numPr>
        <w:pStyle w:val="Compact"/>
      </w:pPr>
      <w:r>
        <w:t xml:space="preserve">Safety</w:t>
      </w:r>
    </w:p>
    <w:p>
      <w:pPr>
        <w:numPr>
          <w:ilvl w:val="0"/>
          <w:numId w:val="1005"/>
        </w:numPr>
        <w:pStyle w:val="Compact"/>
      </w:pPr>
      <w:r>
        <w:t xml:space="preserve">Workforce</w:t>
      </w:r>
    </w:p>
    <w:p>
      <w:pPr>
        <w:numPr>
          <w:ilvl w:val="0"/>
          <w:numId w:val="1005"/>
        </w:numPr>
        <w:pStyle w:val="Compact"/>
      </w:pPr>
      <w:r>
        <w:t xml:space="preserve">Reputation</w:t>
      </w:r>
    </w:p>
    <w:p>
      <w:pPr>
        <w:numPr>
          <w:ilvl w:val="0"/>
          <w:numId w:val="1005"/>
        </w:numPr>
        <w:pStyle w:val="Compact"/>
      </w:pPr>
      <w:r>
        <w:t xml:space="preserve">Project and change</w:t>
      </w:r>
    </w:p>
    <w:p>
      <w:pPr>
        <w:pStyle w:val="FirstParagraph"/>
      </w:pPr>
      <w:r>
        <w:t xml:space="preserve">Use primary and secondary categories when one scenario spans several domains.</w:t>
      </w:r>
    </w:p>
    <w:bookmarkEnd w:id="39"/>
    <w:bookmarkStart w:id="40" w:name="evidence-and-assumptions"/>
    <w:p>
      <w:pPr>
        <w:pStyle w:val="Heading2"/>
      </w:pPr>
      <w:r>
        <w:t xml:space="preserve">Evidence and assumptions</w:t>
      </w:r>
    </w:p>
    <w:p>
      <w:pPr>
        <w:pStyle w:val="FirstParagraph"/>
      </w:pPr>
      <w:r>
        <w:t xml:space="preserve">Every material scenario should cite evidence such as reports, tickets, assessments, contracts, test results, incident records, metrics, or expert analysis. Record assumptions separately so decision-makers can distinguish known facts from estimates.</w:t>
      </w:r>
    </w:p>
    <w:p>
      <w:pPr>
        <w:pStyle w:val="BodyText"/>
      </w:pPr>
      <w:r>
        <w:t xml:space="preserve">Examples of assumptions:</w:t>
      </w:r>
    </w:p>
    <w:p>
      <w:pPr>
        <w:numPr>
          <w:ilvl w:val="0"/>
          <w:numId w:val="1006"/>
        </w:numPr>
        <w:pStyle w:val="Compact"/>
      </w:pPr>
      <w:r>
        <w:t xml:space="preserve">A service will remain dependent on one provider for the next twelve months.</w:t>
      </w:r>
    </w:p>
    <w:p>
      <w:pPr>
        <w:numPr>
          <w:ilvl w:val="0"/>
          <w:numId w:val="1006"/>
        </w:numPr>
        <w:pStyle w:val="Compact"/>
      </w:pPr>
      <w:r>
        <w:t xml:space="preserve">A control operates as designed between quarterly tests.</w:t>
      </w:r>
    </w:p>
    <w:p>
      <w:pPr>
        <w:numPr>
          <w:ilvl w:val="0"/>
          <w:numId w:val="1006"/>
        </w:numPr>
        <w:pStyle w:val="Compact"/>
      </w:pPr>
      <w:r>
        <w:t xml:space="preserve">A threat frequency estimate is based on sector data rather than internal history.</w:t>
      </w:r>
    </w:p>
    <w:bookmarkEnd w:id="40"/>
    <w:bookmarkStart w:id="41" w:name="entry-identifiers-and-relationships"/>
    <w:p>
      <w:pPr>
        <w:pStyle w:val="Heading2"/>
      </w:pPr>
      <w:r>
        <w:t xml:space="preserve">Entry identifiers and relationships</w:t>
      </w:r>
    </w:p>
    <w:p>
      <w:pPr>
        <w:pStyle w:val="FirstParagraph"/>
      </w:pPr>
      <w:r>
        <w:t xml:space="preserve">Assign stable identifiers such as</w:t>
      </w:r>
      <w:r>
        <w:t xml:space="preserve"> </w:t>
      </w:r>
      <w:r>
        <w:rPr>
          <w:rStyle w:val="VerbatimChar"/>
        </w:rPr>
        <w:t xml:space="preserve">RR-2026-001</w:t>
      </w:r>
      <w:r>
        <w:t xml:space="preserve">. Do not recycle identifiers. Link related records, including:</w:t>
      </w:r>
    </w:p>
    <w:p>
      <w:pPr>
        <w:numPr>
          <w:ilvl w:val="0"/>
          <w:numId w:val="1007"/>
        </w:numPr>
        <w:pStyle w:val="Compact"/>
      </w:pPr>
      <w:r>
        <w:t xml:space="preserve">Controls</w:t>
      </w:r>
    </w:p>
    <w:p>
      <w:pPr>
        <w:numPr>
          <w:ilvl w:val="0"/>
          <w:numId w:val="1007"/>
        </w:numPr>
        <w:pStyle w:val="Compact"/>
      </w:pPr>
      <w:r>
        <w:t xml:space="preserve">Findings</w:t>
      </w:r>
    </w:p>
    <w:p>
      <w:pPr>
        <w:numPr>
          <w:ilvl w:val="0"/>
          <w:numId w:val="1007"/>
        </w:numPr>
        <w:pStyle w:val="Compact"/>
      </w:pPr>
      <w:r>
        <w:t xml:space="preserve">Incidents</w:t>
      </w:r>
    </w:p>
    <w:p>
      <w:pPr>
        <w:numPr>
          <w:ilvl w:val="0"/>
          <w:numId w:val="1007"/>
        </w:numPr>
        <w:pStyle w:val="Compact"/>
      </w:pPr>
      <w:r>
        <w:t xml:space="preserve">Exceptions</w:t>
      </w:r>
    </w:p>
    <w:p>
      <w:pPr>
        <w:numPr>
          <w:ilvl w:val="0"/>
          <w:numId w:val="1007"/>
        </w:numPr>
        <w:pStyle w:val="Compact"/>
      </w:pPr>
      <w:r>
        <w:t xml:space="preserve">Projects</w:t>
      </w:r>
    </w:p>
    <w:p>
      <w:pPr>
        <w:numPr>
          <w:ilvl w:val="0"/>
          <w:numId w:val="1007"/>
        </w:numPr>
        <w:pStyle w:val="Compact"/>
      </w:pPr>
      <w:r>
        <w:t xml:space="preserve">Vendors</w:t>
      </w:r>
    </w:p>
    <w:p>
      <w:pPr>
        <w:numPr>
          <w:ilvl w:val="0"/>
          <w:numId w:val="1007"/>
        </w:numPr>
        <w:pStyle w:val="Compact"/>
      </w:pPr>
      <w:r>
        <w:t xml:space="preserve">Assets</w:t>
      </w:r>
    </w:p>
    <w:p>
      <w:pPr>
        <w:numPr>
          <w:ilvl w:val="0"/>
          <w:numId w:val="1007"/>
        </w:numPr>
        <w:pStyle w:val="Compact"/>
      </w:pPr>
      <w:r>
        <w:t xml:space="preserve">Policies</w:t>
      </w:r>
    </w:p>
    <w:p>
      <w:pPr>
        <w:numPr>
          <w:ilvl w:val="0"/>
          <w:numId w:val="1007"/>
        </w:numPr>
        <w:pStyle w:val="Compact"/>
      </w:pPr>
      <w:r>
        <w:t xml:space="preserve">Treatment actions</w:t>
      </w:r>
    </w:p>
    <w:p>
      <w:pPr>
        <w:numPr>
          <w:ilvl w:val="0"/>
          <w:numId w:val="1007"/>
        </w:numPr>
        <w:pStyle w:val="Compact"/>
      </w:pPr>
      <w:r>
        <w:t xml:space="preserve">Accepted-risk decisions</w:t>
      </w:r>
    </w:p>
    <w:bookmarkEnd w:id="41"/>
    <w:bookmarkStart w:id="42" w:name="identification-workshop-method"/>
    <w:p>
      <w:pPr>
        <w:pStyle w:val="Heading2"/>
      </w:pPr>
      <w:r>
        <w:t xml:space="preserve">Identification workshop method</w:t>
      </w:r>
    </w:p>
    <w:p>
      <w:pPr>
        <w:numPr>
          <w:ilvl w:val="0"/>
          <w:numId w:val="1008"/>
        </w:numPr>
        <w:pStyle w:val="Compact"/>
      </w:pPr>
      <w:r>
        <w:t xml:space="preserve">Define the objective and scope.</w:t>
      </w:r>
    </w:p>
    <w:p>
      <w:pPr>
        <w:numPr>
          <w:ilvl w:val="0"/>
          <w:numId w:val="1008"/>
        </w:numPr>
        <w:pStyle w:val="Compact"/>
      </w:pPr>
      <w:r>
        <w:t xml:space="preserve">Present current evidence and known constraints.</w:t>
      </w:r>
    </w:p>
    <w:p>
      <w:pPr>
        <w:numPr>
          <w:ilvl w:val="0"/>
          <w:numId w:val="1008"/>
        </w:numPr>
        <w:pStyle w:val="Compact"/>
      </w:pPr>
      <w:r>
        <w:t xml:space="preserve">Identify causes, events, and consequences.</w:t>
      </w:r>
    </w:p>
    <w:p>
      <w:pPr>
        <w:numPr>
          <w:ilvl w:val="0"/>
          <w:numId w:val="1008"/>
        </w:numPr>
        <w:pStyle w:val="Compact"/>
      </w:pPr>
      <w:r>
        <w:t xml:space="preserve">Consolidate duplicates without losing distinct causes or impacts.</w:t>
      </w:r>
    </w:p>
    <w:p>
      <w:pPr>
        <w:numPr>
          <w:ilvl w:val="0"/>
          <w:numId w:val="1008"/>
        </w:numPr>
        <w:pStyle w:val="Compact"/>
      </w:pPr>
      <w:r>
        <w:t xml:space="preserve">Assign provisional owners.</w:t>
      </w:r>
    </w:p>
    <w:p>
      <w:pPr>
        <w:numPr>
          <w:ilvl w:val="0"/>
          <w:numId w:val="1008"/>
        </w:numPr>
        <w:pStyle w:val="Compact"/>
      </w:pPr>
      <w:r>
        <w:t xml:space="preserve">Document assumptions and evidence gaps.</w:t>
      </w:r>
    </w:p>
    <w:p>
      <w:pPr>
        <w:numPr>
          <w:ilvl w:val="0"/>
          <w:numId w:val="1008"/>
        </w:numPr>
        <w:pStyle w:val="Compact"/>
      </w:pPr>
      <w:r>
        <w:t xml:space="preserve">Send entries for validation before scoring.</w:t>
      </w:r>
    </w:p>
    <w:p>
      <w:pPr>
        <w:pStyle w:val="FirstParagraph"/>
      </w:pPr>
      <w:r>
        <w:t xml:space="preserve">A workshop should not force consensus by averaging incompatible views. Material disagreement should be recorded and escalated for decision.</w:t>
      </w:r>
    </w:p>
    <w:bookmarkEnd w:id="42"/>
    <w:bookmarkEnd w:id="43"/>
    <w:bookmarkStart w:id="53" w:name="risk-analysis-and-scoring"/>
    <w:p>
      <w:pPr>
        <w:pStyle w:val="Heading1"/>
      </w:pPr>
      <w:r>
        <w:t xml:space="preserve">3. Risk Analysis and Scoring</w:t>
      </w:r>
    </w:p>
    <w:bookmarkStart w:id="44" w:name="define-the-method-before-scoring"/>
    <w:p>
      <w:pPr>
        <w:pStyle w:val="Heading2"/>
      </w:pPr>
      <w:r>
        <w:t xml:space="preserve">Define the method before scoring</w:t>
      </w:r>
    </w:p>
    <w:p>
      <w:pPr>
        <w:pStyle w:val="FirstParagraph"/>
      </w:pPr>
      <w:r>
        <w:t xml:space="preserve">Organizations must document their likelihood, impact, and risk-level criteria before assessing individual entries. A scoring model supports prioritization but does not replace professional judgment or governance decisions.</w:t>
      </w:r>
    </w:p>
    <w:bookmarkEnd w:id="44"/>
    <w:bookmarkStart w:id="45" w:name="likelihood-scale"/>
    <w:p>
      <w:pPr>
        <w:pStyle w:val="Heading2"/>
      </w:pPr>
      <w:r>
        <w:t xml:space="preserve">Likelihood scale</w:t>
      </w:r>
    </w:p>
    <w:p>
      <w:pPr>
        <w:pStyle w:val="FirstParagraph"/>
      </w:pPr>
      <w:r>
        <w:t xml:space="preserve">A practical five-level scale may use frequency, probability, or qualitative evidence.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Rating</w:t>
            </w:r>
          </w:p>
        </w:tc>
        <w:tc>
          <w:tcPr/>
          <w:p>
            <w:pPr>
              <w:pStyle w:val="Compact"/>
              <w:jc w:val="left"/>
            </w:pPr>
            <w:r>
              <w:t xml:space="preserve">Label</w:t>
            </w:r>
          </w:p>
        </w:tc>
        <w:tc>
          <w:tcPr/>
          <w:p>
            <w:pPr>
              <w:pStyle w:val="Compact"/>
              <w:jc w:val="left"/>
            </w:pPr>
            <w:r>
              <w:t xml:space="preserve">Example interpretation</w:t>
            </w:r>
          </w:p>
        </w:tc>
      </w:tr>
      <w:tr>
        <w:tc>
          <w:tcPr/>
          <w:p>
            <w:pPr>
              <w:pStyle w:val="Compact"/>
              <w:jc w:val="left"/>
            </w:pPr>
            <w:r>
              <w:t xml:space="preserve">1</w:t>
            </w:r>
          </w:p>
        </w:tc>
        <w:tc>
          <w:tcPr/>
          <w:p>
            <w:pPr>
              <w:pStyle w:val="Compact"/>
              <w:jc w:val="left"/>
            </w:pPr>
            <w:r>
              <w:t xml:space="preserve">Rare</w:t>
            </w:r>
          </w:p>
        </w:tc>
        <w:tc>
          <w:tcPr/>
          <w:p>
            <w:pPr>
              <w:pStyle w:val="Compact"/>
              <w:jc w:val="left"/>
            </w:pPr>
            <w:r>
              <w:t xml:space="preserve">Exceptional circumstances; little supporting evidence</w:t>
            </w:r>
          </w:p>
        </w:tc>
      </w:tr>
      <w:tr>
        <w:tc>
          <w:tcPr/>
          <w:p>
            <w:pPr>
              <w:pStyle w:val="Compact"/>
              <w:jc w:val="left"/>
            </w:pPr>
            <w:r>
              <w:t xml:space="preserve">2</w:t>
            </w:r>
          </w:p>
        </w:tc>
        <w:tc>
          <w:tcPr/>
          <w:p>
            <w:pPr>
              <w:pStyle w:val="Compact"/>
              <w:jc w:val="left"/>
            </w:pPr>
            <w:r>
              <w:t xml:space="preserve">Unlikely</w:t>
            </w:r>
          </w:p>
        </w:tc>
        <w:tc>
          <w:tcPr/>
          <w:p>
            <w:pPr>
              <w:pStyle w:val="Compact"/>
              <w:jc w:val="left"/>
            </w:pPr>
            <w:r>
              <w:t xml:space="preserve">Could occur but is not expected under normal conditions</w:t>
            </w:r>
          </w:p>
        </w:tc>
      </w:tr>
      <w:tr>
        <w:tc>
          <w:tcPr/>
          <w:p>
            <w:pPr>
              <w:pStyle w:val="Compact"/>
              <w:jc w:val="left"/>
            </w:pPr>
            <w:r>
              <w:t xml:space="preserve">3</w:t>
            </w:r>
          </w:p>
        </w:tc>
        <w:tc>
          <w:tcPr/>
          <w:p>
            <w:pPr>
              <w:pStyle w:val="Compact"/>
              <w:jc w:val="left"/>
            </w:pPr>
            <w:r>
              <w:t xml:space="preserve">Possible</w:t>
            </w:r>
          </w:p>
        </w:tc>
        <w:tc>
          <w:tcPr/>
          <w:p>
            <w:pPr>
              <w:pStyle w:val="Compact"/>
              <w:jc w:val="left"/>
            </w:pPr>
            <w:r>
              <w:t xml:space="preserve">Credible and may occur during the assessment period</w:t>
            </w:r>
          </w:p>
        </w:tc>
      </w:tr>
      <w:tr>
        <w:tc>
          <w:tcPr/>
          <w:p>
            <w:pPr>
              <w:pStyle w:val="Compact"/>
              <w:jc w:val="left"/>
            </w:pPr>
            <w:r>
              <w:t xml:space="preserve">4</w:t>
            </w:r>
          </w:p>
        </w:tc>
        <w:tc>
          <w:tcPr/>
          <w:p>
            <w:pPr>
              <w:pStyle w:val="Compact"/>
              <w:jc w:val="left"/>
            </w:pPr>
            <w:r>
              <w:t xml:space="preserve">Likely</w:t>
            </w:r>
          </w:p>
        </w:tc>
        <w:tc>
          <w:tcPr/>
          <w:p>
            <w:pPr>
              <w:pStyle w:val="Compact"/>
              <w:jc w:val="left"/>
            </w:pPr>
            <w:r>
              <w:t xml:space="preserve">Expected to occur or has occurred repeatedly</w:t>
            </w:r>
          </w:p>
        </w:tc>
      </w:tr>
      <w:tr>
        <w:tc>
          <w:tcPr/>
          <w:p>
            <w:pPr>
              <w:pStyle w:val="Compact"/>
              <w:jc w:val="left"/>
            </w:pPr>
            <w:r>
              <w:t xml:space="preserve">5</w:t>
            </w:r>
          </w:p>
        </w:tc>
        <w:tc>
          <w:tcPr/>
          <w:p>
            <w:pPr>
              <w:pStyle w:val="Compact"/>
              <w:jc w:val="left"/>
            </w:pPr>
            <w:r>
              <w:t xml:space="preserve">Almost certain</w:t>
            </w:r>
          </w:p>
        </w:tc>
        <w:tc>
          <w:tcPr/>
          <w:p>
            <w:pPr>
              <w:pStyle w:val="Compact"/>
              <w:jc w:val="left"/>
            </w:pPr>
            <w:r>
              <w:t xml:space="preserve">Expected frequently or already occurring</w:t>
            </w:r>
          </w:p>
        </w:tc>
      </w:tr>
    </w:tbl>
    <w:p>
      <w:pPr>
        <w:pStyle w:val="BodyText"/>
      </w:pPr>
      <w:r>
        <w:t xml:space="preserve">The organization should define the assessment period and measurable thresholds where data permits.</w:t>
      </w:r>
    </w:p>
    <w:bookmarkEnd w:id="45"/>
    <w:bookmarkStart w:id="46" w:name="impact-scale"/>
    <w:p>
      <w:pPr>
        <w:pStyle w:val="Heading2"/>
      </w:pPr>
      <w:r>
        <w:t xml:space="preserve">Impact scale</w:t>
      </w:r>
    </w:p>
    <w:p>
      <w:pPr>
        <w:pStyle w:val="FirstParagraph"/>
      </w:pPr>
      <w:r>
        <w:t xml:space="preserve">Assess impact across relevant dimensions, then apply the documented aggregation rule.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Rating</w:t>
            </w:r>
          </w:p>
        </w:tc>
        <w:tc>
          <w:tcPr/>
          <w:p>
            <w:pPr>
              <w:pStyle w:val="Compact"/>
              <w:jc w:val="left"/>
            </w:pPr>
            <w:r>
              <w:t xml:space="preserve">Label</w:t>
            </w:r>
          </w:p>
        </w:tc>
        <w:tc>
          <w:tcPr/>
          <w:p>
            <w:pPr>
              <w:pStyle w:val="Compact"/>
              <w:jc w:val="left"/>
            </w:pPr>
            <w:r>
              <w:t xml:space="preserve">General interpretation</w:t>
            </w:r>
          </w:p>
        </w:tc>
      </w:tr>
      <w:tr>
        <w:tc>
          <w:tcPr/>
          <w:p>
            <w:pPr>
              <w:pStyle w:val="Compact"/>
              <w:jc w:val="left"/>
            </w:pPr>
            <w:r>
              <w:t xml:space="preserve">1</w:t>
            </w:r>
          </w:p>
        </w:tc>
        <w:tc>
          <w:tcPr/>
          <w:p>
            <w:pPr>
              <w:pStyle w:val="Compact"/>
              <w:jc w:val="left"/>
            </w:pPr>
            <w:r>
              <w:t xml:space="preserve">Insignificant</w:t>
            </w:r>
          </w:p>
        </w:tc>
        <w:tc>
          <w:tcPr/>
          <w:p>
            <w:pPr>
              <w:pStyle w:val="Compact"/>
              <w:jc w:val="left"/>
            </w:pPr>
            <w:r>
              <w:t xml:space="preserve">Minimal disruption or loss; routine handling</w:t>
            </w:r>
          </w:p>
        </w:tc>
      </w:tr>
      <w:tr>
        <w:tc>
          <w:tcPr/>
          <w:p>
            <w:pPr>
              <w:pStyle w:val="Compact"/>
              <w:jc w:val="left"/>
            </w:pPr>
            <w:r>
              <w:t xml:space="preserve">2</w:t>
            </w:r>
          </w:p>
        </w:tc>
        <w:tc>
          <w:tcPr/>
          <w:p>
            <w:pPr>
              <w:pStyle w:val="Compact"/>
              <w:jc w:val="left"/>
            </w:pPr>
            <w:r>
              <w:t xml:space="preserve">Minor</w:t>
            </w:r>
          </w:p>
        </w:tc>
        <w:tc>
          <w:tcPr/>
          <w:p>
            <w:pPr>
              <w:pStyle w:val="Compact"/>
              <w:jc w:val="left"/>
            </w:pPr>
            <w:r>
              <w:t xml:space="preserve">Limited impact; manageable within normal operations</w:t>
            </w:r>
          </w:p>
        </w:tc>
      </w:tr>
      <w:tr>
        <w:tc>
          <w:tcPr/>
          <w:p>
            <w:pPr>
              <w:pStyle w:val="Compact"/>
              <w:jc w:val="left"/>
            </w:pPr>
            <w:r>
              <w:t xml:space="preserve">3</w:t>
            </w:r>
          </w:p>
        </w:tc>
        <w:tc>
          <w:tcPr/>
          <w:p>
            <w:pPr>
              <w:pStyle w:val="Compact"/>
              <w:jc w:val="left"/>
            </w:pPr>
            <w:r>
              <w:t xml:space="preserve">Moderate</w:t>
            </w:r>
          </w:p>
        </w:tc>
        <w:tc>
          <w:tcPr/>
          <w:p>
            <w:pPr>
              <w:pStyle w:val="Compact"/>
              <w:jc w:val="left"/>
            </w:pPr>
            <w:r>
              <w:t xml:space="preserve">Material disruption, cost, or compliance concern requiring management attention</w:t>
            </w:r>
          </w:p>
        </w:tc>
      </w:tr>
      <w:tr>
        <w:tc>
          <w:tcPr/>
          <w:p>
            <w:pPr>
              <w:pStyle w:val="Compact"/>
              <w:jc w:val="left"/>
            </w:pPr>
            <w:r>
              <w:t xml:space="preserve">4</w:t>
            </w:r>
          </w:p>
        </w:tc>
        <w:tc>
          <w:tcPr/>
          <w:p>
            <w:pPr>
              <w:pStyle w:val="Compact"/>
              <w:jc w:val="left"/>
            </w:pPr>
            <w:r>
              <w:t xml:space="preserve">Major</w:t>
            </w:r>
          </w:p>
        </w:tc>
        <w:tc>
          <w:tcPr/>
          <w:p>
            <w:pPr>
              <w:pStyle w:val="Compact"/>
              <w:jc w:val="left"/>
            </w:pPr>
            <w:r>
              <w:t xml:space="preserve">Serious harm to objectives, customers, operations, finances, or obligations</w:t>
            </w:r>
          </w:p>
        </w:tc>
      </w:tr>
      <w:tr>
        <w:tc>
          <w:tcPr/>
          <w:p>
            <w:pPr>
              <w:pStyle w:val="Compact"/>
              <w:jc w:val="left"/>
            </w:pPr>
            <w:r>
              <w:t xml:space="preserve">5</w:t>
            </w:r>
          </w:p>
        </w:tc>
        <w:tc>
          <w:tcPr/>
          <w:p>
            <w:pPr>
              <w:pStyle w:val="Compact"/>
              <w:jc w:val="left"/>
            </w:pPr>
            <w:r>
              <w:t xml:space="preserve">Severe</w:t>
            </w:r>
          </w:p>
        </w:tc>
        <w:tc>
          <w:tcPr/>
          <w:p>
            <w:pPr>
              <w:pStyle w:val="Compact"/>
              <w:jc w:val="left"/>
            </w:pPr>
            <w:r>
              <w:t xml:space="preserve">Enterprise-threatening, life-safety, systemic, or catastrophic consequence</w:t>
            </w:r>
          </w:p>
        </w:tc>
      </w:tr>
    </w:tbl>
    <w:p>
      <w:pPr>
        <w:pStyle w:val="BodyText"/>
      </w:pPr>
      <w:r>
        <w:t xml:space="preserve">Common impact dimensions include financial, operational, legal and regulatory, privacy, safety, customer, strategic, and reputational impact.</w:t>
      </w:r>
    </w:p>
    <w:bookmarkEnd w:id="46"/>
    <w:bookmarkStart w:id="47" w:name="composite-scores"/>
    <w:p>
      <w:pPr>
        <w:pStyle w:val="Heading2"/>
      </w:pPr>
      <w:r>
        <w:t xml:space="preserve">Composite scores</w:t>
      </w:r>
    </w:p>
    <w:p>
      <w:pPr>
        <w:pStyle w:val="FirstParagraph"/>
      </w:pPr>
      <w:r>
        <w:t xml:space="preserve">A simple matrix may calculate:</w:t>
      </w:r>
    </w:p>
    <w:p>
      <w:pPr>
        <w:pStyle w:val="BodyText"/>
      </w:pPr>
      <w:r>
        <w:rPr>
          <w:rStyle w:val="VerbatimChar"/>
        </w:rPr>
        <w:t xml:space="preserve">Risk score = Likelihood × Impact</w:t>
      </w:r>
    </w:p>
    <w:p>
      <w:pPr>
        <w:pStyle w:val="BodyText"/>
      </w:pPr>
      <w:r>
        <w:t xml:space="preserve">Example bands:</w:t>
      </w:r>
    </w:p>
    <w:p>
      <w:pPr>
        <w:numPr>
          <w:ilvl w:val="0"/>
          <w:numId w:val="1009"/>
        </w:numPr>
        <w:pStyle w:val="Compact"/>
      </w:pPr>
      <w:r>
        <w:t xml:space="preserve">1–4: Low</w:t>
      </w:r>
    </w:p>
    <w:p>
      <w:pPr>
        <w:numPr>
          <w:ilvl w:val="0"/>
          <w:numId w:val="1009"/>
        </w:numPr>
        <w:pStyle w:val="Compact"/>
      </w:pPr>
      <w:r>
        <w:t xml:space="preserve">5–9: Moderate</w:t>
      </w:r>
    </w:p>
    <w:p>
      <w:pPr>
        <w:numPr>
          <w:ilvl w:val="0"/>
          <w:numId w:val="1009"/>
        </w:numPr>
        <w:pStyle w:val="Compact"/>
      </w:pPr>
      <w:r>
        <w:t xml:space="preserve">10–16: High</w:t>
      </w:r>
    </w:p>
    <w:p>
      <w:pPr>
        <w:numPr>
          <w:ilvl w:val="0"/>
          <w:numId w:val="1009"/>
        </w:numPr>
        <w:pStyle w:val="Compact"/>
      </w:pPr>
      <w:r>
        <w:t xml:space="preserve">17–25: Critical</w:t>
      </w:r>
    </w:p>
    <w:p>
      <w:pPr>
        <w:pStyle w:val="FirstParagraph"/>
      </w:pPr>
      <w:r>
        <w:t xml:space="preserve">These bands are illustrative. The organization must approve its own thresholds and escalation rules.</w:t>
      </w:r>
    </w:p>
    <w:bookmarkEnd w:id="47"/>
    <w:bookmarkStart w:id="48" w:name="important-limitations"/>
    <w:p>
      <w:pPr>
        <w:pStyle w:val="Heading2"/>
      </w:pPr>
      <w:r>
        <w:t xml:space="preserve">Important limitations</w:t>
      </w:r>
    </w:p>
    <w:p>
      <w:pPr>
        <w:pStyle w:val="FirstParagraph"/>
      </w:pPr>
      <w:r>
        <w:t xml:space="preserve">Multiplication can create false precision. A score of 12 may represent likelihood 3 and impact 4 or likelihood 4 and impact 3, even though the governance implications may differ. Preserve the underlying ratings and rationale.</w:t>
      </w:r>
    </w:p>
    <w:p>
      <w:pPr>
        <w:pStyle w:val="BodyText"/>
      </w:pPr>
      <w:r>
        <w:t xml:space="preserve">Do not allow a low likelihood to conceal an intolerable severe impact. Define override rules for life safety, legal prohibitions, systemic concentration, critical-service failure, or other non-negotiable consequences.</w:t>
      </w:r>
    </w:p>
    <w:bookmarkEnd w:id="48"/>
    <w:bookmarkStart w:id="49" w:name="control-assessment"/>
    <w:p>
      <w:pPr>
        <w:pStyle w:val="Heading2"/>
      </w:pPr>
      <w:r>
        <w:t xml:space="preserve">Control assessment</w:t>
      </w:r>
    </w:p>
    <w:p>
      <w:pPr>
        <w:pStyle w:val="FirstParagraph"/>
      </w:pPr>
      <w:r>
        <w:t xml:space="preserve">Evaluate control design and operating effectiveness separately.</w:t>
      </w:r>
    </w:p>
    <w:p>
      <w:pPr>
        <w:numPr>
          <w:ilvl w:val="0"/>
          <w:numId w:val="1010"/>
        </w:numPr>
        <w:pStyle w:val="Compact"/>
      </w:pPr>
      <w:r>
        <w:rPr>
          <w:bCs/>
          <w:b/>
        </w:rPr>
        <w:t xml:space="preserve">Design effectiveness:</w:t>
      </w:r>
      <w:r>
        <w:t xml:space="preserve"> </w:t>
      </w:r>
      <w:r>
        <w:t xml:space="preserve">Would the control, if operating as intended, materially modify the risk?</w:t>
      </w:r>
    </w:p>
    <w:p>
      <w:pPr>
        <w:numPr>
          <w:ilvl w:val="0"/>
          <w:numId w:val="1010"/>
        </w:numPr>
        <w:pStyle w:val="Compact"/>
      </w:pPr>
      <w:r>
        <w:rPr>
          <w:bCs/>
          <w:b/>
        </w:rPr>
        <w:t xml:space="preserve">Operating effectiveness:</w:t>
      </w:r>
      <w:r>
        <w:t xml:space="preserve"> </w:t>
      </w:r>
      <w:r>
        <w:t xml:space="preserve">Is the control implemented consistently and supported by current evidence?</w:t>
      </w:r>
    </w:p>
    <w:p>
      <w:pPr>
        <w:pStyle w:val="FirstParagraph"/>
      </w:pPr>
      <w:r>
        <w:t xml:space="preserve">Use evidence dates, test results, exceptions, coverage, and confidence levels. Do not treat the existence of a policy as proof that a control operates effectively.</w:t>
      </w:r>
    </w:p>
    <w:bookmarkEnd w:id="49"/>
    <w:bookmarkStart w:id="50" w:name="residual-risk-1"/>
    <w:p>
      <w:pPr>
        <w:pStyle w:val="Heading2"/>
      </w:pPr>
      <w:r>
        <w:t xml:space="preserve">Residual risk</w:t>
      </w:r>
    </w:p>
    <w:p>
      <w:pPr>
        <w:pStyle w:val="FirstParagraph"/>
      </w:pPr>
      <w:r>
        <w:t xml:space="preserve">Residual risk should reflect the assessed effectiveness of current controls. Record:</w:t>
      </w:r>
    </w:p>
    <w:p>
      <w:pPr>
        <w:numPr>
          <w:ilvl w:val="0"/>
          <w:numId w:val="1011"/>
        </w:numPr>
        <w:pStyle w:val="Compact"/>
      </w:pPr>
      <w:r>
        <w:t xml:space="preserve">Residual likelihood</w:t>
      </w:r>
    </w:p>
    <w:p>
      <w:pPr>
        <w:numPr>
          <w:ilvl w:val="0"/>
          <w:numId w:val="1011"/>
        </w:numPr>
        <w:pStyle w:val="Compact"/>
      </w:pPr>
      <w:r>
        <w:t xml:space="preserve">Residual impact</w:t>
      </w:r>
    </w:p>
    <w:p>
      <w:pPr>
        <w:numPr>
          <w:ilvl w:val="0"/>
          <w:numId w:val="1011"/>
        </w:numPr>
        <w:pStyle w:val="Compact"/>
      </w:pPr>
      <w:r>
        <w:t xml:space="preserve">Residual score or level</w:t>
      </w:r>
    </w:p>
    <w:p>
      <w:pPr>
        <w:numPr>
          <w:ilvl w:val="0"/>
          <w:numId w:val="1011"/>
        </w:numPr>
        <w:pStyle w:val="Compact"/>
      </w:pPr>
      <w:r>
        <w:t xml:space="preserve">Confidence in the estimate</w:t>
      </w:r>
    </w:p>
    <w:p>
      <w:pPr>
        <w:numPr>
          <w:ilvl w:val="0"/>
          <w:numId w:val="1011"/>
        </w:numPr>
        <w:pStyle w:val="Compact"/>
      </w:pPr>
      <w:r>
        <w:t xml:space="preserve">Key assumptions</w:t>
      </w:r>
    </w:p>
    <w:p>
      <w:pPr>
        <w:numPr>
          <w:ilvl w:val="0"/>
          <w:numId w:val="1011"/>
        </w:numPr>
        <w:pStyle w:val="Compact"/>
      </w:pPr>
      <w:r>
        <w:t xml:space="preserve">Evidence date</w:t>
      </w:r>
    </w:p>
    <w:p>
      <w:pPr>
        <w:numPr>
          <w:ilvl w:val="0"/>
          <w:numId w:val="1011"/>
        </w:numPr>
        <w:pStyle w:val="Compact"/>
      </w:pPr>
      <w:r>
        <w:t xml:space="preserve">Known control deficiencies</w:t>
      </w:r>
    </w:p>
    <w:bookmarkEnd w:id="50"/>
    <w:bookmarkStart w:id="51" w:name="confidence-and-uncertainty"/>
    <w:p>
      <w:pPr>
        <w:pStyle w:val="Heading2"/>
      </w:pPr>
      <w:r>
        <w:t xml:space="preserve">Confidence and uncertainty</w:t>
      </w:r>
    </w:p>
    <w:p>
      <w:pPr>
        <w:pStyle w:val="FirstParagraph"/>
      </w:pPr>
      <w:r>
        <w:t xml:space="preserve">Add a confidence field such as high, medium, or low. Low-confidence high-impact risks often require additional analysis rather than a lower priority.</w:t>
      </w:r>
    </w:p>
    <w:bookmarkEnd w:id="51"/>
    <w:bookmarkStart w:id="52" w:name="quality-review-questions"/>
    <w:p>
      <w:pPr>
        <w:pStyle w:val="Heading2"/>
      </w:pPr>
      <w:r>
        <w:t xml:space="preserve">Quality review questions</w:t>
      </w:r>
    </w:p>
    <w:p>
      <w:pPr>
        <w:numPr>
          <w:ilvl w:val="0"/>
          <w:numId w:val="1012"/>
        </w:numPr>
        <w:pStyle w:val="Compact"/>
      </w:pPr>
      <w:r>
        <w:t xml:space="preserve">Are the scales defined and consistently applied?</w:t>
      </w:r>
    </w:p>
    <w:p>
      <w:pPr>
        <w:numPr>
          <w:ilvl w:val="0"/>
          <w:numId w:val="1012"/>
        </w:numPr>
        <w:pStyle w:val="Compact"/>
      </w:pPr>
      <w:r>
        <w:t xml:space="preserve">Is the assessment period clear?</w:t>
      </w:r>
    </w:p>
    <w:p>
      <w:pPr>
        <w:numPr>
          <w:ilvl w:val="0"/>
          <w:numId w:val="1012"/>
        </w:numPr>
        <w:pStyle w:val="Compact"/>
      </w:pPr>
      <w:r>
        <w:t xml:space="preserve">Does evidence support the ratings?</w:t>
      </w:r>
    </w:p>
    <w:p>
      <w:pPr>
        <w:numPr>
          <w:ilvl w:val="0"/>
          <w:numId w:val="1012"/>
        </w:numPr>
        <w:pStyle w:val="Compact"/>
      </w:pPr>
      <w:r>
        <w:t xml:space="preserve">Were multiple impact dimensions considered?</w:t>
      </w:r>
    </w:p>
    <w:p>
      <w:pPr>
        <w:numPr>
          <w:ilvl w:val="0"/>
          <w:numId w:val="1012"/>
        </w:numPr>
        <w:pStyle w:val="Compact"/>
      </w:pPr>
      <w:r>
        <w:t xml:space="preserve">Were control design and operation evaluated separately?</w:t>
      </w:r>
    </w:p>
    <w:p>
      <w:pPr>
        <w:numPr>
          <w:ilvl w:val="0"/>
          <w:numId w:val="1012"/>
        </w:numPr>
        <w:pStyle w:val="Compact"/>
      </w:pPr>
      <w:r>
        <w:t xml:space="preserve">Are uncertainty and disagreement visible?</w:t>
      </w:r>
    </w:p>
    <w:p>
      <w:pPr>
        <w:numPr>
          <w:ilvl w:val="0"/>
          <w:numId w:val="1012"/>
        </w:numPr>
        <w:pStyle w:val="Compact"/>
      </w:pPr>
      <w:r>
        <w:t xml:space="preserve">Does the result align with appetite and tolerance?</w:t>
      </w:r>
    </w:p>
    <w:bookmarkEnd w:id="52"/>
    <w:bookmarkEnd w:id="53"/>
    <w:bookmarkStart w:id="61" w:name="risk-response-treatment-and-acceptance"/>
    <w:p>
      <w:pPr>
        <w:pStyle w:val="Heading1"/>
      </w:pPr>
      <w:r>
        <w:t xml:space="preserve">4. Risk Response, Treatment, and Acceptance</w:t>
      </w:r>
    </w:p>
    <w:bookmarkStart w:id="54" w:name="select-a-response"/>
    <w:p>
      <w:pPr>
        <w:pStyle w:val="Heading2"/>
      </w:pPr>
      <w:r>
        <w:t xml:space="preserve">Select a response</w:t>
      </w:r>
    </w:p>
    <w:p>
      <w:pPr>
        <w:pStyle w:val="FirstParagraph"/>
      </w:pPr>
      <w:r>
        <w:t xml:space="preserve">Common responses include:</w:t>
      </w:r>
    </w:p>
    <w:p>
      <w:pPr>
        <w:numPr>
          <w:ilvl w:val="0"/>
          <w:numId w:val="1013"/>
        </w:numPr>
        <w:pStyle w:val="Compact"/>
      </w:pPr>
      <w:r>
        <w:rPr>
          <w:bCs/>
          <w:b/>
        </w:rPr>
        <w:t xml:space="preserve">Avoid:</w:t>
      </w:r>
      <w:r>
        <w:t xml:space="preserve"> </w:t>
      </w:r>
      <w:r>
        <w:t xml:space="preserve">Stop, redesign, or decline the activity creating the exposure.</w:t>
      </w:r>
    </w:p>
    <w:p>
      <w:pPr>
        <w:numPr>
          <w:ilvl w:val="0"/>
          <w:numId w:val="1013"/>
        </w:numPr>
        <w:pStyle w:val="Compact"/>
      </w:pPr>
      <w:r>
        <w:rPr>
          <w:bCs/>
          <w:b/>
        </w:rPr>
        <w:t xml:space="preserve">Mitigate:</w:t>
      </w:r>
      <w:r>
        <w:t xml:space="preserve"> </w:t>
      </w:r>
      <w:r>
        <w:t xml:space="preserve">Reduce likelihood, impact, or both through controls or process changes.</w:t>
      </w:r>
    </w:p>
    <w:p>
      <w:pPr>
        <w:numPr>
          <w:ilvl w:val="0"/>
          <w:numId w:val="1013"/>
        </w:numPr>
        <w:pStyle w:val="Compact"/>
      </w:pPr>
      <w:r>
        <w:rPr>
          <w:bCs/>
          <w:b/>
        </w:rPr>
        <w:t xml:space="preserve">Transfer or share:</w:t>
      </w:r>
      <w:r>
        <w:t xml:space="preserve"> </w:t>
      </w:r>
      <w:r>
        <w:t xml:space="preserve">Allocate defined consequences to another party through insurance, contract, partnership, or another mechanism. Accountability generally cannot be transferred completely.</w:t>
      </w:r>
    </w:p>
    <w:p>
      <w:pPr>
        <w:numPr>
          <w:ilvl w:val="0"/>
          <w:numId w:val="1013"/>
        </w:numPr>
        <w:pStyle w:val="Compact"/>
      </w:pPr>
      <w:r>
        <w:rPr>
          <w:bCs/>
          <w:b/>
        </w:rPr>
        <w:t xml:space="preserve">Accept:</w:t>
      </w:r>
      <w:r>
        <w:t xml:space="preserve"> </w:t>
      </w:r>
      <w:r>
        <w:t xml:space="preserve">Retain the residual exposure through an authorized, time-bound decision.</w:t>
      </w:r>
    </w:p>
    <w:p>
      <w:pPr>
        <w:numPr>
          <w:ilvl w:val="0"/>
          <w:numId w:val="1013"/>
        </w:numPr>
        <w:pStyle w:val="Compact"/>
      </w:pPr>
      <w:r>
        <w:rPr>
          <w:bCs/>
          <w:b/>
        </w:rPr>
        <w:t xml:space="preserve">Pursue or enhance:</w:t>
      </w:r>
      <w:r>
        <w:t xml:space="preserve"> </w:t>
      </w:r>
      <w:r>
        <w:t xml:space="preserve">For opportunity-related risk, take action to increase the likelihood or benefit while controlling downside exposure.</w:t>
      </w:r>
    </w:p>
    <w:p>
      <w:pPr>
        <w:pStyle w:val="FirstParagraph"/>
      </w:pPr>
      <w:r>
        <w:t xml:space="preserve">The selected response must be consistent with appetite, tolerance, legal obligations, contracts, ethics, and organizational authority.</w:t>
      </w:r>
    </w:p>
    <w:bookmarkEnd w:id="54"/>
    <w:bookmarkStart w:id="55" w:name="treatment-plan-requirements"/>
    <w:p>
      <w:pPr>
        <w:pStyle w:val="Heading2"/>
      </w:pPr>
      <w:r>
        <w:t xml:space="preserve">Treatment plan requirements</w:t>
      </w:r>
    </w:p>
    <w:p>
      <w:pPr>
        <w:pStyle w:val="FirstParagraph"/>
      </w:pPr>
      <w:r>
        <w:t xml:space="preserve">A treatment plan should identify:</w:t>
      </w:r>
    </w:p>
    <w:p>
      <w:pPr>
        <w:numPr>
          <w:ilvl w:val="0"/>
          <w:numId w:val="1014"/>
        </w:numPr>
        <w:pStyle w:val="Compact"/>
      </w:pPr>
      <w:r>
        <w:t xml:space="preserve">The selected response and rationale</w:t>
      </w:r>
    </w:p>
    <w:p>
      <w:pPr>
        <w:numPr>
          <w:ilvl w:val="0"/>
          <w:numId w:val="1014"/>
        </w:numPr>
        <w:pStyle w:val="Compact"/>
      </w:pPr>
      <w:r>
        <w:t xml:space="preserve">Desired target risk</w:t>
      </w:r>
    </w:p>
    <w:p>
      <w:pPr>
        <w:numPr>
          <w:ilvl w:val="0"/>
          <w:numId w:val="1014"/>
        </w:numPr>
        <w:pStyle w:val="Compact"/>
      </w:pPr>
      <w:r>
        <w:t xml:space="preserve">Specific actions and deliverables</w:t>
      </w:r>
    </w:p>
    <w:p>
      <w:pPr>
        <w:numPr>
          <w:ilvl w:val="0"/>
          <w:numId w:val="1014"/>
        </w:numPr>
        <w:pStyle w:val="Compact"/>
      </w:pPr>
      <w:r>
        <w:t xml:space="preserve">Action owners</w:t>
      </w:r>
    </w:p>
    <w:p>
      <w:pPr>
        <w:numPr>
          <w:ilvl w:val="0"/>
          <w:numId w:val="1014"/>
        </w:numPr>
        <w:pStyle w:val="Compact"/>
      </w:pPr>
      <w:r>
        <w:t xml:space="preserve">Required resources and approved budget</w:t>
      </w:r>
    </w:p>
    <w:p>
      <w:pPr>
        <w:numPr>
          <w:ilvl w:val="0"/>
          <w:numId w:val="1014"/>
        </w:numPr>
        <w:pStyle w:val="Compact"/>
      </w:pPr>
      <w:r>
        <w:t xml:space="preserve">Dependencies and constraints</w:t>
      </w:r>
    </w:p>
    <w:p>
      <w:pPr>
        <w:numPr>
          <w:ilvl w:val="0"/>
          <w:numId w:val="1014"/>
        </w:numPr>
        <w:pStyle w:val="Compact"/>
      </w:pPr>
      <w:r>
        <w:t xml:space="preserve">Milestones and due dates</w:t>
      </w:r>
    </w:p>
    <w:p>
      <w:pPr>
        <w:numPr>
          <w:ilvl w:val="0"/>
          <w:numId w:val="1014"/>
        </w:numPr>
        <w:pStyle w:val="Compact"/>
      </w:pPr>
      <w:r>
        <w:t xml:space="preserve">Success measures</w:t>
      </w:r>
    </w:p>
    <w:p>
      <w:pPr>
        <w:numPr>
          <w:ilvl w:val="0"/>
          <w:numId w:val="1014"/>
        </w:numPr>
        <w:pStyle w:val="Compact"/>
      </w:pPr>
      <w:r>
        <w:t xml:space="preserve">Evidence required for closure</w:t>
      </w:r>
    </w:p>
    <w:p>
      <w:pPr>
        <w:numPr>
          <w:ilvl w:val="0"/>
          <w:numId w:val="1014"/>
        </w:numPr>
        <w:pStyle w:val="Compact"/>
      </w:pPr>
      <w:r>
        <w:t xml:space="preserve">Expected effect on likelihood and impact</w:t>
      </w:r>
    </w:p>
    <w:p>
      <w:pPr>
        <w:numPr>
          <w:ilvl w:val="0"/>
          <w:numId w:val="1014"/>
        </w:numPr>
        <w:pStyle w:val="Compact"/>
      </w:pPr>
      <w:r>
        <w:t xml:space="preserve">Interim controls when final treatment will take time</w:t>
      </w:r>
    </w:p>
    <w:p>
      <w:pPr>
        <w:numPr>
          <w:ilvl w:val="0"/>
          <w:numId w:val="1014"/>
        </w:numPr>
        <w:pStyle w:val="Compact"/>
      </w:pPr>
      <w:r>
        <w:t xml:space="preserve">Escalation criteria</w:t>
      </w:r>
    </w:p>
    <w:p>
      <w:pPr>
        <w:pStyle w:val="FirstParagraph"/>
      </w:pPr>
      <w:r>
        <w:t xml:space="preserve">Avoid vague actions such as</w:t>
      </w:r>
      <w:r>
        <w:t xml:space="preserve"> </w:t>
      </w:r>
      <w:r>
        <w:t xml:space="preserve">“</w:t>
      </w:r>
      <w:r>
        <w:t xml:space="preserve">improve security</w:t>
      </w:r>
      <w:r>
        <w:t xml:space="preserve">”</w:t>
      </w:r>
      <w:r>
        <w:t xml:space="preserve"> </w:t>
      </w:r>
      <w:r>
        <w:t xml:space="preserve">or</w:t>
      </w:r>
      <w:r>
        <w:t xml:space="preserve"> </w:t>
      </w:r>
      <w:r>
        <w:t xml:space="preserve">“</w:t>
      </w:r>
      <w:r>
        <w:t xml:space="preserve">monitor vendor.</w:t>
      </w:r>
      <w:r>
        <w:t xml:space="preserve">”</w:t>
      </w:r>
      <w:r>
        <w:t xml:space="preserve"> </w:t>
      </w:r>
      <w:r>
        <w:t xml:space="preserve">Write actions that can be tested and closed.</w:t>
      </w:r>
    </w:p>
    <w:bookmarkEnd w:id="55"/>
    <w:bookmarkStart w:id="56" w:name="action-quality-test"/>
    <w:p>
      <w:pPr>
        <w:pStyle w:val="Heading2"/>
      </w:pPr>
      <w:r>
        <w:t xml:space="preserve">Action quality test</w:t>
      </w:r>
    </w:p>
    <w:p>
      <w:pPr>
        <w:pStyle w:val="FirstParagraph"/>
      </w:pPr>
      <w:r>
        <w:t xml:space="preserve">A treatment action is complete only when the required deliverable exists, the responsible owner provides evidence, the control or change is validated, and the risk is reassessed. Completing a project task does not automatically prove that risk was reduced.</w:t>
      </w:r>
    </w:p>
    <w:bookmarkEnd w:id="56"/>
    <w:bookmarkStart w:id="57" w:name="risk-acceptance"/>
    <w:p>
      <w:pPr>
        <w:pStyle w:val="Heading2"/>
      </w:pPr>
      <w:r>
        <w:t xml:space="preserve">Risk acceptance</w:t>
      </w:r>
    </w:p>
    <w:p>
      <w:pPr>
        <w:pStyle w:val="FirstParagraph"/>
      </w:pPr>
      <w:r>
        <w:t xml:space="preserve">Acceptance should never be implied by inaction. A formal acceptance record should include:</w:t>
      </w:r>
    </w:p>
    <w:p>
      <w:pPr>
        <w:numPr>
          <w:ilvl w:val="0"/>
          <w:numId w:val="1015"/>
        </w:numPr>
        <w:pStyle w:val="Compact"/>
      </w:pPr>
      <w:r>
        <w:t xml:space="preserve">Risk identifier and current residual level</w:t>
      </w:r>
    </w:p>
    <w:p>
      <w:pPr>
        <w:numPr>
          <w:ilvl w:val="0"/>
          <w:numId w:val="1015"/>
        </w:numPr>
        <w:pStyle w:val="Compact"/>
      </w:pPr>
      <w:r>
        <w:t xml:space="preserve">Decision owner and authority basis</w:t>
      </w:r>
    </w:p>
    <w:p>
      <w:pPr>
        <w:numPr>
          <w:ilvl w:val="0"/>
          <w:numId w:val="1015"/>
        </w:numPr>
        <w:pStyle w:val="Compact"/>
      </w:pPr>
      <w:r>
        <w:t xml:space="preserve">Business rationale</w:t>
      </w:r>
    </w:p>
    <w:p>
      <w:pPr>
        <w:numPr>
          <w:ilvl w:val="0"/>
          <w:numId w:val="1015"/>
        </w:numPr>
        <w:pStyle w:val="Compact"/>
      </w:pPr>
      <w:r>
        <w:t xml:space="preserve">Applicable appetite or tolerance statement</w:t>
      </w:r>
    </w:p>
    <w:p>
      <w:pPr>
        <w:numPr>
          <w:ilvl w:val="0"/>
          <w:numId w:val="1015"/>
        </w:numPr>
        <w:pStyle w:val="Compact"/>
      </w:pPr>
      <w:r>
        <w:t xml:space="preserve">Conditions and compensating controls</w:t>
      </w:r>
    </w:p>
    <w:p>
      <w:pPr>
        <w:numPr>
          <w:ilvl w:val="0"/>
          <w:numId w:val="1015"/>
        </w:numPr>
        <w:pStyle w:val="Compact"/>
      </w:pPr>
      <w:r>
        <w:t xml:space="preserve">Acceptance start and expiration dates</w:t>
      </w:r>
    </w:p>
    <w:p>
      <w:pPr>
        <w:numPr>
          <w:ilvl w:val="0"/>
          <w:numId w:val="1015"/>
        </w:numPr>
        <w:pStyle w:val="Compact"/>
      </w:pPr>
      <w:r>
        <w:t xml:space="preserve">Monitoring requirements</w:t>
      </w:r>
    </w:p>
    <w:p>
      <w:pPr>
        <w:numPr>
          <w:ilvl w:val="0"/>
          <w:numId w:val="1015"/>
        </w:numPr>
        <w:pStyle w:val="Compact"/>
      </w:pPr>
      <w:r>
        <w:t xml:space="preserve">Events that require early reconsideration</w:t>
      </w:r>
    </w:p>
    <w:p>
      <w:pPr>
        <w:numPr>
          <w:ilvl w:val="0"/>
          <w:numId w:val="1015"/>
        </w:numPr>
        <w:pStyle w:val="Compact"/>
      </w:pPr>
      <w:r>
        <w:t xml:space="preserve">Required notifications</w:t>
      </w:r>
    </w:p>
    <w:p>
      <w:pPr>
        <w:numPr>
          <w:ilvl w:val="0"/>
          <w:numId w:val="1015"/>
        </w:numPr>
        <w:pStyle w:val="Compact"/>
      </w:pPr>
      <w:r>
        <w:t xml:space="preserve">Signature or auditable approval evidence</w:t>
      </w:r>
    </w:p>
    <w:p>
      <w:pPr>
        <w:pStyle w:val="FirstParagraph"/>
      </w:pPr>
      <w:r>
        <w:t xml:space="preserve">Expired acceptance must return to review status until renewed, treated, avoided, transferred, or closed.</w:t>
      </w:r>
    </w:p>
    <w:bookmarkEnd w:id="57"/>
    <w:bookmarkStart w:id="58" w:name="exceptions"/>
    <w:p>
      <w:pPr>
        <w:pStyle w:val="Heading2"/>
      </w:pPr>
      <w:r>
        <w:t xml:space="preserve">Exceptions</w:t>
      </w:r>
    </w:p>
    <w:p>
      <w:pPr>
        <w:pStyle w:val="FirstParagraph"/>
      </w:pPr>
      <w:r>
        <w:t xml:space="preserve">A policy or control exception may create or increase risk. Link exceptions to the relevant risk record and include scope, rationale, approving authority, compensating controls, expiration date, and remediation plan.</w:t>
      </w:r>
    </w:p>
    <w:bookmarkEnd w:id="58"/>
    <w:bookmarkStart w:id="59" w:name="treatment-monitoring"/>
    <w:p>
      <w:pPr>
        <w:pStyle w:val="Heading2"/>
      </w:pPr>
      <w:r>
        <w:t xml:space="preserve">Treatment monitoring</w:t>
      </w:r>
    </w:p>
    <w:p>
      <w:pPr>
        <w:pStyle w:val="FirstParagraph"/>
      </w:pPr>
      <w:r>
        <w:t xml:space="preserve">Track at least:</w:t>
      </w:r>
    </w:p>
    <w:p>
      <w:pPr>
        <w:numPr>
          <w:ilvl w:val="0"/>
          <w:numId w:val="1016"/>
        </w:numPr>
        <w:pStyle w:val="Compact"/>
      </w:pPr>
      <w:r>
        <w:t xml:space="preserve">Open and overdue actions</w:t>
      </w:r>
    </w:p>
    <w:p>
      <w:pPr>
        <w:numPr>
          <w:ilvl w:val="0"/>
          <w:numId w:val="1016"/>
        </w:numPr>
        <w:pStyle w:val="Compact"/>
      </w:pPr>
      <w:r>
        <w:t xml:space="preserve">Milestone status</w:t>
      </w:r>
    </w:p>
    <w:p>
      <w:pPr>
        <w:numPr>
          <w:ilvl w:val="0"/>
          <w:numId w:val="1016"/>
        </w:numPr>
        <w:pStyle w:val="Compact"/>
      </w:pPr>
      <w:r>
        <w:t xml:space="preserve">Changes to exposure</w:t>
      </w:r>
    </w:p>
    <w:p>
      <w:pPr>
        <w:numPr>
          <w:ilvl w:val="0"/>
          <w:numId w:val="1016"/>
        </w:numPr>
        <w:pStyle w:val="Compact"/>
      </w:pPr>
      <w:r>
        <w:t xml:space="preserve">Control implementation and test evidence</w:t>
      </w:r>
    </w:p>
    <w:p>
      <w:pPr>
        <w:numPr>
          <w:ilvl w:val="0"/>
          <w:numId w:val="1016"/>
        </w:numPr>
        <w:pStyle w:val="Compact"/>
      </w:pPr>
      <w:r>
        <w:t xml:space="preserve">Budget or resource constraints</w:t>
      </w:r>
    </w:p>
    <w:p>
      <w:pPr>
        <w:numPr>
          <w:ilvl w:val="0"/>
          <w:numId w:val="1016"/>
        </w:numPr>
        <w:pStyle w:val="Compact"/>
      </w:pPr>
      <w:r>
        <w:t xml:space="preserve">Dependency failures</w:t>
      </w:r>
    </w:p>
    <w:p>
      <w:pPr>
        <w:numPr>
          <w:ilvl w:val="0"/>
          <w:numId w:val="1016"/>
        </w:numPr>
        <w:pStyle w:val="Compact"/>
      </w:pPr>
      <w:r>
        <w:t xml:space="preserve">Acceptance expirations</w:t>
      </w:r>
    </w:p>
    <w:p>
      <w:pPr>
        <w:numPr>
          <w:ilvl w:val="0"/>
          <w:numId w:val="1016"/>
        </w:numPr>
        <w:pStyle w:val="Compact"/>
      </w:pPr>
      <w:r>
        <w:t xml:space="preserve">Emerging threats or changed assumptions</w:t>
      </w:r>
    </w:p>
    <w:bookmarkEnd w:id="59"/>
    <w:bookmarkStart w:id="60" w:name="closure-criteria"/>
    <w:p>
      <w:pPr>
        <w:pStyle w:val="Heading2"/>
      </w:pPr>
      <w:r>
        <w:t xml:space="preserve">Closure criteria</w:t>
      </w:r>
    </w:p>
    <w:p>
      <w:pPr>
        <w:pStyle w:val="FirstParagraph"/>
      </w:pPr>
      <w:r>
        <w:t xml:space="preserve">A risk may be closed when the scenario is no longer applicable, the objective or activity has ended, or verified treatment has reduced exposure below the organization’s closure threshold. Preserve the historical record, closure rationale, evidence, approver, and closure date.</w:t>
      </w:r>
    </w:p>
    <w:p>
      <w:pPr>
        <w:pStyle w:val="BodyText"/>
      </w:pPr>
      <w:r>
        <w:t xml:space="preserve">Do not close a risk merely because the due date passed or the owner changed.</w:t>
      </w:r>
    </w:p>
    <w:bookmarkEnd w:id="60"/>
    <w:bookmarkEnd w:id="61"/>
    <w:bookmarkStart w:id="73" w:name="monitoring-reporting-and-escalation"/>
    <w:p>
      <w:pPr>
        <w:pStyle w:val="Heading1"/>
      </w:pPr>
      <w:r>
        <w:t xml:space="preserve">5. Monitoring, Reporting, and Escalation</w:t>
      </w:r>
    </w:p>
    <w:bookmarkStart w:id="62" w:name="review-frequency"/>
    <w:p>
      <w:pPr>
        <w:pStyle w:val="Heading2"/>
      </w:pPr>
      <w:r>
        <w:t xml:space="preserve">Review frequency</w:t>
      </w:r>
    </w:p>
    <w:p>
      <w:pPr>
        <w:pStyle w:val="FirstParagraph"/>
      </w:pPr>
      <w:r>
        <w:t xml:space="preserve">Review frequency should reflect exposure, volatility, treatment status, and decision needs. Critical or rapidly changing risks may require continuous or monthly review. Stable low risks may be reviewed quarterly or annually. Define minimum frequencies and event-driven review triggers.</w:t>
      </w:r>
    </w:p>
    <w:p>
      <w:pPr>
        <w:pStyle w:val="BodyText"/>
      </w:pPr>
      <w:r>
        <w:t xml:space="preserve">Review a risk early when:</w:t>
      </w:r>
    </w:p>
    <w:p>
      <w:pPr>
        <w:numPr>
          <w:ilvl w:val="0"/>
          <w:numId w:val="1017"/>
        </w:numPr>
        <w:pStyle w:val="Compact"/>
      </w:pPr>
      <w:r>
        <w:t xml:space="preserve">A significant incident or near miss occurs</w:t>
      </w:r>
    </w:p>
    <w:p>
      <w:pPr>
        <w:numPr>
          <w:ilvl w:val="0"/>
          <w:numId w:val="1017"/>
        </w:numPr>
        <w:pStyle w:val="Compact"/>
      </w:pPr>
      <w:r>
        <w:t xml:space="preserve">A control fails or its coverage changes</w:t>
      </w:r>
    </w:p>
    <w:p>
      <w:pPr>
        <w:numPr>
          <w:ilvl w:val="0"/>
          <w:numId w:val="1017"/>
        </w:numPr>
        <w:pStyle w:val="Compact"/>
      </w:pPr>
      <w:r>
        <w:t xml:space="preserve">A major system, process, vendor, law, contract, or objective changes</w:t>
      </w:r>
    </w:p>
    <w:p>
      <w:pPr>
        <w:numPr>
          <w:ilvl w:val="0"/>
          <w:numId w:val="1017"/>
        </w:numPr>
        <w:pStyle w:val="Compact"/>
      </w:pPr>
      <w:r>
        <w:t xml:space="preserve">A treatment milestone is missed</w:t>
      </w:r>
    </w:p>
    <w:p>
      <w:pPr>
        <w:numPr>
          <w:ilvl w:val="0"/>
          <w:numId w:val="1017"/>
        </w:numPr>
        <w:pStyle w:val="Compact"/>
      </w:pPr>
      <w:r>
        <w:t xml:space="preserve">An acceptance approaches expiration</w:t>
      </w:r>
    </w:p>
    <w:p>
      <w:pPr>
        <w:numPr>
          <w:ilvl w:val="0"/>
          <w:numId w:val="1017"/>
        </w:numPr>
        <w:pStyle w:val="Compact"/>
      </w:pPr>
      <w:r>
        <w:t xml:space="preserve">Threat or loss information materially changes</w:t>
      </w:r>
    </w:p>
    <w:p>
      <w:pPr>
        <w:numPr>
          <w:ilvl w:val="0"/>
          <w:numId w:val="1017"/>
        </w:numPr>
        <w:pStyle w:val="Compact"/>
      </w:pPr>
      <w:r>
        <w:t xml:space="preserve">The risk moves outside appetite or tolerance</w:t>
      </w:r>
    </w:p>
    <w:bookmarkEnd w:id="62"/>
    <w:bookmarkStart w:id="63" w:name="key-risk-indicators"/>
    <w:p>
      <w:pPr>
        <w:pStyle w:val="Heading2"/>
      </w:pPr>
      <w:r>
        <w:t xml:space="preserve">Key risk indicators</w:t>
      </w:r>
    </w:p>
    <w:p>
      <w:pPr>
        <w:pStyle w:val="FirstParagraph"/>
      </w:pPr>
      <w:r>
        <w:t xml:space="preserve">A key risk indicator should provide timely evidence that exposure is changing. Each indicator needs an owner, source, calculation, threshold, collection frequency, and escalation rule.</w:t>
      </w:r>
    </w:p>
    <w:p>
      <w:pPr>
        <w:pStyle w:val="BodyText"/>
      </w:pPr>
      <w:r>
        <w:t xml:space="preserve">Examples include:</w:t>
      </w:r>
    </w:p>
    <w:p>
      <w:pPr>
        <w:numPr>
          <w:ilvl w:val="0"/>
          <w:numId w:val="1018"/>
        </w:numPr>
        <w:pStyle w:val="Compact"/>
      </w:pPr>
      <w:r>
        <w:t xml:space="preserve">Percentage of critical systems without tested recovery plans</w:t>
      </w:r>
    </w:p>
    <w:p>
      <w:pPr>
        <w:numPr>
          <w:ilvl w:val="0"/>
          <w:numId w:val="1018"/>
        </w:numPr>
        <w:pStyle w:val="Compact"/>
      </w:pPr>
      <w:r>
        <w:t xml:space="preserve">Number of privileged accounts overdue for review</w:t>
      </w:r>
    </w:p>
    <w:p>
      <w:pPr>
        <w:numPr>
          <w:ilvl w:val="0"/>
          <w:numId w:val="1018"/>
        </w:numPr>
        <w:pStyle w:val="Compact"/>
      </w:pPr>
      <w:r>
        <w:t xml:space="preserve">Concentration of critical services with one provider</w:t>
      </w:r>
    </w:p>
    <w:p>
      <w:pPr>
        <w:numPr>
          <w:ilvl w:val="0"/>
          <w:numId w:val="1018"/>
        </w:numPr>
        <w:pStyle w:val="Compact"/>
      </w:pPr>
      <w:r>
        <w:t xml:space="preserve">High-severity vulnerabilities beyond the approved remediation period</w:t>
      </w:r>
    </w:p>
    <w:p>
      <w:pPr>
        <w:numPr>
          <w:ilvl w:val="0"/>
          <w:numId w:val="1018"/>
        </w:numPr>
        <w:pStyle w:val="Compact"/>
      </w:pPr>
      <w:r>
        <w:t xml:space="preserve">Percentage of treatment actions overdue</w:t>
      </w:r>
    </w:p>
    <w:p>
      <w:pPr>
        <w:numPr>
          <w:ilvl w:val="0"/>
          <w:numId w:val="1018"/>
        </w:numPr>
        <w:pStyle w:val="Compact"/>
      </w:pPr>
      <w:r>
        <w:t xml:space="preserve">Number of expired risk acceptances</w:t>
      </w:r>
    </w:p>
    <w:bookmarkEnd w:id="63"/>
    <w:bookmarkStart w:id="64" w:name="status-and-trend"/>
    <w:p>
      <w:pPr>
        <w:pStyle w:val="Heading2"/>
      </w:pPr>
      <w:r>
        <w:t xml:space="preserve">Status and trend</w:t>
      </w:r>
    </w:p>
    <w:p>
      <w:pPr>
        <w:pStyle w:val="FirstParagraph"/>
      </w:pPr>
      <w:r>
        <w:t xml:space="preserve">Track current level and direction separately.</w:t>
      </w:r>
    </w:p>
    <w:p>
      <w:pPr>
        <w:numPr>
          <w:ilvl w:val="0"/>
          <w:numId w:val="1019"/>
        </w:numPr>
        <w:pStyle w:val="Compact"/>
      </w:pPr>
      <w:r>
        <w:rPr>
          <w:bCs/>
          <w:b/>
        </w:rPr>
        <w:t xml:space="preserve">Improving:</w:t>
      </w:r>
      <w:r>
        <w:t xml:space="preserve"> </w:t>
      </w:r>
      <w:r>
        <w:t xml:space="preserve">Evidence indicates exposure is decreasing.</w:t>
      </w:r>
    </w:p>
    <w:p>
      <w:pPr>
        <w:numPr>
          <w:ilvl w:val="0"/>
          <w:numId w:val="1019"/>
        </w:numPr>
        <w:pStyle w:val="Compact"/>
      </w:pPr>
      <w:r>
        <w:rPr>
          <w:bCs/>
          <w:b/>
        </w:rPr>
        <w:t xml:space="preserve">Stable:</w:t>
      </w:r>
      <w:r>
        <w:t xml:space="preserve"> </w:t>
      </w:r>
      <w:r>
        <w:t xml:space="preserve">No material change.</w:t>
      </w:r>
    </w:p>
    <w:p>
      <w:pPr>
        <w:numPr>
          <w:ilvl w:val="0"/>
          <w:numId w:val="1019"/>
        </w:numPr>
        <w:pStyle w:val="Compact"/>
      </w:pPr>
      <w:r>
        <w:rPr>
          <w:bCs/>
          <w:b/>
        </w:rPr>
        <w:t xml:space="preserve">Deteriorating:</w:t>
      </w:r>
      <w:r>
        <w:t xml:space="preserve"> </w:t>
      </w:r>
      <w:r>
        <w:t xml:space="preserve">Exposure, uncertainty, control weakness, or delay is increasing.</w:t>
      </w:r>
    </w:p>
    <w:p>
      <w:pPr>
        <w:numPr>
          <w:ilvl w:val="0"/>
          <w:numId w:val="1019"/>
        </w:numPr>
        <w:pStyle w:val="Compact"/>
      </w:pPr>
      <w:r>
        <w:rPr>
          <w:bCs/>
          <w:b/>
        </w:rPr>
        <w:t xml:space="preserve">Unknown:</w:t>
      </w:r>
      <w:r>
        <w:t xml:space="preserve"> </w:t>
      </w:r>
      <w:r>
        <w:t xml:space="preserve">Evidence is insufficient or stale.</w:t>
      </w:r>
    </w:p>
    <w:p>
      <w:pPr>
        <w:pStyle w:val="FirstParagraph"/>
      </w:pPr>
      <w:r>
        <w:t xml:space="preserve">An unknown trend is not equivalent to stable risk.</w:t>
      </w:r>
    </w:p>
    <w:bookmarkEnd w:id="64"/>
    <w:bookmarkStart w:id="65" w:name="escalation"/>
    <w:p>
      <w:pPr>
        <w:pStyle w:val="Heading2"/>
      </w:pPr>
      <w:r>
        <w:t xml:space="preserve">Escalation</w:t>
      </w:r>
    </w:p>
    <w:p>
      <w:pPr>
        <w:pStyle w:val="FirstParagraph"/>
      </w:pPr>
      <w:r>
        <w:t xml:space="preserve">Escalate when a risk:</w:t>
      </w:r>
    </w:p>
    <w:p>
      <w:pPr>
        <w:numPr>
          <w:ilvl w:val="0"/>
          <w:numId w:val="1020"/>
        </w:numPr>
        <w:pStyle w:val="Compact"/>
      </w:pPr>
      <w:r>
        <w:t xml:space="preserve">Exceeds appetite or tolerance</w:t>
      </w:r>
    </w:p>
    <w:p>
      <w:pPr>
        <w:numPr>
          <w:ilvl w:val="0"/>
          <w:numId w:val="1020"/>
        </w:numPr>
        <w:pStyle w:val="Compact"/>
      </w:pPr>
      <w:r>
        <w:t xml:space="preserve">Reaches a critical level</w:t>
      </w:r>
    </w:p>
    <w:p>
      <w:pPr>
        <w:numPr>
          <w:ilvl w:val="0"/>
          <w:numId w:val="1020"/>
        </w:numPr>
        <w:pStyle w:val="Compact"/>
      </w:pPr>
      <w:r>
        <w:t xml:space="preserve">Has no accountable owner</w:t>
      </w:r>
    </w:p>
    <w:p>
      <w:pPr>
        <w:numPr>
          <w:ilvl w:val="0"/>
          <w:numId w:val="1020"/>
        </w:numPr>
        <w:pStyle w:val="Compact"/>
      </w:pPr>
      <w:r>
        <w:t xml:space="preserve">Has overdue high-priority treatment</w:t>
      </w:r>
    </w:p>
    <w:p>
      <w:pPr>
        <w:numPr>
          <w:ilvl w:val="0"/>
          <w:numId w:val="1020"/>
        </w:numPr>
        <w:pStyle w:val="Compact"/>
      </w:pPr>
      <w:r>
        <w:t xml:space="preserve">Depends on unavailable funding or authority</w:t>
      </w:r>
    </w:p>
    <w:p>
      <w:pPr>
        <w:numPr>
          <w:ilvl w:val="0"/>
          <w:numId w:val="1020"/>
        </w:numPr>
        <w:pStyle w:val="Compact"/>
      </w:pPr>
      <w:r>
        <w:t xml:space="preserve">Includes a legal prohibition, safety concern, or mandatory reporting obligation</w:t>
      </w:r>
    </w:p>
    <w:p>
      <w:pPr>
        <w:numPr>
          <w:ilvl w:val="0"/>
          <w:numId w:val="1020"/>
        </w:numPr>
        <w:pStyle w:val="Compact"/>
      </w:pPr>
      <w:r>
        <w:t xml:space="preserve">Has an expired acceptance</w:t>
      </w:r>
    </w:p>
    <w:p>
      <w:pPr>
        <w:numPr>
          <w:ilvl w:val="0"/>
          <w:numId w:val="1020"/>
        </w:numPr>
        <w:pStyle w:val="Compact"/>
      </w:pPr>
      <w:r>
        <w:t xml:space="preserve">Shows material disagreement that cannot be resolved at the current level</w:t>
      </w:r>
    </w:p>
    <w:p>
      <w:pPr>
        <w:pStyle w:val="FirstParagraph"/>
      </w:pPr>
      <w:r>
        <w:t xml:space="preserve">The register should identify the escalation recipient, required timeframe, and decision requested.</w:t>
      </w:r>
    </w:p>
    <w:bookmarkEnd w:id="65"/>
    <w:bookmarkStart w:id="69" w:name="reporting-views"/>
    <w:p>
      <w:pPr>
        <w:pStyle w:val="Heading2"/>
      </w:pPr>
      <w:r>
        <w:t xml:space="preserve">Reporting views</w:t>
      </w:r>
    </w:p>
    <w:p>
      <w:pPr>
        <w:pStyle w:val="FirstParagraph"/>
      </w:pPr>
      <w:r>
        <w:t xml:space="preserve">Different audiences need different views.</w:t>
      </w:r>
    </w:p>
    <w:bookmarkStart w:id="66" w:name="operational-view"/>
    <w:p>
      <w:pPr>
        <w:pStyle w:val="Heading3"/>
      </w:pPr>
      <w:r>
        <w:t xml:space="preserve">Operational view</w:t>
      </w:r>
    </w:p>
    <w:p>
      <w:pPr>
        <w:pStyle w:val="FirstParagraph"/>
      </w:pPr>
      <w:r>
        <w:t xml:space="preserve">Includes detailed actions, evidence, control status, due dates, and dependencies.</w:t>
      </w:r>
    </w:p>
    <w:bookmarkEnd w:id="66"/>
    <w:bookmarkStart w:id="67" w:name="management-view"/>
    <w:p>
      <w:pPr>
        <w:pStyle w:val="Heading3"/>
      </w:pPr>
      <w:r>
        <w:t xml:space="preserve">Management view</w:t>
      </w:r>
    </w:p>
    <w:p>
      <w:pPr>
        <w:pStyle w:val="FirstParagraph"/>
      </w:pPr>
      <w:r>
        <w:t xml:space="preserve">Highlights top risks, trends, overdue treatment, exceptions, and decisions required.</w:t>
      </w:r>
    </w:p>
    <w:bookmarkEnd w:id="67"/>
    <w:bookmarkStart w:id="68" w:name="governing-body-view"/>
    <w:p>
      <w:pPr>
        <w:pStyle w:val="Heading3"/>
      </w:pPr>
      <w:r>
        <w:t xml:space="preserve">Governing-body view</w:t>
      </w:r>
    </w:p>
    <w:p>
      <w:pPr>
        <w:pStyle w:val="FirstParagraph"/>
      </w:pPr>
      <w:r>
        <w:t xml:space="preserve">Focuses on exposure relative to objectives, appetite and tolerance, concentration, emerging risk, systemic dependencies, and major decisions.</w:t>
      </w:r>
    </w:p>
    <w:bookmarkEnd w:id="68"/>
    <w:bookmarkEnd w:id="69"/>
    <w:bookmarkStart w:id="70" w:name="portfolio-analysis"/>
    <w:p>
      <w:pPr>
        <w:pStyle w:val="Heading2"/>
      </w:pPr>
      <w:r>
        <w:t xml:space="preserve">Portfolio analysis</w:t>
      </w:r>
    </w:p>
    <w:p>
      <w:pPr>
        <w:pStyle w:val="FirstParagraph"/>
      </w:pPr>
      <w:r>
        <w:t xml:space="preserve">Aggregate risks carefully. Use taxonomy, objectives, business units, services, vendors, and control dependencies to identify concentration and systemic exposure. Preserve traceability to underlying scenarios.</w:t>
      </w:r>
    </w:p>
    <w:p>
      <w:pPr>
        <w:pStyle w:val="BodyText"/>
      </w:pPr>
      <w:r>
        <w:t xml:space="preserve">Avoid summing ordinal scores as though they were financial values unless the methodology explicitly supports that calculation.</w:t>
      </w:r>
    </w:p>
    <w:bookmarkEnd w:id="70"/>
    <w:bookmarkStart w:id="71" w:name="data-quality-controls"/>
    <w:p>
      <w:pPr>
        <w:pStyle w:val="Heading2"/>
      </w:pPr>
      <w:r>
        <w:t xml:space="preserve">Data quality controls</w:t>
      </w:r>
    </w:p>
    <w:p>
      <w:pPr>
        <w:pStyle w:val="FirstParagraph"/>
      </w:pPr>
      <w:r>
        <w:t xml:space="preserve">Monitor:</w:t>
      </w:r>
    </w:p>
    <w:p>
      <w:pPr>
        <w:numPr>
          <w:ilvl w:val="0"/>
          <w:numId w:val="1021"/>
        </w:numPr>
        <w:pStyle w:val="Compact"/>
      </w:pPr>
      <w:r>
        <w:t xml:space="preserve">Missing owners</w:t>
      </w:r>
    </w:p>
    <w:p>
      <w:pPr>
        <w:numPr>
          <w:ilvl w:val="0"/>
          <w:numId w:val="1021"/>
        </w:numPr>
        <w:pStyle w:val="Compact"/>
      </w:pPr>
      <w:r>
        <w:t xml:space="preserve">Missing or stale evidence</w:t>
      </w:r>
    </w:p>
    <w:p>
      <w:pPr>
        <w:numPr>
          <w:ilvl w:val="0"/>
          <w:numId w:val="1021"/>
        </w:numPr>
        <w:pStyle w:val="Compact"/>
      </w:pPr>
      <w:r>
        <w:t xml:space="preserve">Overdue review dates</w:t>
      </w:r>
    </w:p>
    <w:p>
      <w:pPr>
        <w:numPr>
          <w:ilvl w:val="0"/>
          <w:numId w:val="1021"/>
        </w:numPr>
        <w:pStyle w:val="Compact"/>
      </w:pPr>
      <w:r>
        <w:t xml:space="preserve">Expired acceptances</w:t>
      </w:r>
    </w:p>
    <w:p>
      <w:pPr>
        <w:numPr>
          <w:ilvl w:val="0"/>
          <w:numId w:val="1021"/>
        </w:numPr>
        <w:pStyle w:val="Compact"/>
      </w:pPr>
      <w:r>
        <w:t xml:space="preserve">Incomplete scenarios</w:t>
      </w:r>
    </w:p>
    <w:p>
      <w:pPr>
        <w:numPr>
          <w:ilvl w:val="0"/>
          <w:numId w:val="1021"/>
        </w:numPr>
        <w:pStyle w:val="Compact"/>
      </w:pPr>
      <w:r>
        <w:t xml:space="preserve">Inconsistent ratings</w:t>
      </w:r>
    </w:p>
    <w:p>
      <w:pPr>
        <w:numPr>
          <w:ilvl w:val="0"/>
          <w:numId w:val="1021"/>
        </w:numPr>
        <w:pStyle w:val="Compact"/>
      </w:pPr>
      <w:r>
        <w:t xml:space="preserve">Duplicate risks</w:t>
      </w:r>
    </w:p>
    <w:p>
      <w:pPr>
        <w:numPr>
          <w:ilvl w:val="0"/>
          <w:numId w:val="1021"/>
        </w:numPr>
        <w:pStyle w:val="Compact"/>
      </w:pPr>
      <w:r>
        <w:t xml:space="preserve">Unlinked actions</w:t>
      </w:r>
    </w:p>
    <w:p>
      <w:pPr>
        <w:numPr>
          <w:ilvl w:val="0"/>
          <w:numId w:val="1021"/>
        </w:numPr>
        <w:pStyle w:val="Compact"/>
      </w:pPr>
      <w:r>
        <w:t xml:space="preserve">Closed actions without validation</w:t>
      </w:r>
    </w:p>
    <w:p>
      <w:pPr>
        <w:numPr>
          <w:ilvl w:val="0"/>
          <w:numId w:val="1021"/>
        </w:numPr>
        <w:pStyle w:val="Compact"/>
      </w:pPr>
      <w:r>
        <w:t xml:space="preserve">Unsupported changes to scores</w:t>
      </w:r>
    </w:p>
    <w:bookmarkEnd w:id="71"/>
    <w:bookmarkStart w:id="72" w:name="meeting-discipline"/>
    <w:p>
      <w:pPr>
        <w:pStyle w:val="Heading2"/>
      </w:pPr>
      <w:r>
        <w:t xml:space="preserve">Meeting discipline</w:t>
      </w:r>
    </w:p>
    <w:p>
      <w:pPr>
        <w:pStyle w:val="FirstParagraph"/>
      </w:pPr>
      <w:r>
        <w:t xml:space="preserve">A risk review meeting should focus on decisions, changed evidence, exceptions, overdue actions, and escalation. Do not spend the meeting reading every field aloud. Record decisions, owners, due dates, and dissent.</w:t>
      </w:r>
    </w:p>
    <w:bookmarkEnd w:id="72"/>
    <w:bookmarkEnd w:id="73"/>
    <w:bookmarkStart w:id="98" w:name="operating-procedure-and-worked-example"/>
    <w:p>
      <w:pPr>
        <w:pStyle w:val="Heading1"/>
      </w:pPr>
      <w:r>
        <w:t xml:space="preserve">6. Operating Procedure and Worked Example</w:t>
      </w:r>
    </w:p>
    <w:bookmarkStart w:id="84" w:name="end-to-end-procedure"/>
    <w:p>
      <w:pPr>
        <w:pStyle w:val="Heading2"/>
      </w:pPr>
      <w:r>
        <w:t xml:space="preserve">End-to-end procedure</w:t>
      </w:r>
    </w:p>
    <w:bookmarkStart w:id="74" w:name="step-1-establish-scope"/>
    <w:p>
      <w:pPr>
        <w:pStyle w:val="Heading3"/>
      </w:pPr>
      <w:r>
        <w:t xml:space="preserve">Step 1 — Establish scope</w:t>
      </w:r>
    </w:p>
    <w:p>
      <w:pPr>
        <w:pStyle w:val="FirstParagraph"/>
      </w:pPr>
      <w:r>
        <w:t xml:space="preserve">Define the objective, process, service, project, business unit, asset group, vendor population, or decision being assessed. Confirm the assessment period, methodology, rating criteria, and decision authority.</w:t>
      </w:r>
    </w:p>
    <w:bookmarkEnd w:id="74"/>
    <w:bookmarkStart w:id="75" w:name="step-2-gather-evidence"/>
    <w:p>
      <w:pPr>
        <w:pStyle w:val="Heading3"/>
      </w:pPr>
      <w:r>
        <w:t xml:space="preserve">Step 2 — Gather evidence</w:t>
      </w:r>
    </w:p>
    <w:p>
      <w:pPr>
        <w:pStyle w:val="FirstParagraph"/>
      </w:pPr>
      <w:r>
        <w:t xml:space="preserve">Collect current documents, system reports, incidents, test results, metrics, contracts, architecture information, and specialist input. Record evidence dates and gaps.</w:t>
      </w:r>
    </w:p>
    <w:bookmarkEnd w:id="75"/>
    <w:bookmarkStart w:id="76" w:name="step-3-write-scenarios"/>
    <w:p>
      <w:pPr>
        <w:pStyle w:val="Heading3"/>
      </w:pPr>
      <w:r>
        <w:t xml:space="preserve">Step 3 — Write scenarios</w:t>
      </w:r>
    </w:p>
    <w:p>
      <w:pPr>
        <w:pStyle w:val="FirstParagraph"/>
      </w:pPr>
      <w:r>
        <w:t xml:space="preserve">Describe cause, event, affected objective, and consequence. Separate materially different scenarios rather than combining unrelated exposures.</w:t>
      </w:r>
    </w:p>
    <w:bookmarkEnd w:id="76"/>
    <w:bookmarkStart w:id="77" w:name="step-4-assign-ownership"/>
    <w:p>
      <w:pPr>
        <w:pStyle w:val="Heading3"/>
      </w:pPr>
      <w:r>
        <w:t xml:space="preserve">Step 4 — Assign ownership</w:t>
      </w:r>
    </w:p>
    <w:p>
      <w:pPr>
        <w:pStyle w:val="FirstParagraph"/>
      </w:pPr>
      <w:r>
        <w:t xml:space="preserve">Name one accountable risk owner. Identify control and action owners separately.</w:t>
      </w:r>
    </w:p>
    <w:bookmarkEnd w:id="77"/>
    <w:bookmarkStart w:id="78" w:name="step-5-assess-inherent-exposure"/>
    <w:p>
      <w:pPr>
        <w:pStyle w:val="Heading3"/>
      </w:pPr>
      <w:r>
        <w:t xml:space="preserve">Step 5 — Assess inherent exposure</w:t>
      </w:r>
    </w:p>
    <w:p>
      <w:pPr>
        <w:pStyle w:val="FirstParagraph"/>
      </w:pPr>
      <w:r>
        <w:t xml:space="preserve">Apply the approved likelihood and impact criteria using the stated inherent-risk assumption.</w:t>
      </w:r>
    </w:p>
    <w:bookmarkEnd w:id="78"/>
    <w:bookmarkStart w:id="79" w:name="step-6-evaluate-controls"/>
    <w:p>
      <w:pPr>
        <w:pStyle w:val="Heading3"/>
      </w:pPr>
      <w:r>
        <w:t xml:space="preserve">Step 6 — Evaluate controls</w:t>
      </w:r>
    </w:p>
    <w:p>
      <w:pPr>
        <w:pStyle w:val="FirstParagraph"/>
      </w:pPr>
      <w:r>
        <w:t xml:space="preserve">Document relevant controls and assess design and operating effectiveness using evidence.</w:t>
      </w:r>
    </w:p>
    <w:bookmarkEnd w:id="79"/>
    <w:bookmarkStart w:id="80" w:name="step-7-assess-residual-exposure"/>
    <w:p>
      <w:pPr>
        <w:pStyle w:val="Heading3"/>
      </w:pPr>
      <w:r>
        <w:t xml:space="preserve">Step 7 — Assess residual exposure</w:t>
      </w:r>
    </w:p>
    <w:p>
      <w:pPr>
        <w:pStyle w:val="FirstParagraph"/>
      </w:pPr>
      <w:r>
        <w:t xml:space="preserve">Estimate the remaining likelihood and impact. Record confidence, assumptions, and uncertainty.</w:t>
      </w:r>
    </w:p>
    <w:bookmarkEnd w:id="80"/>
    <w:bookmarkStart w:id="81" w:name="X632973008c4fc516489b933250beeb420675932"/>
    <w:p>
      <w:pPr>
        <w:pStyle w:val="Heading3"/>
      </w:pPr>
      <w:r>
        <w:t xml:space="preserve">Step 8 — Compare with appetite and tolerance</w:t>
      </w:r>
    </w:p>
    <w:p>
      <w:pPr>
        <w:pStyle w:val="FirstParagraph"/>
      </w:pPr>
      <w:r>
        <w:t xml:space="preserve">Determine whether exposure is within approved limits and whether escalation is required.</w:t>
      </w:r>
    </w:p>
    <w:bookmarkEnd w:id="81"/>
    <w:bookmarkStart w:id="82" w:name="step-9-select-response-and-treatment"/>
    <w:p>
      <w:pPr>
        <w:pStyle w:val="Heading3"/>
      </w:pPr>
      <w:r>
        <w:t xml:space="preserve">Step 9 — Select response and treatment</w:t>
      </w:r>
    </w:p>
    <w:p>
      <w:pPr>
        <w:pStyle w:val="FirstParagraph"/>
      </w:pPr>
      <w:r>
        <w:t xml:space="preserve">Choose avoid, mitigate, transfer/share, accept, or pursue/enhance. Define measurable actions and target exposure.</w:t>
      </w:r>
    </w:p>
    <w:bookmarkEnd w:id="82"/>
    <w:bookmarkStart w:id="83" w:name="step-10-approve-and-monitor"/>
    <w:p>
      <w:pPr>
        <w:pStyle w:val="Heading3"/>
      </w:pPr>
      <w:r>
        <w:t xml:space="preserve">Step 10 — Approve and monitor</w:t>
      </w:r>
    </w:p>
    <w:p>
      <w:pPr>
        <w:pStyle w:val="FirstParagraph"/>
      </w:pPr>
      <w:r>
        <w:t xml:space="preserve">Obtain the required decision, monitor indicators and actions, reassess after change, and preserve evidence.</w:t>
      </w:r>
    </w:p>
    <w:bookmarkEnd w:id="83"/>
    <w:bookmarkEnd w:id="84"/>
    <w:bookmarkStart w:id="96" w:name="worked-example"/>
    <w:p>
      <w:pPr>
        <w:pStyle w:val="Heading2"/>
      </w:pPr>
      <w:r>
        <w:t xml:space="preserve">Worked example</w:t>
      </w:r>
    </w:p>
    <w:bookmarkStart w:id="85" w:name="objective-1"/>
    <w:p>
      <w:pPr>
        <w:pStyle w:val="Heading3"/>
      </w:pPr>
      <w:r>
        <w:t xml:space="preserve">Objective</w:t>
      </w:r>
    </w:p>
    <w:p>
      <w:pPr>
        <w:pStyle w:val="FirstParagraph"/>
      </w:pPr>
      <w:r>
        <w:t xml:space="preserve">Maintain continuous access to the customer-support platform during business-critical periods.</w:t>
      </w:r>
    </w:p>
    <w:bookmarkEnd w:id="85"/>
    <w:bookmarkStart w:id="86" w:name="scenario"/>
    <w:p>
      <w:pPr>
        <w:pStyle w:val="Heading3"/>
      </w:pPr>
      <w:r>
        <w:t xml:space="preserve">Scenario</w:t>
      </w:r>
    </w:p>
    <w:p>
      <w:pPr>
        <w:pStyle w:val="FirstParagraph"/>
      </w:pPr>
      <w:r>
        <w:t xml:space="preserve">Because the platform depends on a single cloud region and recovery testing has not demonstrated restoration within the business requirement, a regional service disruption may make the platform unavailable, delaying customer support and causing contractual, financial, and reputational harm.</w:t>
      </w:r>
    </w:p>
    <w:bookmarkEnd w:id="86"/>
    <w:bookmarkStart w:id="87" w:name="evidence"/>
    <w:p>
      <w:pPr>
        <w:pStyle w:val="Heading3"/>
      </w:pPr>
      <w:r>
        <w:t xml:space="preserve">Evidence</w:t>
      </w:r>
    </w:p>
    <w:p>
      <w:pPr>
        <w:numPr>
          <w:ilvl w:val="0"/>
          <w:numId w:val="1022"/>
        </w:numPr>
        <w:pStyle w:val="Compact"/>
      </w:pPr>
      <w:r>
        <w:t xml:space="preserve">Current architecture diagram</w:t>
      </w:r>
    </w:p>
    <w:p>
      <w:pPr>
        <w:numPr>
          <w:ilvl w:val="0"/>
          <w:numId w:val="1022"/>
        </w:numPr>
        <w:pStyle w:val="Compact"/>
      </w:pPr>
      <w:r>
        <w:t xml:space="preserve">Business impact analysis</w:t>
      </w:r>
    </w:p>
    <w:p>
      <w:pPr>
        <w:numPr>
          <w:ilvl w:val="0"/>
          <w:numId w:val="1022"/>
        </w:numPr>
        <w:pStyle w:val="Compact"/>
      </w:pPr>
      <w:r>
        <w:t xml:space="preserve">Recovery test report</w:t>
      </w:r>
    </w:p>
    <w:p>
      <w:pPr>
        <w:numPr>
          <w:ilvl w:val="0"/>
          <w:numId w:val="1022"/>
        </w:numPr>
        <w:pStyle w:val="Compact"/>
      </w:pPr>
      <w:r>
        <w:t xml:space="preserve">Cloud-provider service documentation</w:t>
      </w:r>
    </w:p>
    <w:p>
      <w:pPr>
        <w:numPr>
          <w:ilvl w:val="0"/>
          <w:numId w:val="1022"/>
        </w:numPr>
        <w:pStyle w:val="Compact"/>
      </w:pPr>
      <w:r>
        <w:t xml:space="preserve">Customer contract availability commitments</w:t>
      </w:r>
    </w:p>
    <w:bookmarkEnd w:id="87"/>
    <w:bookmarkStart w:id="88" w:name="inherent-assessment"/>
    <w:p>
      <w:pPr>
        <w:pStyle w:val="Heading3"/>
      </w:pPr>
      <w:r>
        <w:t xml:space="preserve">Inherent assessment</w:t>
      </w:r>
    </w:p>
    <w:p>
      <w:pPr>
        <w:numPr>
          <w:ilvl w:val="0"/>
          <w:numId w:val="1023"/>
        </w:numPr>
        <w:pStyle w:val="Compact"/>
      </w:pPr>
      <w:r>
        <w:t xml:space="preserve">Likelihood: 3 — Possible</w:t>
      </w:r>
    </w:p>
    <w:p>
      <w:pPr>
        <w:numPr>
          <w:ilvl w:val="0"/>
          <w:numId w:val="1023"/>
        </w:numPr>
        <w:pStyle w:val="Compact"/>
      </w:pPr>
      <w:r>
        <w:t xml:space="preserve">Impact: 5 — Severe</w:t>
      </w:r>
    </w:p>
    <w:p>
      <w:pPr>
        <w:numPr>
          <w:ilvl w:val="0"/>
          <w:numId w:val="1023"/>
        </w:numPr>
        <w:pStyle w:val="Compact"/>
      </w:pPr>
      <w:r>
        <w:t xml:space="preserve">Score: 15 — High under the example matrix</w:t>
      </w:r>
    </w:p>
    <w:bookmarkEnd w:id="88"/>
    <w:bookmarkStart w:id="89" w:name="existing-controls-1"/>
    <w:p>
      <w:pPr>
        <w:pStyle w:val="Heading3"/>
      </w:pPr>
      <w:r>
        <w:t xml:space="preserve">Existing controls</w:t>
      </w:r>
    </w:p>
    <w:p>
      <w:pPr>
        <w:numPr>
          <w:ilvl w:val="0"/>
          <w:numId w:val="1024"/>
        </w:numPr>
        <w:pStyle w:val="Compact"/>
      </w:pPr>
      <w:r>
        <w:t xml:space="preserve">Provider-native backups</w:t>
      </w:r>
    </w:p>
    <w:p>
      <w:pPr>
        <w:numPr>
          <w:ilvl w:val="0"/>
          <w:numId w:val="1024"/>
        </w:numPr>
        <w:pStyle w:val="Compact"/>
      </w:pPr>
      <w:r>
        <w:t xml:space="preserve">Infrastructure configuration stored in version control</w:t>
      </w:r>
    </w:p>
    <w:p>
      <w:pPr>
        <w:numPr>
          <w:ilvl w:val="0"/>
          <w:numId w:val="1024"/>
        </w:numPr>
        <w:pStyle w:val="Compact"/>
      </w:pPr>
      <w:r>
        <w:t xml:space="preserve">Incident-response procedures</w:t>
      </w:r>
    </w:p>
    <w:p>
      <w:pPr>
        <w:numPr>
          <w:ilvl w:val="0"/>
          <w:numId w:val="1024"/>
        </w:numPr>
        <w:pStyle w:val="Compact"/>
      </w:pPr>
      <w:r>
        <w:t xml:space="preserve">Status-page monitoring</w:t>
      </w:r>
    </w:p>
    <w:bookmarkEnd w:id="89"/>
    <w:bookmarkStart w:id="90" w:name="control-assessment-1"/>
    <w:p>
      <w:pPr>
        <w:pStyle w:val="Heading3"/>
      </w:pPr>
      <w:r>
        <w:t xml:space="preserve">Control assessment</w:t>
      </w:r>
    </w:p>
    <w:p>
      <w:pPr>
        <w:pStyle w:val="FirstParagraph"/>
      </w:pPr>
      <w:r>
        <w:t xml:space="preserve">Design is partially effective because backups and configuration support recovery, but no secondary-region capability exists. Operating effectiveness is partially effective because backup jobs are monitored, while full restoration has not met the required recovery time.</w:t>
      </w:r>
    </w:p>
    <w:bookmarkEnd w:id="90"/>
    <w:bookmarkStart w:id="91" w:name="residual-assessment"/>
    <w:p>
      <w:pPr>
        <w:pStyle w:val="Heading3"/>
      </w:pPr>
      <w:r>
        <w:t xml:space="preserve">Residual assessment</w:t>
      </w:r>
    </w:p>
    <w:p>
      <w:pPr>
        <w:numPr>
          <w:ilvl w:val="0"/>
          <w:numId w:val="1025"/>
        </w:numPr>
        <w:pStyle w:val="Compact"/>
      </w:pPr>
      <w:r>
        <w:t xml:space="preserve">Likelihood: 3 — Possible</w:t>
      </w:r>
    </w:p>
    <w:p>
      <w:pPr>
        <w:numPr>
          <w:ilvl w:val="0"/>
          <w:numId w:val="1025"/>
        </w:numPr>
        <w:pStyle w:val="Compact"/>
      </w:pPr>
      <w:r>
        <w:t xml:space="preserve">Impact: 4 — Major</w:t>
      </w:r>
    </w:p>
    <w:p>
      <w:pPr>
        <w:numPr>
          <w:ilvl w:val="0"/>
          <w:numId w:val="1025"/>
        </w:numPr>
        <w:pStyle w:val="Compact"/>
      </w:pPr>
      <w:r>
        <w:t xml:space="preserve">Score: 12 — High</w:t>
      </w:r>
    </w:p>
    <w:p>
      <w:pPr>
        <w:numPr>
          <w:ilvl w:val="0"/>
          <w:numId w:val="1025"/>
        </w:numPr>
        <w:pStyle w:val="Compact"/>
      </w:pPr>
      <w:r>
        <w:t xml:space="preserve">Confidence: Medium</w:t>
      </w:r>
    </w:p>
    <w:p>
      <w:pPr>
        <w:numPr>
          <w:ilvl w:val="0"/>
          <w:numId w:val="1025"/>
        </w:numPr>
        <w:pStyle w:val="Compact"/>
      </w:pPr>
      <w:r>
        <w:t xml:space="preserve">Appetite status: Outside tolerance</w:t>
      </w:r>
    </w:p>
    <w:bookmarkEnd w:id="91"/>
    <w:bookmarkStart w:id="92" w:name="response"/>
    <w:p>
      <w:pPr>
        <w:pStyle w:val="Heading3"/>
      </w:pPr>
      <w:r>
        <w:t xml:space="preserve">Response</w:t>
      </w:r>
    </w:p>
    <w:p>
      <w:pPr>
        <w:pStyle w:val="FirstParagraph"/>
      </w:pPr>
      <w:r>
        <w:t xml:space="preserve">Mitigate.</w:t>
      </w:r>
    </w:p>
    <w:bookmarkEnd w:id="92"/>
    <w:bookmarkStart w:id="93" w:name="treatment-actions"/>
    <w:p>
      <w:pPr>
        <w:pStyle w:val="Heading3"/>
      </w:pPr>
      <w:r>
        <w:t xml:space="preserve">Treatment actions</w:t>
      </w:r>
    </w:p>
    <w:p>
      <w:pPr>
        <w:numPr>
          <w:ilvl w:val="0"/>
          <w:numId w:val="1026"/>
        </w:numPr>
        <w:pStyle w:val="Compact"/>
      </w:pPr>
      <w:r>
        <w:t xml:space="preserve">Design and approve secondary-region architecture.</w:t>
      </w:r>
    </w:p>
    <w:p>
      <w:pPr>
        <w:numPr>
          <w:ilvl w:val="0"/>
          <w:numId w:val="1026"/>
        </w:numPr>
        <w:pStyle w:val="Compact"/>
      </w:pPr>
      <w:r>
        <w:t xml:space="preserve">Implement replicated data and tested deployment automation.</w:t>
      </w:r>
    </w:p>
    <w:p>
      <w:pPr>
        <w:numPr>
          <w:ilvl w:val="0"/>
          <w:numId w:val="1026"/>
        </w:numPr>
        <w:pStyle w:val="Compact"/>
      </w:pPr>
      <w:r>
        <w:t xml:space="preserve">Conduct a full recovery exercise.</w:t>
      </w:r>
    </w:p>
    <w:p>
      <w:pPr>
        <w:numPr>
          <w:ilvl w:val="0"/>
          <w:numId w:val="1026"/>
        </w:numPr>
        <w:pStyle w:val="Compact"/>
      </w:pPr>
      <w:r>
        <w:t xml:space="preserve">Update procedures and customer communications.</w:t>
      </w:r>
    </w:p>
    <w:p>
      <w:pPr>
        <w:numPr>
          <w:ilvl w:val="0"/>
          <w:numId w:val="1026"/>
        </w:numPr>
        <w:pStyle w:val="Compact"/>
      </w:pPr>
      <w:r>
        <w:t xml:space="preserve">Validate recovery time and recovery point objectives.</w:t>
      </w:r>
    </w:p>
    <w:bookmarkEnd w:id="93"/>
    <w:bookmarkStart w:id="94" w:name="target-assessment"/>
    <w:p>
      <w:pPr>
        <w:pStyle w:val="Heading3"/>
      </w:pPr>
      <w:r>
        <w:t xml:space="preserve">Target assessment</w:t>
      </w:r>
    </w:p>
    <w:p>
      <w:pPr>
        <w:numPr>
          <w:ilvl w:val="0"/>
          <w:numId w:val="1027"/>
        </w:numPr>
        <w:pStyle w:val="Compact"/>
      </w:pPr>
      <w:r>
        <w:t xml:space="preserve">Target likelihood: 2 — Unlikely</w:t>
      </w:r>
    </w:p>
    <w:p>
      <w:pPr>
        <w:numPr>
          <w:ilvl w:val="0"/>
          <w:numId w:val="1027"/>
        </w:numPr>
        <w:pStyle w:val="Compact"/>
      </w:pPr>
      <w:r>
        <w:t xml:space="preserve">Target impact: 3 — Moderate</w:t>
      </w:r>
    </w:p>
    <w:p>
      <w:pPr>
        <w:numPr>
          <w:ilvl w:val="0"/>
          <w:numId w:val="1027"/>
        </w:numPr>
        <w:pStyle w:val="Compact"/>
      </w:pPr>
      <w:r>
        <w:t xml:space="preserve">Target score: 6 — Moderate</w:t>
      </w:r>
    </w:p>
    <w:bookmarkEnd w:id="94"/>
    <w:bookmarkStart w:id="95" w:name="monitoring"/>
    <w:p>
      <w:pPr>
        <w:pStyle w:val="Heading3"/>
      </w:pPr>
      <w:r>
        <w:t xml:space="preserve">Monitoring</w:t>
      </w:r>
    </w:p>
    <w:p>
      <w:pPr>
        <w:pStyle w:val="FirstParagraph"/>
      </w:pPr>
      <w:r>
        <w:t xml:space="preserve">Track recovery-test results, unresolved replication failures, architecture milestones, and overdue treatment tasks. Escalate missed milestones or any outage exceeding the approved tolerance.</w:t>
      </w:r>
    </w:p>
    <w:bookmarkEnd w:id="95"/>
    <w:bookmarkEnd w:id="96"/>
    <w:bookmarkStart w:id="97" w:name="common-implementation-failures"/>
    <w:p>
      <w:pPr>
        <w:pStyle w:val="Heading2"/>
      </w:pPr>
      <w:r>
        <w:t xml:space="preserve">Common implementation failures</w:t>
      </w:r>
    </w:p>
    <w:p>
      <w:pPr>
        <w:numPr>
          <w:ilvl w:val="0"/>
          <w:numId w:val="1028"/>
        </w:numPr>
        <w:pStyle w:val="Compact"/>
      </w:pPr>
      <w:r>
        <w:t xml:space="preserve">Treating the score as the risk rather than the scenario</w:t>
      </w:r>
    </w:p>
    <w:p>
      <w:pPr>
        <w:numPr>
          <w:ilvl w:val="0"/>
          <w:numId w:val="1028"/>
        </w:numPr>
        <w:pStyle w:val="Compact"/>
      </w:pPr>
      <w:r>
        <w:t xml:space="preserve">Assigning groups instead of accountable owners</w:t>
      </w:r>
    </w:p>
    <w:p>
      <w:pPr>
        <w:numPr>
          <w:ilvl w:val="0"/>
          <w:numId w:val="1028"/>
        </w:numPr>
        <w:pStyle w:val="Compact"/>
      </w:pPr>
      <w:r>
        <w:t xml:space="preserve">Recording controls without testing evidence</w:t>
      </w:r>
    </w:p>
    <w:p>
      <w:pPr>
        <w:numPr>
          <w:ilvl w:val="0"/>
          <w:numId w:val="1028"/>
        </w:numPr>
        <w:pStyle w:val="Compact"/>
      </w:pPr>
      <w:r>
        <w:t xml:space="preserve">Accepting risk indefinitely</w:t>
      </w:r>
    </w:p>
    <w:p>
      <w:pPr>
        <w:numPr>
          <w:ilvl w:val="0"/>
          <w:numId w:val="1028"/>
        </w:numPr>
        <w:pStyle w:val="Compact"/>
      </w:pPr>
      <w:r>
        <w:t xml:space="preserve">Closing actions without reassessing exposure</w:t>
      </w:r>
    </w:p>
    <w:p>
      <w:pPr>
        <w:numPr>
          <w:ilvl w:val="0"/>
          <w:numId w:val="1028"/>
        </w:numPr>
        <w:pStyle w:val="Compact"/>
      </w:pPr>
      <w:r>
        <w:t xml:space="preserve">Using stale evidence</w:t>
      </w:r>
    </w:p>
    <w:p>
      <w:pPr>
        <w:numPr>
          <w:ilvl w:val="0"/>
          <w:numId w:val="1028"/>
        </w:numPr>
        <w:pStyle w:val="Compact"/>
      </w:pPr>
      <w:r>
        <w:t xml:space="preserve">Combining many unrelated risks into one record</w:t>
      </w:r>
    </w:p>
    <w:p>
      <w:pPr>
        <w:numPr>
          <w:ilvl w:val="0"/>
          <w:numId w:val="1028"/>
        </w:numPr>
        <w:pStyle w:val="Compact"/>
      </w:pPr>
      <w:r>
        <w:t xml:space="preserve">Reporting only counts instead of decisions and concentration</w:t>
      </w:r>
    </w:p>
    <w:bookmarkEnd w:id="97"/>
    <w:bookmarkEnd w:id="98"/>
    <w:bookmarkStart w:id="109" w:name="risk-acceptance-record"/>
    <w:p>
      <w:pPr>
        <w:pStyle w:val="Heading1"/>
      </w:pPr>
      <w:r>
        <w:t xml:space="preserve">Risk Acceptance Record</w:t>
      </w:r>
    </w:p>
    <w:bookmarkStart w:id="99" w:name="risk-information"/>
    <w:p>
      <w:pPr>
        <w:pStyle w:val="Heading2"/>
      </w:pPr>
      <w:r>
        <w:t xml:space="preserve">Risk information</w:t>
      </w:r>
    </w:p>
    <w:p>
      <w:pPr>
        <w:numPr>
          <w:ilvl w:val="0"/>
          <w:numId w:val="1029"/>
        </w:numPr>
        <w:pStyle w:val="Compact"/>
      </w:pPr>
      <w:r>
        <w:t xml:space="preserve">Risk ID:</w:t>
      </w:r>
    </w:p>
    <w:p>
      <w:pPr>
        <w:numPr>
          <w:ilvl w:val="0"/>
          <w:numId w:val="1029"/>
        </w:numPr>
        <w:pStyle w:val="Compact"/>
      </w:pPr>
      <w:r>
        <w:t xml:space="preserve">Risk title:</w:t>
      </w:r>
    </w:p>
    <w:p>
      <w:pPr>
        <w:numPr>
          <w:ilvl w:val="0"/>
          <w:numId w:val="1029"/>
        </w:numPr>
        <w:pStyle w:val="Compact"/>
      </w:pPr>
      <w:r>
        <w:t xml:space="preserve">Affected objective:</w:t>
      </w:r>
    </w:p>
    <w:p>
      <w:pPr>
        <w:numPr>
          <w:ilvl w:val="0"/>
          <w:numId w:val="1029"/>
        </w:numPr>
        <w:pStyle w:val="Compact"/>
      </w:pPr>
      <w:r>
        <w:t xml:space="preserve">Risk owner:</w:t>
      </w:r>
    </w:p>
    <w:p>
      <w:pPr>
        <w:numPr>
          <w:ilvl w:val="0"/>
          <w:numId w:val="1029"/>
        </w:numPr>
        <w:pStyle w:val="Compact"/>
      </w:pPr>
      <w:r>
        <w:t xml:space="preserve">Current residual likelihood:</w:t>
      </w:r>
    </w:p>
    <w:p>
      <w:pPr>
        <w:numPr>
          <w:ilvl w:val="0"/>
          <w:numId w:val="1029"/>
        </w:numPr>
        <w:pStyle w:val="Compact"/>
      </w:pPr>
      <w:r>
        <w:t xml:space="preserve">Current residual impact:</w:t>
      </w:r>
    </w:p>
    <w:p>
      <w:pPr>
        <w:numPr>
          <w:ilvl w:val="0"/>
          <w:numId w:val="1029"/>
        </w:numPr>
        <w:pStyle w:val="Compact"/>
      </w:pPr>
      <w:r>
        <w:t xml:space="preserve">Current residual level:</w:t>
      </w:r>
    </w:p>
    <w:p>
      <w:pPr>
        <w:numPr>
          <w:ilvl w:val="0"/>
          <w:numId w:val="1029"/>
        </w:numPr>
        <w:pStyle w:val="Compact"/>
      </w:pPr>
      <w:r>
        <w:t xml:space="preserve">Confidence in assessment:</w:t>
      </w:r>
    </w:p>
    <w:bookmarkEnd w:id="99"/>
    <w:bookmarkStart w:id="100" w:name="decision"/>
    <w:p>
      <w:pPr>
        <w:pStyle w:val="Heading2"/>
      </w:pPr>
      <w:r>
        <w:t xml:space="preserve">Decision</w:t>
      </w:r>
    </w:p>
    <w:p>
      <w:pPr>
        <w:numPr>
          <w:ilvl w:val="0"/>
          <w:numId w:val="1030"/>
        </w:numPr>
        <w:pStyle w:val="Compact"/>
      </w:pPr>
      <w:r>
        <w:t xml:space="preserve">Decision: Accept / Conditionally accept / Reject acceptance request</w:t>
      </w:r>
    </w:p>
    <w:p>
      <w:pPr>
        <w:numPr>
          <w:ilvl w:val="0"/>
          <w:numId w:val="1030"/>
        </w:numPr>
        <w:pStyle w:val="Compact"/>
      </w:pPr>
      <w:r>
        <w:t xml:space="preserve">Authorized decision owner:</w:t>
      </w:r>
    </w:p>
    <w:p>
      <w:pPr>
        <w:numPr>
          <w:ilvl w:val="0"/>
          <w:numId w:val="1030"/>
        </w:numPr>
        <w:pStyle w:val="Compact"/>
      </w:pPr>
      <w:r>
        <w:t xml:space="preserve">Authority basis:</w:t>
      </w:r>
    </w:p>
    <w:p>
      <w:pPr>
        <w:numPr>
          <w:ilvl w:val="0"/>
          <w:numId w:val="1030"/>
        </w:numPr>
        <w:pStyle w:val="Compact"/>
      </w:pPr>
      <w:r>
        <w:t xml:space="preserve">Decision date:</w:t>
      </w:r>
    </w:p>
    <w:p>
      <w:pPr>
        <w:numPr>
          <w:ilvl w:val="0"/>
          <w:numId w:val="1030"/>
        </w:numPr>
        <w:pStyle w:val="Compact"/>
      </w:pPr>
      <w:r>
        <w:t xml:space="preserve">Effective date:</w:t>
      </w:r>
    </w:p>
    <w:p>
      <w:pPr>
        <w:numPr>
          <w:ilvl w:val="0"/>
          <w:numId w:val="1030"/>
        </w:numPr>
        <w:pStyle w:val="Compact"/>
      </w:pPr>
      <w:r>
        <w:t xml:space="preserve">Expiration date:</w:t>
      </w:r>
    </w:p>
    <w:bookmarkEnd w:id="100"/>
    <w:bookmarkStart w:id="101" w:name="rationale"/>
    <w:p>
      <w:pPr>
        <w:pStyle w:val="Heading2"/>
      </w:pPr>
      <w:r>
        <w:t xml:space="preserve">Rationale</w:t>
      </w:r>
    </w:p>
    <w:p>
      <w:pPr>
        <w:pStyle w:val="FirstParagraph"/>
      </w:pPr>
      <w:r>
        <w:t xml:space="preserve">Describe why retaining the exposure is justified, including expected business value, available alternatives, cost and feasibility, and consequences of delay.</w:t>
      </w:r>
    </w:p>
    <w:bookmarkEnd w:id="101"/>
    <w:bookmarkStart w:id="102" w:name="appetite-and-tolerance"/>
    <w:p>
      <w:pPr>
        <w:pStyle w:val="Heading2"/>
      </w:pPr>
      <w:r>
        <w:t xml:space="preserve">Appetite and tolerance</w:t>
      </w:r>
    </w:p>
    <w:p>
      <w:pPr>
        <w:numPr>
          <w:ilvl w:val="0"/>
          <w:numId w:val="1031"/>
        </w:numPr>
        <w:pStyle w:val="Compact"/>
      </w:pPr>
      <w:r>
        <w:t xml:space="preserve">Applicable appetite statement:</w:t>
      </w:r>
    </w:p>
    <w:p>
      <w:pPr>
        <w:numPr>
          <w:ilvl w:val="0"/>
          <w:numId w:val="1031"/>
        </w:numPr>
        <w:pStyle w:val="Compact"/>
      </w:pPr>
      <w:r>
        <w:t xml:space="preserve">Applicable tolerance or threshold:</w:t>
      </w:r>
    </w:p>
    <w:p>
      <w:pPr>
        <w:numPr>
          <w:ilvl w:val="0"/>
          <w:numId w:val="1031"/>
        </w:numPr>
        <w:pStyle w:val="Compact"/>
      </w:pPr>
      <w:r>
        <w:t xml:space="preserve">Status: Within / Outside / Exception approved</w:t>
      </w:r>
    </w:p>
    <w:bookmarkEnd w:id="102"/>
    <w:bookmarkStart w:id="103" w:name="conditions-and-compensating-controls"/>
    <w:p>
      <w:pPr>
        <w:pStyle w:val="Heading2"/>
      </w:pPr>
      <w:r>
        <w:t xml:space="preserve">Conditions and compensating controls</w:t>
      </w:r>
    </w:p>
    <w:p>
      <w:pPr>
        <w:pStyle w:val="FirstParagraph"/>
      </w:pPr>
      <w:r>
        <w:t xml:space="preserve">List required safeguards, restrictions, monitoring, communications, and dependencies.</w:t>
      </w:r>
    </w:p>
    <w:bookmarkEnd w:id="103"/>
    <w:bookmarkStart w:id="104" w:name="monitoring-1"/>
    <w:p>
      <w:pPr>
        <w:pStyle w:val="Heading2"/>
      </w:pPr>
      <w:r>
        <w:t xml:space="preserve">Monitoring</w:t>
      </w:r>
    </w:p>
    <w:p>
      <w:pPr>
        <w:numPr>
          <w:ilvl w:val="0"/>
          <w:numId w:val="1032"/>
        </w:numPr>
        <w:pStyle w:val="Compact"/>
      </w:pPr>
      <w:r>
        <w:t xml:space="preserve">Key risk indicators:</w:t>
      </w:r>
    </w:p>
    <w:p>
      <w:pPr>
        <w:numPr>
          <w:ilvl w:val="0"/>
          <w:numId w:val="1032"/>
        </w:numPr>
        <w:pStyle w:val="Compact"/>
      </w:pPr>
      <w:r>
        <w:t xml:space="preserve">Thresholds:</w:t>
      </w:r>
    </w:p>
    <w:p>
      <w:pPr>
        <w:numPr>
          <w:ilvl w:val="0"/>
          <w:numId w:val="1032"/>
        </w:numPr>
        <w:pStyle w:val="Compact"/>
      </w:pPr>
      <w:r>
        <w:t xml:space="preserve">Monitoring owner:</w:t>
      </w:r>
    </w:p>
    <w:p>
      <w:pPr>
        <w:numPr>
          <w:ilvl w:val="0"/>
          <w:numId w:val="1032"/>
        </w:numPr>
        <w:pStyle w:val="Compact"/>
      </w:pPr>
      <w:r>
        <w:t xml:space="preserve">Review frequency:</w:t>
      </w:r>
    </w:p>
    <w:p>
      <w:pPr>
        <w:numPr>
          <w:ilvl w:val="0"/>
          <w:numId w:val="1032"/>
        </w:numPr>
        <w:pStyle w:val="Compact"/>
      </w:pPr>
      <w:r>
        <w:t xml:space="preserve">Evidence location:</w:t>
      </w:r>
    </w:p>
    <w:bookmarkEnd w:id="104"/>
    <w:bookmarkStart w:id="105" w:name="early-reconsideration-triggers"/>
    <w:p>
      <w:pPr>
        <w:pStyle w:val="Heading2"/>
      </w:pPr>
      <w:r>
        <w:t xml:space="preserve">Early reconsideration triggers</w:t>
      </w:r>
    </w:p>
    <w:p>
      <w:pPr>
        <w:pStyle w:val="FirstParagraph"/>
      </w:pPr>
      <w:r>
        <w:t xml:space="preserve">Examples include a material incident, control failure, legal or contractual change, increased exposure, changed objective, missed condition, or new threat information.</w:t>
      </w:r>
    </w:p>
    <w:bookmarkEnd w:id="105"/>
    <w:bookmarkStart w:id="106" w:name="required-notifications"/>
    <w:p>
      <w:pPr>
        <w:pStyle w:val="Heading2"/>
      </w:pPr>
      <w:r>
        <w:t xml:space="preserve">Required notifications</w:t>
      </w:r>
    </w:p>
    <w:p>
      <w:pPr>
        <w:pStyle w:val="FirstParagraph"/>
      </w:pPr>
      <w:r>
        <w:t xml:space="preserve">Identify governing bodies, executives, customers, regulators, insurers, contractual parties, or internal functions that must be informed.</w:t>
      </w:r>
    </w:p>
    <w:bookmarkEnd w:id="106"/>
    <w:bookmarkStart w:id="107" w:name="approval-evidence"/>
    <w:p>
      <w:pPr>
        <w:pStyle w:val="Heading2"/>
      </w:pPr>
      <w:r>
        <w:t xml:space="preserve">Approval evidence</w:t>
      </w:r>
    </w:p>
    <w:p>
      <w:pPr>
        <w:pStyle w:val="FirstParagraph"/>
      </w:pPr>
      <w:r>
        <w:t xml:space="preserve">Record the signature, ticket, meeting decision, electronic approval, or other auditable authorization.</w:t>
      </w:r>
    </w:p>
    <w:bookmarkEnd w:id="107"/>
    <w:bookmarkStart w:id="108" w:name="review-outcome"/>
    <w:p>
      <w:pPr>
        <w:pStyle w:val="Heading2"/>
      </w:pPr>
      <w:r>
        <w:t xml:space="preserve">Review outcome</w:t>
      </w:r>
    </w:p>
    <w:p>
      <w:pPr>
        <w:numPr>
          <w:ilvl w:val="0"/>
          <w:numId w:val="1033"/>
        </w:numPr>
        <w:pStyle w:val="Compact"/>
      </w:pPr>
      <w:r>
        <w:t xml:space="preserve">Review date:</w:t>
      </w:r>
    </w:p>
    <w:p>
      <w:pPr>
        <w:numPr>
          <w:ilvl w:val="0"/>
          <w:numId w:val="1033"/>
        </w:numPr>
        <w:pStyle w:val="Compact"/>
      </w:pPr>
      <w:r>
        <w:t xml:space="preserve">Outcome: Renew / Treat / Avoid / Transfer or share / Close</w:t>
      </w:r>
    </w:p>
    <w:p>
      <w:pPr>
        <w:numPr>
          <w:ilvl w:val="0"/>
          <w:numId w:val="1033"/>
        </w:numPr>
        <w:pStyle w:val="Compact"/>
      </w:pPr>
      <w:r>
        <w:t xml:space="preserve">Updated conditions:</w:t>
      </w:r>
    </w:p>
    <w:p>
      <w:pPr>
        <w:numPr>
          <w:ilvl w:val="0"/>
          <w:numId w:val="1033"/>
        </w:numPr>
        <w:pStyle w:val="Compact"/>
      </w:pPr>
      <w:r>
        <w:t xml:space="preserve">Next action owner:</w:t>
      </w:r>
    </w:p>
    <w:p>
      <w:pPr>
        <w:numPr>
          <w:ilvl w:val="0"/>
          <w:numId w:val="1033"/>
        </w:numPr>
        <w:pStyle w:val="Compact"/>
      </w:pPr>
      <w:r>
        <w:t xml:space="preserve">Next due date:</w:t>
      </w:r>
    </w:p>
    <w:bookmarkEnd w:id="108"/>
    <w:bookmarkEnd w:id="109"/>
    <w:bookmarkStart w:id="112" w:name="authoritative-source-register"/>
    <w:p>
      <w:pPr>
        <w:pStyle w:val="Heading1"/>
      </w:pPr>
      <w:r>
        <w:t xml:space="preserve">Authoritative Source Register</w:t>
      </w:r>
    </w:p>
    <w:p>
      <w:pPr>
        <w:pStyle w:val="FirstParagraph"/>
      </w:pPr>
      <w:r>
        <w:t xml:space="preserve">Checked 1 August 2026.</w:t>
      </w:r>
    </w:p>
    <w:bookmarkStart w:id="110" w:name="primary-sources"/>
    <w:p>
      <w:pPr>
        <w:pStyle w:val="Heading2"/>
      </w:pPr>
      <w:r>
        <w:t xml:space="preserve">Primary sources</w:t>
      </w:r>
    </w:p>
    <w:p>
      <w:pPr>
        <w:numPr>
          <w:ilvl w:val="0"/>
          <w:numId w:val="1034"/>
        </w:numPr>
        <w:pStyle w:val="Compact"/>
      </w:pPr>
      <w:r>
        <w:t xml:space="preserve">NIST IR 8286 Rev. 1,</w:t>
      </w:r>
      <w:r>
        <w:t xml:space="preserve"> </w:t>
      </w:r>
      <w:r>
        <w:rPr>
          <w:iCs/>
          <w:i/>
        </w:rPr>
        <w:t xml:space="preserve">Integrating Cybersecurity and Enterprise Risk Management (ERM)</w:t>
      </w:r>
      <w:r>
        <w:t xml:space="preserve">, December 2025. https://csrc.nist.gov/pubs/ir/8286/r1/final</w:t>
      </w:r>
    </w:p>
    <w:p>
      <w:pPr>
        <w:numPr>
          <w:ilvl w:val="0"/>
          <w:numId w:val="1034"/>
        </w:numPr>
        <w:pStyle w:val="Compact"/>
      </w:pPr>
      <w:r>
        <w:t xml:space="preserve">NIST IR 8286A Rev. 1,</w:t>
      </w:r>
      <w:r>
        <w:t xml:space="preserve"> </w:t>
      </w:r>
      <w:r>
        <w:rPr>
          <w:iCs/>
          <w:i/>
        </w:rPr>
        <w:t xml:space="preserve">Identifying and Estimating Cybersecurity Risk for Enterprise Risk Management</w:t>
      </w:r>
      <w:r>
        <w:t xml:space="preserve">, December 2025. https://csrc.nist.gov/pubs/ir/8286/a/r1/final</w:t>
      </w:r>
    </w:p>
    <w:p>
      <w:pPr>
        <w:numPr>
          <w:ilvl w:val="0"/>
          <w:numId w:val="1034"/>
        </w:numPr>
        <w:pStyle w:val="Compact"/>
      </w:pPr>
      <w:r>
        <w:t xml:space="preserve">NIST IR 8286B,</w:t>
      </w:r>
      <w:r>
        <w:t xml:space="preserve"> </w:t>
      </w:r>
      <w:r>
        <w:rPr>
          <w:iCs/>
          <w:i/>
        </w:rPr>
        <w:t xml:space="preserve">Prioritizing Cybersecurity Risk for Enterprise Risk Management</w:t>
      </w:r>
      <w:r>
        <w:t xml:space="preserve">. https://csrc.nist.gov/pubs/ir/8286/b/final</w:t>
      </w:r>
    </w:p>
    <w:p>
      <w:pPr>
        <w:numPr>
          <w:ilvl w:val="0"/>
          <w:numId w:val="1034"/>
        </w:numPr>
        <w:pStyle w:val="Compact"/>
      </w:pPr>
      <w:r>
        <w:t xml:space="preserve">NIST IR 8286C,</w:t>
      </w:r>
      <w:r>
        <w:t xml:space="preserve"> </w:t>
      </w:r>
      <w:r>
        <w:rPr>
          <w:iCs/>
          <w:i/>
        </w:rPr>
        <w:t xml:space="preserve">Staging Cybersecurity Risks for Enterprise Risk Management and Governance Oversight</w:t>
      </w:r>
      <w:r>
        <w:t xml:space="preserve">. https://csrc.nist.gov/pubs/ir/8286/c/final</w:t>
      </w:r>
    </w:p>
    <w:p>
      <w:pPr>
        <w:numPr>
          <w:ilvl w:val="0"/>
          <w:numId w:val="1034"/>
        </w:numPr>
        <w:pStyle w:val="Compact"/>
      </w:pPr>
      <w:r>
        <w:t xml:space="preserve">NIST SP 800-30 Rev. 1,</w:t>
      </w:r>
      <w:r>
        <w:t xml:space="preserve"> </w:t>
      </w:r>
      <w:r>
        <w:rPr>
          <w:iCs/>
          <w:i/>
        </w:rPr>
        <w:t xml:space="preserve">Guide for Conducting Risk Assessments</w:t>
      </w:r>
      <w:r>
        <w:t xml:space="preserve">. https://csrc.nist.gov/pubs/sp/800/30/r1/final</w:t>
      </w:r>
    </w:p>
    <w:p>
      <w:pPr>
        <w:numPr>
          <w:ilvl w:val="0"/>
          <w:numId w:val="1034"/>
        </w:numPr>
        <w:pStyle w:val="Compact"/>
      </w:pPr>
      <w:r>
        <w:t xml:space="preserve">NIST Cybersecurity Framework 2.0. https://www.nist.gov/cyberframework</w:t>
      </w:r>
    </w:p>
    <w:p>
      <w:pPr>
        <w:numPr>
          <w:ilvl w:val="0"/>
          <w:numId w:val="1034"/>
        </w:numPr>
        <w:pStyle w:val="Compact"/>
      </w:pPr>
      <w:r>
        <w:t xml:space="preserve">ISO 31000:2018,</w:t>
      </w:r>
      <w:r>
        <w:t xml:space="preserve"> </w:t>
      </w:r>
      <w:r>
        <w:rPr>
          <w:iCs/>
          <w:i/>
        </w:rPr>
        <w:t xml:space="preserve">Risk management — Guidelines</w:t>
      </w:r>
      <w:r>
        <w:t xml:space="preserve">. ISO identifies the 2018 edition as current and notes that Edition 3 is under development. https://www.iso.org/standard/65694.html</w:t>
      </w:r>
    </w:p>
    <w:p>
      <w:pPr>
        <w:numPr>
          <w:ilvl w:val="0"/>
          <w:numId w:val="1034"/>
        </w:numPr>
        <w:pStyle w:val="Compact"/>
      </w:pPr>
      <w:r>
        <w:t xml:space="preserve">Center for Internet Security, CIS RAM v2.2 family of documents for CIS Controls v8.1. https://learn.cisecurity.org/cis-ram-v2-2</w:t>
      </w:r>
    </w:p>
    <w:bookmarkEnd w:id="110"/>
    <w:bookmarkStart w:id="111" w:name="use-and-limitations"/>
    <w:p>
      <w:pPr>
        <w:pStyle w:val="Heading2"/>
      </w:pPr>
      <w:r>
        <w:t xml:space="preserve">Use and limitations</w:t>
      </w:r>
    </w:p>
    <w:p>
      <w:pPr>
        <w:pStyle w:val="FirstParagraph"/>
      </w:pPr>
      <w:r>
        <w:t xml:space="preserve">This manual summarizes general risk-management practices and does not reproduce restricted standards. Organizations must verify current requirements, licensing conditions, sector-specific obligations, and their own approved methodology before use.</w:t>
      </w:r>
    </w:p>
    <w:bookmarkEnd w:id="111"/>
    <w:bookmarkEnd w:id="1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GRC Risk Register and Risk Treatment Practical Manual</dc:title>
  <dc:creator>Alberto Al Leiva</dc:creator>
  <dc:language>en-US</dc:language>
  <dc:subject>Governance, risk, compliance, risk registers, and risk treatment</dc:subject>
  <cp:keywords>governance, risk management, GRC, risk register, risk treatment, enterprise risk management</cp:keywords>
  <dcterms:created xsi:type="dcterms:W3CDTF">2026-08-01T14:44:35Z</dcterms:created>
  <dcterms:modified xsi:type="dcterms:W3CDTF">2026-08-01T14:44:35Z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 August 2026</vt:lpwstr>
  </property>
  <property fmtid="{D5CDD505-2E9C-101B-9397-08002B2CF9AE}" pid="3" name="rights">
    <vt:lpwstr>CC BY-NC-SA 4.0 unless a file states otherwise</vt:lpwstr>
  </property>
</Properties>
</file>