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43 — Implementación Controlada de Seguridad y Privacidad en la Nube ISO/IEC 27017 y 27018</w:t>
      </w:r>
    </w:p>
    <w:p>
      <w:pPr>
        <w:spacing w:after="120"/>
      </w:pPr>
      <w:r>
        <w:t>**Línea base:** ISO/IEC 27017:2026 Edición 2 e ISO/IEC 27018:2025 Edición 3. **Límite de copyright:** orientación original del proyecto; no reproduce texto protegido ni constituye traducción autorizada de ISO.</w:t>
      </w:r>
    </w:p>
    <w:p>
      <w:pPr>
        <w:pStyle w:val="Heading2"/>
      </w:pPr>
      <w:r>
        <w:t>Chapter 01 — Fuentes y límite de copyright</w:t>
      </w:r>
    </w:p>
    <w:p>
      <w:pPr>
        <w:spacing w:after="120"/>
      </w:pPr>
      <w:r>
        <w:t>Mantenga ediciones, acceso autorizado, resúmenes propios, restricciones, citas y verificación previa a liberación.</w:t>
      </w:r>
    </w:p>
    <w:p>
      <w:pPr>
        <w:pStyle w:val="Heading2"/>
      </w:pPr>
      <w:r>
        <w:t>Chapter 02 — Alcance y relaciones entre normas</w:t>
      </w:r>
    </w:p>
    <w:p>
      <w:pPr>
        <w:spacing w:after="120"/>
      </w:pPr>
      <w:r>
        <w:t>Delimite 27017, 27018 y sus relaciones con 27001, 27002, 27701, contratos y legislación.</w:t>
      </w:r>
    </w:p>
    <w:p>
      <w:pPr>
        <w:pStyle w:val="Heading2"/>
      </w:pPr>
      <w:r>
        <w:t>Chapter 03 — Modelos de servicio en nube</w:t>
      </w:r>
    </w:p>
    <w:p>
      <w:pPr>
        <w:spacing w:after="120"/>
      </w:pPr>
      <w:r>
        <w:t>Clasifique IaaS, PaaS, SaaS y servicios administrados; asigne responsabilidades por modelo.</w:t>
      </w:r>
    </w:p>
    <w:p>
      <w:pPr>
        <w:pStyle w:val="Heading2"/>
      </w:pPr>
      <w:r>
        <w:t>Chapter 04 — Responsabilidad cliente-proveedor</w:t>
      </w:r>
    </w:p>
    <w:p>
      <w:pPr>
        <w:spacing w:after="120"/>
      </w:pPr>
      <w:r>
        <w:t>Defina propietarios de seguridad, privacidad, arquitectura, incidentes, proveedores y evidencia.</w:t>
      </w:r>
    </w:p>
    <w:p>
      <w:pPr>
        <w:pStyle w:val="Heading2"/>
      </w:pPr>
      <w:r>
        <w:t>Chapter 05 — Responsabilidad compartida</w:t>
      </w:r>
    </w:p>
    <w:p>
      <w:pPr>
        <w:spacing w:after="120"/>
      </w:pPr>
      <w:r>
        <w:t>Mantenga matrices por servicio con propiedad, configuración, evidencia, dependencias y excepciones.</w:t>
      </w:r>
    </w:p>
    <w:p>
      <w:pPr>
        <w:pStyle w:val="Heading2"/>
      </w:pPr>
      <w:r>
        <w:t>Chapter 06 — Gobierno de seguridad de la información</w:t>
      </w:r>
    </w:p>
    <w:p>
      <w:pPr>
        <w:spacing w:after="120"/>
      </w:pPr>
      <w:r>
        <w:t>Integre riesgos de nube en políticas, evaluación, tratamiento, cambios, aseguramiento y revisión gerencial.</w:t>
      </w:r>
    </w:p>
    <w:p>
      <w:pPr>
        <w:pStyle w:val="Heading2"/>
      </w:pPr>
      <w:r>
        <w:t>Chapter 07 — Activos y configuración</w:t>
      </w:r>
    </w:p>
    <w:p>
      <w:pPr>
        <w:spacing w:after="120"/>
      </w:pPr>
      <w:r>
        <w:t>Inventaríe cuentas, cargas, datos, imágenes, secretos, regiones, dependencias y configuraciones aprobadas.</w:t>
      </w:r>
    </w:p>
    <w:p>
      <w:pPr>
        <w:pStyle w:val="Heading2"/>
      </w:pPr>
      <w:r>
        <w:t>Chapter 08 — Identidad y acceso</w:t>
      </w:r>
    </w:p>
    <w:p>
      <w:pPr>
        <w:spacing w:after="120"/>
      </w:pPr>
      <w:r>
        <w:t>Gobierne federación, ciclo de cuentas, autenticación, autorización, identidades de servicio y revisiones.</w:t>
      </w:r>
    </w:p>
    <w:p>
      <w:pPr>
        <w:pStyle w:val="Heading2"/>
      </w:pPr>
      <w:r>
        <w:t>Chapter 09 — Administración privilegiada</w:t>
      </w:r>
    </w:p>
    <w:p>
      <w:pPr>
        <w:spacing w:after="120"/>
      </w:pPr>
      <w:r>
        <w:t>Aplique mínimo privilegio, MFA, elevación temporal, registros, cuentas de emergencia y segregación.</w:t>
      </w:r>
    </w:p>
    <w:p>
      <w:pPr>
        <w:pStyle w:val="Heading2"/>
      </w:pPr>
      <w:r>
        <w:t>Chapter 10 — Entornos virtuales y compartidos</w:t>
      </w:r>
    </w:p>
    <w:p>
      <w:pPr>
        <w:spacing w:after="120"/>
      </w:pPr>
      <w:r>
        <w:t>Evalúe aislamiento, multitenencia, contenedores, hipervisores, servicios compartidos y evidencia del proveedor.</w:t>
      </w:r>
    </w:p>
    <w:p>
      <w:pPr>
        <w:pStyle w:val="Heading2"/>
      </w:pPr>
      <w:r>
        <w:t>Chapter 11 — Operaciones administrativas</w:t>
      </w:r>
    </w:p>
    <w:p>
      <w:pPr>
        <w:spacing w:after="120"/>
      </w:pPr>
      <w:r>
        <w:t>Controle mantenimiento, soporte, automatización, consolas, cambios urgentes y acceso remoto.</w:t>
      </w:r>
    </w:p>
    <w:p>
      <w:pPr>
        <w:pStyle w:val="Heading2"/>
      </w:pPr>
      <w:r>
        <w:t>Chapter 12 — Arquitectura de red y nube</w:t>
      </w:r>
    </w:p>
    <w:p>
      <w:pPr>
        <w:spacing w:after="120"/>
      </w:pPr>
      <w:r>
        <w:t>Diseñe segmentación, entradas/salidas, conectividad privada, endpoints, DNS, firewalls y revisión de exposición.</w:t>
      </w:r>
    </w:p>
    <w:p>
      <w:pPr>
        <w:pStyle w:val="Heading2"/>
      </w:pPr>
      <w:r>
        <w:t>Chapter 13 — Registro y monitoreo</w:t>
      </w:r>
    </w:p>
    <w:p>
      <w:pPr>
        <w:spacing w:after="120"/>
      </w:pPr>
      <w:r>
        <w:t>Defina logs, telemetría, alertas, retención, sincronización, integridad, centralización e investigación.</w:t>
      </w:r>
    </w:p>
    <w:p>
      <w:pPr>
        <w:pStyle w:val="Heading2"/>
      </w:pPr>
      <w:r>
        <w:t>Chapter 14 — Criptografía y claves</w:t>
      </w:r>
    </w:p>
    <w:p>
      <w:pPr>
        <w:spacing w:after="120"/>
      </w:pPr>
      <w:r>
        <w:t>Defina cifrado, propiedad de claves, rotación, respaldo, HSM, secretos, revocación y evidencia.</w:t>
      </w:r>
    </w:p>
    <w:p>
      <w:pPr>
        <w:pStyle w:val="Heading2"/>
      </w:pPr>
      <w:r>
        <w:t>Chapter 15 — Vulnerabilidades y configuración</w:t>
      </w:r>
    </w:p>
    <w:p>
      <w:pPr>
        <w:spacing w:after="120"/>
      </w:pPr>
      <w:r>
        <w:t>Gestione imágenes, hosts, contenedores, dependencias, parches, postura, SLAs y excepciones.</w:t>
      </w:r>
    </w:p>
    <w:p>
      <w:pPr>
        <w:pStyle w:val="Heading2"/>
      </w:pPr>
      <w:r>
        <w:t>Chapter 16 — Gestión de incidentes</w:t>
      </w:r>
    </w:p>
    <w:p>
      <w:pPr>
        <w:spacing w:after="120"/>
      </w:pPr>
      <w:r>
        <w:t>Defina detección, triage, evidencia, comunicaciones, contención, privacidad, notificación y lecciones aprendidas.</w:t>
      </w:r>
    </w:p>
    <w:p>
      <w:pPr>
        <w:pStyle w:val="Heading2"/>
      </w:pPr>
      <w:r>
        <w:t>Chapter 17 — Resiliencia y disponibilidad</w:t>
      </w:r>
    </w:p>
    <w:p>
      <w:pPr>
        <w:spacing w:after="120"/>
      </w:pPr>
      <w:r>
        <w:t>Establezca objetivos, zonas/regiones, respaldos, recuperación, capacidad, continuidad y pruebas.</w:t>
      </w:r>
    </w:p>
    <w:p>
      <w:pPr>
        <w:pStyle w:val="Heading2"/>
      </w:pPr>
      <w:r>
        <w:t>Chapter 18 — Portabilidad e interoperabilidad</w:t>
      </w:r>
    </w:p>
    <w:p>
      <w:pPr>
        <w:spacing w:after="120"/>
      </w:pPr>
      <w:r>
        <w:t>Planifique formatos, interfaces, migración, extracción, dependencias, lock-in, pruebas y salida.</w:t>
      </w:r>
    </w:p>
    <w:p>
      <w:pPr>
        <w:pStyle w:val="Heading2"/>
      </w:pPr>
      <w:r>
        <w:t>Chapter 19 — Eliminación y devolución segura</w:t>
      </w:r>
    </w:p>
    <w:p>
      <w:pPr>
        <w:spacing w:after="120"/>
      </w:pPr>
      <w:r>
        <w:t>Controle devolución, eliminación, borrado criptográfico, copias residuales, backups y evidencia del proveedor.</w:t>
      </w:r>
    </w:p>
    <w:p>
      <w:pPr>
        <w:pStyle w:val="Heading2"/>
      </w:pPr>
      <w:r>
        <w:t>Chapter 20 — Proveedores y subprocesadores</w:t>
      </w:r>
    </w:p>
    <w:p>
      <w:pPr>
        <w:spacing w:after="120"/>
      </w:pPr>
      <w:r>
        <w:t>Inventaríe terceros, contratos, ubicaciones, cambios, incidentes, auditoría, remediación y terminación.</w:t>
      </w:r>
    </w:p>
    <w:p>
      <w:pPr>
        <w:pStyle w:val="Heading2"/>
      </w:pPr>
      <w:r>
        <w:t>Chapter 21 — Alcance de procesador de PII en nube pública</w:t>
      </w:r>
    </w:p>
    <w:p>
      <w:pPr>
        <w:spacing w:after="120"/>
      </w:pPr>
      <w:r>
        <w:t>Determine roles y documente instrucciones, categorías, finalidades y capas jurídicas sin convertir ISO en ley.</w:t>
      </w:r>
    </w:p>
    <w:p>
      <w:pPr>
        <w:pStyle w:val="Heading2"/>
      </w:pPr>
      <w:r>
        <w:t>Chapter 22 — Instrucciones del cliente y límites de finalidad</w:t>
      </w:r>
    </w:p>
    <w:p>
      <w:pPr>
        <w:spacing w:after="120"/>
      </w:pPr>
      <w:r>
        <w:t>Documente procesamiento autorizado, usos prohibidos, cambios, soporte, retención y eliminación.</w:t>
      </w:r>
    </w:p>
    <w:p>
      <w:pPr>
        <w:pStyle w:val="Heading2"/>
      </w:pPr>
      <w:r>
        <w:t>Chapter 23 — Divulgación y transparencia</w:t>
      </w:r>
    </w:p>
    <w:p>
      <w:pPr>
        <w:spacing w:after="120"/>
      </w:pPr>
      <w:r>
        <w:t>Mantenga información sobre proveedor, subprocesadores, ubicaciones, capacidades, cambios y riesgos materiales.</w:t>
      </w:r>
    </w:p>
    <w:p>
      <w:pPr>
        <w:pStyle w:val="Heading2"/>
      </w:pPr>
      <w:r>
        <w:t>Chapter 24 — Soporte a brechas</w:t>
      </w:r>
    </w:p>
    <w:p>
      <w:pPr>
        <w:spacing w:after="120"/>
      </w:pPr>
      <w:r>
        <w:t>Defina detección, comunicación, evidencia, apoyo a evaluación/notificación, coordinación y remediación.</w:t>
      </w:r>
    </w:p>
    <w:p>
      <w:pPr>
        <w:pStyle w:val="Heading2"/>
      </w:pPr>
      <w:r>
        <w:t>Chapter 25 — Ubicación y transferencias de datos</w:t>
      </w:r>
    </w:p>
    <w:p>
      <w:pPr>
        <w:spacing w:after="120"/>
      </w:pPr>
      <w:r>
        <w:t>Rastree almacenamiento, replicación, soporte, acceso remoto, transferencias y decisiones jurisdiccionales.</w:t>
      </w:r>
    </w:p>
    <w:p>
      <w:pPr>
        <w:pStyle w:val="Heading2"/>
      </w:pPr>
      <w:r>
        <w:t>Chapter 26 — Controles contractuales</w:t>
      </w:r>
    </w:p>
    <w:p>
      <w:pPr>
        <w:spacing w:after="120"/>
      </w:pPr>
      <w:r>
        <w:t>Traduzca responsabilidades a contratos, DPA, SLA, incidentes, auditoría, subprocesadores, eliminación y salida.</w:t>
      </w:r>
    </w:p>
    <w:p>
      <w:pPr>
        <w:pStyle w:val="Heading2"/>
      </w:pPr>
      <w:r>
        <w:t>Chapter 27 — Evidencia y auditabilidad</w:t>
      </w:r>
    </w:p>
    <w:p>
      <w:pPr>
        <w:spacing w:after="120"/>
      </w:pPr>
      <w:r>
        <w:t>Defina evidencia de responsabilidades, configuraciones, acceso, logs, incidentes, eliminación, resiliencia y privacidad.</w:t>
      </w:r>
    </w:p>
    <w:p>
      <w:pPr>
        <w:pStyle w:val="Heading2"/>
      </w:pPr>
      <w:r>
        <w:t>Chapter 28 — Tratamiento de riesgos</w:t>
      </w:r>
    </w:p>
    <w:p>
      <w:pPr>
        <w:spacing w:after="120"/>
      </w:pPr>
      <w:r>
        <w:t>Evalúe amenazas de nube, fallas compartidas, concentración, exposición, resiliencia y restricciones de salida.</w:t>
      </w:r>
    </w:p>
    <w:p>
      <w:pPr>
        <w:pStyle w:val="Heading2"/>
      </w:pPr>
      <w:r>
        <w:t>Chapter 29 — Crosswalks 27001, 27002 y 27701</w:t>
      </w:r>
    </w:p>
    <w:p>
      <w:pPr>
        <w:spacing w:after="120"/>
      </w:pPr>
      <w:r>
        <w:t>Use crosswalks propios con supuestos, no equivalencia, diferencias de edición y mapeos de evidencia.</w:t>
      </w:r>
    </w:p>
    <w:p>
      <w:pPr>
        <w:pStyle w:val="Heading2"/>
      </w:pPr>
      <w:r>
        <w:t>Chapter 30 — Métricas y límites de aseguramiento</w:t>
      </w:r>
    </w:p>
    <w:p>
      <w:pPr>
        <w:spacing w:after="120"/>
      </w:pPr>
      <w:r>
        <w:t>Mida postura, privilegios, incidentes, proveedores, recuperación, eliminación, excepciones y cobertura.</w:t>
      </w:r>
    </w:p>
    <w:p>
      <w:pPr>
        <w:pStyle w:val="Heading2"/>
      </w:pPr>
      <w:r>
        <w:t>Chapter 31 — Localización, procedencia y copyright</w:t>
      </w:r>
    </w:p>
    <w:p>
      <w:pPr>
        <w:spacing w:after="120"/>
      </w:pPr>
      <w:r>
        <w:t>Congele EN/es-419/pt-BR, preserve aviso de traducción no autorizada y vincule candidatos a SHA-256.</w:t>
      </w:r>
    </w:p>
    <w:p>
      <w:pPr>
        <w:pStyle w:val="Heading2"/>
      </w:pPr>
      <w:r>
        <w:t>Chapter 32 — Reverificación de edición y liberación</w:t>
      </w:r>
    </w:p>
    <w:p>
      <w:pPr>
        <w:spacing w:after="120"/>
      </w:pPr>
      <w:r>
        <w:t>Revalide versiones ISO, dependencias, predecesor 42, identidad exacta, QA limpia y registros antes de publicar.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