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Obligations</w:t>
      </w:r>
      <w:r>
        <w:t xml:space="preserve"> </w:t>
      </w:r>
      <w:r>
        <w:t xml:space="preserve">Register</w:t>
      </w:r>
      <w:r>
        <w:t xml:space="preserve"> </w:t>
      </w:r>
      <w:r>
        <w:t xml:space="preserve">and</w:t>
      </w:r>
      <w:r>
        <w:t xml:space="preserve"> </w:t>
      </w:r>
      <w:r>
        <w:t xml:space="preserve">Regulatory</w:t>
      </w:r>
      <w:r>
        <w:t xml:space="preserve"> </w:t>
      </w:r>
      <w:r>
        <w:t xml:space="preserve">Change</w:t>
      </w:r>
      <w:r>
        <w:t xml:space="preserve"> </w:t>
      </w:r>
      <w:r>
        <w:t xml:space="preserve">Management</w:t>
      </w:r>
      <w:r>
        <w:t xml:space="preserve"> </w:t>
      </w:r>
      <w:r>
        <w:t xml:space="preserve">Toolkit</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61998b9e4f1144d2fd64e16db0c34f0ed8d662"/>
    <w:p>
      <w:pPr>
        <w:pStyle w:val="Heading1"/>
      </w:pPr>
      <w:r>
        <w:t xml:space="preserve">Compliance Obligations Register and Regulatory Change Management Toolkit</w:t>
      </w:r>
    </w:p>
    <w:p>
      <w:pPr>
        <w:pStyle w:val="BlockText"/>
      </w:pPr>
      <w:r>
        <w:rPr>
          <w:bCs/>
          <w:b/>
        </w:rPr>
        <w:t xml:space="preserve">Educational and governance-use notice:</w:t>
      </w:r>
      <w:r>
        <w:t xml:space="preserve"> </w:t>
      </w:r>
      <w:r>
        <w:t xml:space="preserve">This toolkit does not provide legal advice, determine applicability, certify compliance, prove control effectiveness, or replace official legal texts and qualified professional review.</w:t>
      </w:r>
    </w:p>
    <w:p>
      <w:pPr>
        <w:pStyle w:val="BlockText"/>
      </w:pPr>
      <w:r>
        <w:rPr>
          <w:bCs/>
          <w:b/>
        </w:rPr>
        <w:t xml:space="preserve">Source-control notice:</w:t>
      </w:r>
      <w:r>
        <w:t xml:space="preserve"> </w:t>
      </w:r>
      <w:r>
        <w:t xml:space="preserve">Verify every obligation and change against an authoritative current source. Record jurisdiction, scope, dates, version, interpretation owner, implementation status, evidence, and review history.</w:t>
      </w:r>
    </w:p>
    <w:bookmarkEnd w:id="20"/>
    <w:bookmarkStart w:id="31" w:name="X990a11ae792c03c0e60e6286ef93b362220ae5c"/>
    <w:p>
      <w:pPr>
        <w:pStyle w:val="Heading1"/>
      </w:pPr>
      <w:r>
        <w:t xml:space="preserve">Governance, Source Authority, and Obligation Inventory</w:t>
      </w:r>
    </w:p>
    <w:bookmarkStart w:id="21" w:name="purpose"/>
    <w:p>
      <w:pPr>
        <w:pStyle w:val="Heading2"/>
      </w:pPr>
      <w:r>
        <w:t xml:space="preserve">1. Purpose</w:t>
      </w:r>
    </w:p>
    <w:p>
      <w:pPr>
        <w:pStyle w:val="FirstParagraph"/>
      </w:pPr>
      <w:r>
        <w:t xml:space="preserve">A compliance obligations register is a controlled inventory of requirements that an organization has determined may govern its activities. It supports accountability, implementation planning, monitoring, evidence retention, and change management. It does not replace the authoritative source or a qualified applicability decision.</w:t>
      </w:r>
    </w:p>
    <w:bookmarkEnd w:id="21"/>
    <w:bookmarkStart w:id="22" w:name="define-obligation-categories"/>
    <w:p>
      <w:pPr>
        <w:pStyle w:val="Heading2"/>
      </w:pPr>
      <w:r>
        <w:t xml:space="preserve">2. Define obligation categories</w:t>
      </w:r>
    </w:p>
    <w:p>
      <w:pPr>
        <w:pStyle w:val="FirstParagraph"/>
      </w:pPr>
      <w:r>
        <w:t xml:space="preserve">Use controlled categories so unlike requirements are not treated as interchangeable:</w:t>
      </w:r>
    </w:p>
    <w:p>
      <w:pPr>
        <w:numPr>
          <w:ilvl w:val="0"/>
          <w:numId w:val="1001"/>
        </w:numPr>
        <w:pStyle w:val="Compact"/>
      </w:pPr>
      <w:r>
        <w:t xml:space="preserve">law or statute;</w:t>
      </w:r>
    </w:p>
    <w:p>
      <w:pPr>
        <w:numPr>
          <w:ilvl w:val="0"/>
          <w:numId w:val="1001"/>
        </w:numPr>
        <w:pStyle w:val="Compact"/>
      </w:pPr>
      <w:r>
        <w:t xml:space="preserve">regulation or binding rule;</w:t>
      </w:r>
    </w:p>
    <w:p>
      <w:pPr>
        <w:numPr>
          <w:ilvl w:val="0"/>
          <w:numId w:val="1001"/>
        </w:numPr>
        <w:pStyle w:val="Compact"/>
      </w:pPr>
      <w:r>
        <w:t xml:space="preserve">regulatory order, permit, license, or authorization;</w:t>
      </w:r>
    </w:p>
    <w:p>
      <w:pPr>
        <w:numPr>
          <w:ilvl w:val="0"/>
          <w:numId w:val="1001"/>
        </w:numPr>
        <w:pStyle w:val="Compact"/>
      </w:pPr>
      <w:r>
        <w:t xml:space="preserve">contract or customer commitment;</w:t>
      </w:r>
    </w:p>
    <w:p>
      <w:pPr>
        <w:numPr>
          <w:ilvl w:val="0"/>
          <w:numId w:val="1001"/>
        </w:numPr>
        <w:pStyle w:val="Compact"/>
      </w:pPr>
      <w:r>
        <w:t xml:space="preserve">court, tribunal, or administrative decision;</w:t>
      </w:r>
    </w:p>
    <w:p>
      <w:pPr>
        <w:numPr>
          <w:ilvl w:val="0"/>
          <w:numId w:val="1001"/>
        </w:numPr>
        <w:pStyle w:val="Compact"/>
      </w:pPr>
      <w:r>
        <w:t xml:space="preserve">mandatory industry or payment-program requirement;</w:t>
      </w:r>
    </w:p>
    <w:p>
      <w:pPr>
        <w:numPr>
          <w:ilvl w:val="0"/>
          <w:numId w:val="1001"/>
        </w:numPr>
        <w:pStyle w:val="Compact"/>
      </w:pPr>
      <w:r>
        <w:t xml:space="preserve">adopted standard or certification criterion;</w:t>
      </w:r>
    </w:p>
    <w:p>
      <w:pPr>
        <w:numPr>
          <w:ilvl w:val="0"/>
          <w:numId w:val="1001"/>
        </w:numPr>
        <w:pStyle w:val="Compact"/>
      </w:pPr>
      <w:r>
        <w:t xml:space="preserve">internal policy or governance commitment;</w:t>
      </w:r>
    </w:p>
    <w:p>
      <w:pPr>
        <w:numPr>
          <w:ilvl w:val="0"/>
          <w:numId w:val="1001"/>
        </w:numPr>
        <w:pStyle w:val="Compact"/>
      </w:pPr>
      <w:r>
        <w:t xml:space="preserve">voluntary code, framework, or guidance.</w:t>
      </w:r>
    </w:p>
    <w:p>
      <w:pPr>
        <w:pStyle w:val="FirstParagraph"/>
      </w:pPr>
      <w:r>
        <w:t xml:space="preserve">Record whether each item is mandatory, voluntarily adopted, contractually binding, or informational.</w:t>
      </w:r>
    </w:p>
    <w:bookmarkEnd w:id="22"/>
    <w:bookmarkStart w:id="23" w:name="establish-source-authority"/>
    <w:p>
      <w:pPr>
        <w:pStyle w:val="Heading2"/>
      </w:pPr>
      <w:r>
        <w:t xml:space="preserve">3. Establish source authority</w:t>
      </w:r>
    </w:p>
    <w:p>
      <w:pPr>
        <w:pStyle w:val="FirstParagraph"/>
      </w:pPr>
      <w:r>
        <w:t xml:space="preserve">Each source record should identify:</w:t>
      </w:r>
    </w:p>
    <w:p>
      <w:pPr>
        <w:numPr>
          <w:ilvl w:val="0"/>
          <w:numId w:val="1002"/>
        </w:numPr>
        <w:pStyle w:val="Compact"/>
      </w:pPr>
      <w:r>
        <w:t xml:space="preserve">official title and identifier;</w:t>
      </w:r>
    </w:p>
    <w:p>
      <w:pPr>
        <w:numPr>
          <w:ilvl w:val="0"/>
          <w:numId w:val="1002"/>
        </w:numPr>
        <w:pStyle w:val="Compact"/>
      </w:pPr>
      <w:r>
        <w:t xml:space="preserve">issuing authority;</w:t>
      </w:r>
    </w:p>
    <w:p>
      <w:pPr>
        <w:numPr>
          <w:ilvl w:val="0"/>
          <w:numId w:val="1002"/>
        </w:numPr>
        <w:pStyle w:val="Compact"/>
      </w:pPr>
      <w:r>
        <w:t xml:space="preserve">jurisdiction and sector;</w:t>
      </w:r>
    </w:p>
    <w:p>
      <w:pPr>
        <w:numPr>
          <w:ilvl w:val="0"/>
          <w:numId w:val="1002"/>
        </w:numPr>
        <w:pStyle w:val="Compact"/>
      </w:pPr>
      <w:r>
        <w:t xml:space="preserve">authoritative publication location;</w:t>
      </w:r>
    </w:p>
    <w:p>
      <w:pPr>
        <w:numPr>
          <w:ilvl w:val="0"/>
          <w:numId w:val="1002"/>
        </w:numPr>
        <w:pStyle w:val="Compact"/>
      </w:pPr>
      <w:r>
        <w:t xml:space="preserve">source version or consolidation date;</w:t>
      </w:r>
    </w:p>
    <w:p>
      <w:pPr>
        <w:numPr>
          <w:ilvl w:val="0"/>
          <w:numId w:val="1002"/>
        </w:numPr>
        <w:pStyle w:val="Compact"/>
      </w:pPr>
      <w:r>
        <w:t xml:space="preserve">publication, adoption, effective, transition, and enforcement dates;</w:t>
      </w:r>
    </w:p>
    <w:p>
      <w:pPr>
        <w:numPr>
          <w:ilvl w:val="0"/>
          <w:numId w:val="1002"/>
        </w:numPr>
        <w:pStyle w:val="Compact"/>
      </w:pPr>
      <w:r>
        <w:t xml:space="preserve">current status, including draft, proposed, adopted, effective, amended, stayed, delayed, superseded, withdrawn, or expired;</w:t>
      </w:r>
    </w:p>
    <w:p>
      <w:pPr>
        <w:numPr>
          <w:ilvl w:val="0"/>
          <w:numId w:val="1002"/>
        </w:numPr>
        <w:pStyle w:val="Compact"/>
      </w:pPr>
      <w:r>
        <w:t xml:space="preserve">language and translation status;</w:t>
      </w:r>
    </w:p>
    <w:p>
      <w:pPr>
        <w:numPr>
          <w:ilvl w:val="0"/>
          <w:numId w:val="1002"/>
        </w:numPr>
        <w:pStyle w:val="Compact"/>
      </w:pPr>
      <w:r>
        <w:t xml:space="preserve">access, copyright, and licensing conditions.</w:t>
      </w:r>
    </w:p>
    <w:p>
      <w:pPr>
        <w:pStyle w:val="FirstParagraph"/>
      </w:pPr>
      <w:r>
        <w:t xml:space="preserve">Secondary summaries may support discovery but should not become the authoritative requirement record.</w:t>
      </w:r>
    </w:p>
    <w:bookmarkEnd w:id="23"/>
    <w:bookmarkStart w:id="24" w:name="separate-dates"/>
    <w:p>
      <w:pPr>
        <w:pStyle w:val="Heading2"/>
      </w:pPr>
      <w:r>
        <w:t xml:space="preserve">4. Separate dates</w:t>
      </w:r>
    </w:p>
    <w:p>
      <w:pPr>
        <w:pStyle w:val="FirstParagraph"/>
      </w:pPr>
      <w:r>
        <w:t xml:space="preserve">Do not collapse all dates into one field. Publication, adoption, effective, transition-end, enforcement, implementation, and review dates can differ materially. The register must preserve those distinctions because an adopted requirement may not yet be effective, and an effective requirement may have phased obligations or delayed enforcement.</w:t>
      </w:r>
    </w:p>
    <w:bookmarkEnd w:id="24"/>
    <w:bookmarkStart w:id="25" w:name="assign-governance-roles"/>
    <w:p>
      <w:pPr>
        <w:pStyle w:val="Heading2"/>
      </w:pPr>
      <w:r>
        <w:t xml:space="preserve">5. Assign governance roles</w:t>
      </w:r>
    </w:p>
    <w:p>
      <w:pPr>
        <w:pStyle w:val="FirstParagraph"/>
      </w:pPr>
      <w:r>
        <w:t xml:space="preserve">Recommended roles include:</w:t>
      </w:r>
    </w:p>
    <w:p>
      <w:pPr>
        <w:numPr>
          <w:ilvl w:val="0"/>
          <w:numId w:val="1003"/>
        </w:numPr>
        <w:pStyle w:val="Compact"/>
      </w:pPr>
      <w:r>
        <w:rPr>
          <w:bCs/>
          <w:b/>
        </w:rPr>
        <w:t xml:space="preserve">compliance governance owner</w:t>
      </w:r>
      <w:r>
        <w:t xml:space="preserve"> </w:t>
      </w:r>
      <w:r>
        <w:t xml:space="preserve">— approves methodology and reporting;</w:t>
      </w:r>
    </w:p>
    <w:p>
      <w:pPr>
        <w:numPr>
          <w:ilvl w:val="0"/>
          <w:numId w:val="1003"/>
        </w:numPr>
        <w:pStyle w:val="Compact"/>
      </w:pPr>
      <w:r>
        <w:rPr>
          <w:bCs/>
          <w:b/>
        </w:rPr>
        <w:t xml:space="preserve">source steward</w:t>
      </w:r>
      <w:r>
        <w:t xml:space="preserve"> </w:t>
      </w:r>
      <w:r>
        <w:t xml:space="preserve">— verifies official sources, versions, and status;</w:t>
      </w:r>
    </w:p>
    <w:p>
      <w:pPr>
        <w:numPr>
          <w:ilvl w:val="0"/>
          <w:numId w:val="1003"/>
        </w:numPr>
        <w:pStyle w:val="Compact"/>
      </w:pPr>
      <w:r>
        <w:rPr>
          <w:bCs/>
          <w:b/>
        </w:rPr>
        <w:t xml:space="preserve">legal or subject-matter reviewer</w:t>
      </w:r>
      <w:r>
        <w:t xml:space="preserve"> </w:t>
      </w:r>
      <w:r>
        <w:t xml:space="preserve">— evaluates meaning and applicability;</w:t>
      </w:r>
    </w:p>
    <w:p>
      <w:pPr>
        <w:numPr>
          <w:ilvl w:val="0"/>
          <w:numId w:val="1003"/>
        </w:numPr>
        <w:pStyle w:val="Compact"/>
      </w:pPr>
      <w:r>
        <w:rPr>
          <w:bCs/>
          <w:b/>
        </w:rPr>
        <w:t xml:space="preserve">obligation owner</w:t>
      </w:r>
      <w:r>
        <w:t xml:space="preserve"> </w:t>
      </w:r>
      <w:r>
        <w:t xml:space="preserve">— remains accountable for the requirement;</w:t>
      </w:r>
    </w:p>
    <w:p>
      <w:pPr>
        <w:numPr>
          <w:ilvl w:val="0"/>
          <w:numId w:val="1003"/>
        </w:numPr>
        <w:pStyle w:val="Compact"/>
      </w:pPr>
      <w:r>
        <w:rPr>
          <w:bCs/>
          <w:b/>
        </w:rPr>
        <w:t xml:space="preserve">control owner</w:t>
      </w:r>
      <w:r>
        <w:t xml:space="preserve"> </w:t>
      </w:r>
      <w:r>
        <w:t xml:space="preserve">— maintains implementation and evidence;</w:t>
      </w:r>
    </w:p>
    <w:p>
      <w:pPr>
        <w:numPr>
          <w:ilvl w:val="0"/>
          <w:numId w:val="1003"/>
        </w:numPr>
        <w:pStyle w:val="Compact"/>
      </w:pPr>
      <w:r>
        <w:rPr>
          <w:bCs/>
          <w:b/>
        </w:rPr>
        <w:t xml:space="preserve">regulatory change coordinator</w:t>
      </w:r>
      <w:r>
        <w:t xml:space="preserve"> </w:t>
      </w:r>
      <w:r>
        <w:t xml:space="preserve">— manages horizon scanning and change intake;</w:t>
      </w:r>
    </w:p>
    <w:p>
      <w:pPr>
        <w:numPr>
          <w:ilvl w:val="0"/>
          <w:numId w:val="1003"/>
        </w:numPr>
        <w:pStyle w:val="Compact"/>
      </w:pPr>
      <w:r>
        <w:rPr>
          <w:bCs/>
          <w:b/>
        </w:rPr>
        <w:t xml:space="preserve">records custodian</w:t>
      </w:r>
      <w:r>
        <w:t xml:space="preserve"> </w:t>
      </w:r>
      <w:r>
        <w:t xml:space="preserve">— retains decisions, versions, approvals, and evidence;</w:t>
      </w:r>
    </w:p>
    <w:p>
      <w:pPr>
        <w:numPr>
          <w:ilvl w:val="0"/>
          <w:numId w:val="1003"/>
        </w:numPr>
        <w:pStyle w:val="Compact"/>
      </w:pPr>
      <w:r>
        <w:rPr>
          <w:bCs/>
          <w:b/>
        </w:rPr>
        <w:t xml:space="preserve">independent reviewer</w:t>
      </w:r>
      <w:r>
        <w:t xml:space="preserve"> </w:t>
      </w:r>
      <w:r>
        <w:t xml:space="preserve">— challenges unsupported conclusions and closure claims.</w:t>
      </w:r>
    </w:p>
    <w:bookmarkEnd w:id="25"/>
    <w:bookmarkStart w:id="26" w:name="set-inventory-boundaries"/>
    <w:p>
      <w:pPr>
        <w:pStyle w:val="Heading2"/>
      </w:pPr>
      <w:r>
        <w:t xml:space="preserve">6. Set inventory boundaries</w:t>
      </w:r>
    </w:p>
    <w:p>
      <w:pPr>
        <w:pStyle w:val="FirstParagraph"/>
      </w:pPr>
      <w:r>
        <w:t xml:space="preserve">Document which entities, jurisdictions, products, services, systems, data types, facilities, workforce populations, suppliers, licenses, contracts, and business processes are included. An organization-wide inventory may contain local obligations, but local requirements must retain their scope and should not be generalized automatically.</w:t>
      </w:r>
    </w:p>
    <w:bookmarkEnd w:id="26"/>
    <w:bookmarkStart w:id="27" w:name="create-obligation-identifiers"/>
    <w:p>
      <w:pPr>
        <w:pStyle w:val="Heading2"/>
      </w:pPr>
      <w:r>
        <w:t xml:space="preserve">7. Create obligation identifiers</w:t>
      </w:r>
    </w:p>
    <w:p>
      <w:pPr>
        <w:pStyle w:val="FirstParagraph"/>
      </w:pPr>
      <w:r>
        <w:t xml:space="preserve">Assign a stable organization identifier to each obligation while preserving the official source reference. Use parent-child relationships when a source provision contains multiple independently actionable duties. Do not invent identifiers that could be mistaken for official citations.</w:t>
      </w:r>
    </w:p>
    <w:bookmarkEnd w:id="27"/>
    <w:bookmarkStart w:id="28" w:name="minimum-entry-criteria"/>
    <w:p>
      <w:pPr>
        <w:pStyle w:val="Heading2"/>
      </w:pPr>
      <w:r>
        <w:t xml:space="preserve">8. Minimum entry criteria</w:t>
      </w:r>
    </w:p>
    <w:p>
      <w:pPr>
        <w:pStyle w:val="FirstParagraph"/>
      </w:pPr>
      <w:r>
        <w:t xml:space="preserve">An obligation should not enter the controlled register without:</w:t>
      </w:r>
    </w:p>
    <w:p>
      <w:pPr>
        <w:numPr>
          <w:ilvl w:val="0"/>
          <w:numId w:val="1004"/>
        </w:numPr>
        <w:pStyle w:val="Compact"/>
      </w:pPr>
      <w:r>
        <w:t xml:space="preserve">an identifiable source and current status;</w:t>
      </w:r>
    </w:p>
    <w:p>
      <w:pPr>
        <w:numPr>
          <w:ilvl w:val="0"/>
          <w:numId w:val="1004"/>
        </w:numPr>
        <w:pStyle w:val="Compact"/>
      </w:pPr>
      <w:r>
        <w:t xml:space="preserve">a traceable official reference or documented reason why one is unavailable;</w:t>
      </w:r>
    </w:p>
    <w:p>
      <w:pPr>
        <w:numPr>
          <w:ilvl w:val="0"/>
          <w:numId w:val="1004"/>
        </w:numPr>
        <w:pStyle w:val="Compact"/>
      </w:pPr>
      <w:r>
        <w:t xml:space="preserve">a preliminary scope and applicability status;</w:t>
      </w:r>
    </w:p>
    <w:p>
      <w:pPr>
        <w:numPr>
          <w:ilvl w:val="0"/>
          <w:numId w:val="1004"/>
        </w:numPr>
        <w:pStyle w:val="Compact"/>
      </w:pPr>
      <w:r>
        <w:t xml:space="preserve">an accountable owner;</w:t>
      </w:r>
    </w:p>
    <w:p>
      <w:pPr>
        <w:numPr>
          <w:ilvl w:val="0"/>
          <w:numId w:val="1004"/>
        </w:numPr>
        <w:pStyle w:val="Compact"/>
      </w:pPr>
      <w:r>
        <w:t xml:space="preserve">a review date;</w:t>
      </w:r>
    </w:p>
    <w:p>
      <w:pPr>
        <w:numPr>
          <w:ilvl w:val="0"/>
          <w:numId w:val="1004"/>
        </w:numPr>
        <w:pStyle w:val="Compact"/>
      </w:pPr>
      <w:r>
        <w:t xml:space="preserve">an explicit statement of uncertainty when interpretation is incomplete.</w:t>
      </w:r>
    </w:p>
    <w:bookmarkEnd w:id="28"/>
    <w:bookmarkStart w:id="29" w:name="prohibited-claims"/>
    <w:p>
      <w:pPr>
        <w:pStyle w:val="Heading2"/>
      </w:pPr>
      <w:r>
        <w:t xml:space="preserve">9. Prohibited claims</w:t>
      </w:r>
    </w:p>
    <w:p>
      <w:pPr>
        <w:pStyle w:val="FirstParagraph"/>
      </w:pPr>
      <w:r>
        <w:t xml:space="preserve">Do not state that inclusion in the register proves applicability, that assignment to a control proves implementation, or that evidence presence proves compliance. Each conclusion requires its own review and supporting facts.</w:t>
      </w:r>
    </w:p>
    <w:bookmarkEnd w:id="29"/>
    <w:bookmarkStart w:id="30" w:name="governance-evidence"/>
    <w:p>
      <w:pPr>
        <w:pStyle w:val="Heading2"/>
      </w:pPr>
      <w:r>
        <w:t xml:space="preserve">10. Governance evidence</w:t>
      </w:r>
    </w:p>
    <w:p>
      <w:pPr>
        <w:pStyle w:val="FirstParagraph"/>
      </w:pPr>
      <w:r>
        <w:t xml:space="preserve">Retain the methodology, source inventory, role assignments, approval records, review calendar, change history, superseded entries, unresolved questions, exceptions, and escalation records.</w:t>
      </w:r>
    </w:p>
    <w:bookmarkEnd w:id="30"/>
    <w:bookmarkEnd w:id="31"/>
    <w:bookmarkStart w:id="42" w:name="X961144e25b1d1cb8156e84ad336346c57e624f2"/>
    <w:p>
      <w:pPr>
        <w:pStyle w:val="Heading1"/>
      </w:pPr>
      <w:r>
        <w:t xml:space="preserve">Applicability, Decomposition, and Interpretation</w:t>
      </w:r>
    </w:p>
    <w:bookmarkStart w:id="32" w:name="X4640391e06dd18f73fa57f91a8b5c6bf915465f"/>
    <w:p>
      <w:pPr>
        <w:pStyle w:val="Heading2"/>
      </w:pPr>
      <w:r>
        <w:t xml:space="preserve">1. Treat applicability as a documented decision</w:t>
      </w:r>
    </w:p>
    <w:p>
      <w:pPr>
        <w:pStyle w:val="FirstParagraph"/>
      </w:pPr>
      <w:r>
        <w:t xml:space="preserve">Applicability depends on facts. Relevant facts may include legal entity, location, regulated role, industry, license, revenue, workforce size, customer type, processing activity, data category, technology, product function, contract, transaction, or risk classification. Record the facts used, assumptions, uncertainties, reviewer, decision, and reassessment trigger.</w:t>
      </w:r>
    </w:p>
    <w:bookmarkEnd w:id="32"/>
    <w:bookmarkStart w:id="33" w:name="use-controlled-applicability-states"/>
    <w:p>
      <w:pPr>
        <w:pStyle w:val="Heading2"/>
      </w:pPr>
      <w:r>
        <w:t xml:space="preserve">2. Use controlled applicability states</w:t>
      </w:r>
    </w:p>
    <w:p>
      <w:pPr>
        <w:pStyle w:val="FirstParagraph"/>
      </w:pPr>
      <w:r>
        <w:t xml:space="preserve">Recommended states are:</w:t>
      </w:r>
    </w:p>
    <w:p>
      <w:pPr>
        <w:numPr>
          <w:ilvl w:val="0"/>
          <w:numId w:val="1005"/>
        </w:numPr>
        <w:pStyle w:val="Compact"/>
      </w:pPr>
      <w:r>
        <w:t xml:space="preserve">under review;</w:t>
      </w:r>
    </w:p>
    <w:p>
      <w:pPr>
        <w:numPr>
          <w:ilvl w:val="0"/>
          <w:numId w:val="1005"/>
        </w:numPr>
        <w:pStyle w:val="Compact"/>
      </w:pPr>
      <w:r>
        <w:t xml:space="preserve">applicable;</w:t>
      </w:r>
    </w:p>
    <w:p>
      <w:pPr>
        <w:numPr>
          <w:ilvl w:val="0"/>
          <w:numId w:val="1005"/>
        </w:numPr>
        <w:pStyle w:val="Compact"/>
      </w:pPr>
      <w:r>
        <w:t xml:space="preserve">partially applicable;</w:t>
      </w:r>
    </w:p>
    <w:p>
      <w:pPr>
        <w:numPr>
          <w:ilvl w:val="0"/>
          <w:numId w:val="1005"/>
        </w:numPr>
        <w:pStyle w:val="Compact"/>
      </w:pPr>
      <w:r>
        <w:t xml:space="preserve">conditionally applicable;</w:t>
      </w:r>
    </w:p>
    <w:p>
      <w:pPr>
        <w:numPr>
          <w:ilvl w:val="0"/>
          <w:numId w:val="1005"/>
        </w:numPr>
        <w:pStyle w:val="Compact"/>
      </w:pPr>
      <w:r>
        <w:t xml:space="preserve">not applicable with rationale;</w:t>
      </w:r>
    </w:p>
    <w:p>
      <w:pPr>
        <w:numPr>
          <w:ilvl w:val="0"/>
          <w:numId w:val="1005"/>
        </w:numPr>
        <w:pStyle w:val="Compact"/>
      </w:pPr>
      <w:r>
        <w:t xml:space="preserve">applicability deferred pending facts or guidance;</w:t>
      </w:r>
    </w:p>
    <w:p>
      <w:pPr>
        <w:numPr>
          <w:ilvl w:val="0"/>
          <w:numId w:val="1005"/>
        </w:numPr>
        <w:pStyle w:val="Compact"/>
      </w:pPr>
      <w:r>
        <w:t xml:space="preserve">superseded or no longer applicable.</w:t>
      </w:r>
    </w:p>
    <w:p>
      <w:pPr>
        <w:pStyle w:val="FirstParagraph"/>
      </w:pPr>
      <w:r>
        <w:t xml:space="preserve">Do not use blank fields to represent a decision.</w:t>
      </w:r>
    </w:p>
    <w:bookmarkEnd w:id="33"/>
    <w:bookmarkStart w:id="34" w:name="decompose-complex-provisions"/>
    <w:p>
      <w:pPr>
        <w:pStyle w:val="Heading2"/>
      </w:pPr>
      <w:r>
        <w:t xml:space="preserve">3. Decompose complex provisions</w:t>
      </w:r>
    </w:p>
    <w:p>
      <w:pPr>
        <w:pStyle w:val="FirstParagraph"/>
      </w:pPr>
      <w:r>
        <w:t xml:space="preserve">Separate a provision into actionable units when it contains different actors, actions, objects, conditions, timing, evidence, exceptions, or consequences. Each analytical unit should retain its parent source reference.</w:t>
      </w:r>
    </w:p>
    <w:p>
      <w:pPr>
        <w:pStyle w:val="BodyText"/>
      </w:pPr>
      <w:r>
        <w:t xml:space="preserve">A useful decomposition model records:</w:t>
      </w:r>
    </w:p>
    <w:p>
      <w:pPr>
        <w:numPr>
          <w:ilvl w:val="0"/>
          <w:numId w:val="1006"/>
        </w:numPr>
        <w:pStyle w:val="Compact"/>
      </w:pPr>
      <w:r>
        <w:t xml:space="preserve">regulated actor;</w:t>
      </w:r>
    </w:p>
    <w:p>
      <w:pPr>
        <w:numPr>
          <w:ilvl w:val="0"/>
          <w:numId w:val="1006"/>
        </w:numPr>
        <w:pStyle w:val="Compact"/>
      </w:pPr>
      <w:r>
        <w:t xml:space="preserve">required or prohibited action;</w:t>
      </w:r>
    </w:p>
    <w:p>
      <w:pPr>
        <w:numPr>
          <w:ilvl w:val="0"/>
          <w:numId w:val="1006"/>
        </w:numPr>
        <w:pStyle w:val="Compact"/>
      </w:pPr>
      <w:r>
        <w:t xml:space="preserve">protected object, person, process, system, or data;</w:t>
      </w:r>
    </w:p>
    <w:p>
      <w:pPr>
        <w:numPr>
          <w:ilvl w:val="0"/>
          <w:numId w:val="1006"/>
        </w:numPr>
        <w:pStyle w:val="Compact"/>
      </w:pPr>
      <w:r>
        <w:t xml:space="preserve">triggering condition;</w:t>
      </w:r>
    </w:p>
    <w:p>
      <w:pPr>
        <w:numPr>
          <w:ilvl w:val="0"/>
          <w:numId w:val="1006"/>
        </w:numPr>
        <w:pStyle w:val="Compact"/>
      </w:pPr>
      <w:r>
        <w:t xml:space="preserve">jurisdiction and scope;</w:t>
      </w:r>
    </w:p>
    <w:p>
      <w:pPr>
        <w:numPr>
          <w:ilvl w:val="0"/>
          <w:numId w:val="1006"/>
        </w:numPr>
        <w:pStyle w:val="Compact"/>
      </w:pPr>
      <w:r>
        <w:t xml:space="preserve">timing or frequency;</w:t>
      </w:r>
    </w:p>
    <w:p>
      <w:pPr>
        <w:numPr>
          <w:ilvl w:val="0"/>
          <w:numId w:val="1006"/>
        </w:numPr>
        <w:pStyle w:val="Compact"/>
      </w:pPr>
      <w:r>
        <w:t xml:space="preserve">threshold or materiality condition;</w:t>
      </w:r>
    </w:p>
    <w:p>
      <w:pPr>
        <w:numPr>
          <w:ilvl w:val="0"/>
          <w:numId w:val="1006"/>
        </w:numPr>
        <w:pStyle w:val="Compact"/>
      </w:pPr>
      <w:r>
        <w:t xml:space="preserve">exception, exemption, or alternative;</w:t>
      </w:r>
    </w:p>
    <w:p>
      <w:pPr>
        <w:numPr>
          <w:ilvl w:val="0"/>
          <w:numId w:val="1006"/>
        </w:numPr>
        <w:pStyle w:val="Compact"/>
      </w:pPr>
      <w:r>
        <w:t xml:space="preserve">documentation, notification, reporting, or retention duty;</w:t>
      </w:r>
    </w:p>
    <w:p>
      <w:pPr>
        <w:numPr>
          <w:ilvl w:val="0"/>
          <w:numId w:val="1006"/>
        </w:numPr>
        <w:pStyle w:val="Compact"/>
      </w:pPr>
      <w:r>
        <w:t xml:space="preserve">expected evidence;</w:t>
      </w:r>
    </w:p>
    <w:p>
      <w:pPr>
        <w:numPr>
          <w:ilvl w:val="0"/>
          <w:numId w:val="1006"/>
        </w:numPr>
        <w:pStyle w:val="Compact"/>
      </w:pPr>
      <w:r>
        <w:t xml:space="preserve">consequence or escalation condition.</w:t>
      </w:r>
    </w:p>
    <w:bookmarkEnd w:id="34"/>
    <w:bookmarkStart w:id="35" w:name="Xb8bbccb5887f70c775f9c14707244001145e35e"/>
    <w:p>
      <w:pPr>
        <w:pStyle w:val="Heading2"/>
      </w:pPr>
      <w:r>
        <w:t xml:space="preserve">4. Separate source language from interpretation</w:t>
      </w:r>
    </w:p>
    <w:p>
      <w:pPr>
        <w:pStyle w:val="FirstParagraph"/>
      </w:pPr>
      <w:r>
        <w:t xml:space="preserve">Maintain distinct fields for authorized source text or location, organization interpretation, assumptions, uncertainty, and implementation requirement. This prevents an internal summary from being mistaken for the official requirement.</w:t>
      </w:r>
    </w:p>
    <w:bookmarkEnd w:id="35"/>
    <w:bookmarkStart w:id="36" w:name="preserve-qualifiers"/>
    <w:p>
      <w:pPr>
        <w:pStyle w:val="Heading2"/>
      </w:pPr>
      <w:r>
        <w:t xml:space="preserve">5. Preserve qualifiers</w:t>
      </w:r>
    </w:p>
    <w:p>
      <w:pPr>
        <w:pStyle w:val="FirstParagraph"/>
      </w:pPr>
      <w:r>
        <w:t xml:space="preserve">Terms such as reasonable, appropriate, material, promptly, without undue delay, periodically, independent, documented, and risk-based may carry legal or regulatory meaning. Do not remove them merely to simplify the register. Record how the organization operationalizes the qualifier and who approved that approach.</w:t>
      </w:r>
    </w:p>
    <w:bookmarkEnd w:id="36"/>
    <w:bookmarkStart w:id="37" w:name="Xcd84e5ffd8d63f5abb10a644c3b04f3e1c2c93f"/>
    <w:p>
      <w:pPr>
        <w:pStyle w:val="Heading2"/>
      </w:pPr>
      <w:r>
        <w:t xml:space="preserve">6. Record exclusions and exemptions carefully</w:t>
      </w:r>
    </w:p>
    <w:p>
      <w:pPr>
        <w:pStyle w:val="FirstParagraph"/>
      </w:pPr>
      <w:r>
        <w:t xml:space="preserve">An exemption may depend on continuing facts. Record the factual basis, reviewer, approval, evidence, expiration or reassessment date, and change trigger. Absence of enforcement history is not an exemption.</w:t>
      </w:r>
    </w:p>
    <w:bookmarkEnd w:id="37"/>
    <w:bookmarkStart w:id="38" w:name="manage-conflicts-and-overlap"/>
    <w:p>
      <w:pPr>
        <w:pStyle w:val="Heading2"/>
      </w:pPr>
      <w:r>
        <w:t xml:space="preserve">7. Manage conflicts and overlap</w:t>
      </w:r>
    </w:p>
    <w:p>
      <w:pPr>
        <w:pStyle w:val="FirstParagraph"/>
      </w:pPr>
      <w:r>
        <w:t xml:space="preserve">When obligations overlap, preserve each source independently and link them to common controls where justified. When requirements conflict or impose different thresholds, timelines, retention periods, notice duties, or geographic restrictions, escalate rather than selecting the least demanding rule.</w:t>
      </w:r>
    </w:p>
    <w:bookmarkEnd w:id="38"/>
    <w:bookmarkStart w:id="39" w:name="handle-translations"/>
    <w:p>
      <w:pPr>
        <w:pStyle w:val="Heading2"/>
      </w:pPr>
      <w:r>
        <w:t xml:space="preserve">8. Handle translations</w:t>
      </w:r>
    </w:p>
    <w:p>
      <w:pPr>
        <w:pStyle w:val="FirstParagraph"/>
      </w:pPr>
      <w:r>
        <w:t xml:space="preserve">Identify whether the reviewed text is official, certified, authorized, or machine-assisted. Where legal meaning may depend on the authoritative language, retain the original reference and require qualified language review.</w:t>
      </w:r>
    </w:p>
    <w:bookmarkEnd w:id="39"/>
    <w:bookmarkStart w:id="40" w:name="approval-criteria"/>
    <w:p>
      <w:pPr>
        <w:pStyle w:val="Heading2"/>
      </w:pPr>
      <w:r>
        <w:t xml:space="preserve">9. Approval criteria</w:t>
      </w:r>
    </w:p>
    <w:p>
      <w:pPr>
        <w:pStyle w:val="FirstParagraph"/>
      </w:pPr>
      <w:r>
        <w:t xml:space="preserve">An applicability or interpretation record should not be approved unless the source and status are verified, relevant facts are documented, exclusions are supported, uncertainties are visible, accountable owners are assigned, and a reassessment date or event trigger is defined.</w:t>
      </w:r>
    </w:p>
    <w:bookmarkEnd w:id="40"/>
    <w:bookmarkStart w:id="41" w:name="reassessment-triggers"/>
    <w:p>
      <w:pPr>
        <w:pStyle w:val="Heading2"/>
      </w:pPr>
      <w:r>
        <w:t xml:space="preserve">10. Reassessment triggers</w:t>
      </w:r>
    </w:p>
    <w:p>
      <w:pPr>
        <w:pStyle w:val="FirstParagraph"/>
      </w:pPr>
      <w:r>
        <w:t xml:space="preserve">Reassess when the source changes, guidance or case law develops, business facts change, a new jurisdiction or product is introduced, a contract changes, thresholds are crossed, an incident exposes an assumption, or a reviewer identifies an error.</w:t>
      </w:r>
    </w:p>
    <w:bookmarkEnd w:id="41"/>
    <w:bookmarkEnd w:id="42"/>
    <w:bookmarkStart w:id="53" w:name="X9c8f4fcbbc46458bd44e2901c032ea269421f9f"/>
    <w:p>
      <w:pPr>
        <w:pStyle w:val="Heading1"/>
      </w:pPr>
      <w:r>
        <w:t xml:space="preserve">Ownership, Implementation, Controls, and Evidence</w:t>
      </w:r>
    </w:p>
    <w:bookmarkStart w:id="43" w:name="Xc0eee6cb1f0be81895a40bf537067d2afb13040"/>
    <w:p>
      <w:pPr>
        <w:pStyle w:val="Heading2"/>
      </w:pPr>
      <w:r>
        <w:t xml:space="preserve">1. Distinguish accountability from performance</w:t>
      </w:r>
    </w:p>
    <w:p>
      <w:pPr>
        <w:pStyle w:val="FirstParagraph"/>
      </w:pPr>
      <w:r>
        <w:t xml:space="preserve">The obligation owner is accountable for satisfying and monitoring the requirement. A control owner may operate one or more safeguards, and supporting teams may perform tasks. Record these roles separately so responsibility is not obscured by shared implementation.</w:t>
      </w:r>
    </w:p>
    <w:bookmarkEnd w:id="43"/>
    <w:bookmarkStart w:id="44" w:name="Xcd602c7fbe540743f44ac2aeb776d18bc0567d3"/>
    <w:p>
      <w:pPr>
        <w:pStyle w:val="Heading2"/>
      </w:pPr>
      <w:r>
        <w:t xml:space="preserve">2. Translate obligations into implementation requirements</w:t>
      </w:r>
    </w:p>
    <w:p>
      <w:pPr>
        <w:pStyle w:val="FirstParagraph"/>
      </w:pPr>
      <w:r>
        <w:t xml:space="preserve">For each applicable obligation, document the organization-specific action needed, including scope, owner, timing, quality threshold, dependencies, and expected outcome. The implementation statement should be testable without replacing the authoritative source.</w:t>
      </w:r>
    </w:p>
    <w:bookmarkEnd w:id="44"/>
    <w:bookmarkStart w:id="45" w:name="X87e69c1bd45ac01d309918019b4b8c99b4edeb0"/>
    <w:p>
      <w:pPr>
        <w:pStyle w:val="Heading2"/>
      </w:pPr>
      <w:r>
        <w:t xml:space="preserve">3. Link controls without overstating coverage</w:t>
      </w:r>
    </w:p>
    <w:p>
      <w:pPr>
        <w:pStyle w:val="FirstParagraph"/>
      </w:pPr>
      <w:r>
        <w:t xml:space="preserve">A linked control may fully address, partially address, support, or merely relate to an obligation. Record the relationship and limitations. One control may support several obligations, but each obligation-control relationship requires separate validation.</w:t>
      </w:r>
    </w:p>
    <w:bookmarkEnd w:id="45"/>
    <w:bookmarkStart w:id="46" w:name="preserve-implementation-scope"/>
    <w:p>
      <w:pPr>
        <w:pStyle w:val="Heading2"/>
      </w:pPr>
      <w:r>
        <w:t xml:space="preserve">4. Preserve implementation scope</w:t>
      </w:r>
    </w:p>
    <w:p>
      <w:pPr>
        <w:pStyle w:val="FirstParagraph"/>
      </w:pPr>
      <w:r>
        <w:t xml:space="preserve">Record the legal entity, business unit, product, process, system, asset, data, facility, supplier, workforce population, and jurisdiction covered by the implementation. A control operating in one environment should not be assumed to cover another.</w:t>
      </w:r>
    </w:p>
    <w:bookmarkEnd w:id="46"/>
    <w:bookmarkStart w:id="47" w:name="define-evidence-expectations"/>
    <w:p>
      <w:pPr>
        <w:pStyle w:val="Heading2"/>
      </w:pPr>
      <w:r>
        <w:t xml:space="preserve">5. Define evidence expectations</w:t>
      </w:r>
    </w:p>
    <w:p>
      <w:pPr>
        <w:pStyle w:val="FirstParagraph"/>
      </w:pPr>
      <w:r>
        <w:t xml:space="preserve">Evidence should demonstrate the relevant fact for the relevant period and scope. Examples include approved policies, system configurations, access records, logs, training records, contracts, assessments, approvals, notices, reports, test results, tickets, meeting records, and retained communications.</w:t>
      </w:r>
    </w:p>
    <w:p>
      <w:pPr>
        <w:pStyle w:val="BodyText"/>
      </w:pPr>
      <w:r>
        <w:t xml:space="preserve">Evidence metadata should identify owner, source, period, scope, repository, retention requirement, access restrictions, and integrity information.</w:t>
      </w:r>
    </w:p>
    <w:bookmarkEnd w:id="47"/>
    <w:bookmarkStart w:id="48" w:name="separate-design-and-operating-evidence"/>
    <w:p>
      <w:pPr>
        <w:pStyle w:val="Heading2"/>
      </w:pPr>
      <w:r>
        <w:t xml:space="preserve">6. Separate design and operating evidence</w:t>
      </w:r>
    </w:p>
    <w:p>
      <w:pPr>
        <w:pStyle w:val="FirstParagraph"/>
      </w:pPr>
      <w:r>
        <w:t xml:space="preserve">Design evidence shows that a control or process is defined appropriately. Operating evidence shows that it functioned during the required period. Neither should be substituted for the other when the obligation requires both.</w:t>
      </w:r>
    </w:p>
    <w:bookmarkEnd w:id="48"/>
    <w:bookmarkStart w:id="49" w:name="record-status-precisely"/>
    <w:p>
      <w:pPr>
        <w:pStyle w:val="Heading2"/>
      </w:pPr>
      <w:r>
        <w:t xml:space="preserve">7. Record status precisely</w:t>
      </w:r>
    </w:p>
    <w:p>
      <w:pPr>
        <w:pStyle w:val="FirstParagraph"/>
      </w:pPr>
      <w:r>
        <w:t xml:space="preserve">Implementation status, compliance status, evidence status, and assurance status are different. Recommended implementation states include not started, planned, in progress, implemented, partially implemented, blocked, exception approved, and retired. Compliance conclusions should require qualified review and should not be inferred automatically from implementation status.</w:t>
      </w:r>
    </w:p>
    <w:bookmarkEnd w:id="49"/>
    <w:bookmarkStart w:id="50" w:name="manage-gaps-and-exceptions"/>
    <w:p>
      <w:pPr>
        <w:pStyle w:val="Heading2"/>
      </w:pPr>
      <w:r>
        <w:t xml:space="preserve">8. Manage gaps and exceptions</w:t>
      </w:r>
    </w:p>
    <w:p>
      <w:pPr>
        <w:pStyle w:val="FirstParagraph"/>
      </w:pPr>
      <w:r>
        <w:t xml:space="preserve">A gap record should identify the unmet element, affected scope, risk, interim measure, owner, action plan, deadline, escalation, and acceptance authority. An exception should have documented rationale, compensating measures, approval, monitoring, expiration, and reassessment triggers.</w:t>
      </w:r>
    </w:p>
    <w:bookmarkEnd w:id="50"/>
    <w:bookmarkStart w:id="51" w:name="validate-closure"/>
    <w:p>
      <w:pPr>
        <w:pStyle w:val="Heading2"/>
      </w:pPr>
      <w:r>
        <w:t xml:space="preserve">9. Validate closure</w:t>
      </w:r>
    </w:p>
    <w:p>
      <w:pPr>
        <w:pStyle w:val="FirstParagraph"/>
      </w:pPr>
      <w:r>
        <w:t xml:space="preserve">Closure requires evidence that the required action was completed, applicable controls were updated, affected people were informed or trained, testing was performed where needed, residual risk was addressed, and the accountable approver accepted the result.</w:t>
      </w:r>
    </w:p>
    <w:bookmarkEnd w:id="51"/>
    <w:bookmarkStart w:id="52" w:name="reporting-boundaries"/>
    <w:p>
      <w:pPr>
        <w:pStyle w:val="Heading2"/>
      </w:pPr>
      <w:r>
        <w:t xml:space="preserve">10. Reporting boundaries</w:t>
      </w:r>
    </w:p>
    <w:p>
      <w:pPr>
        <w:pStyle w:val="FirstParagraph"/>
      </w:pPr>
      <w:r>
        <w:t xml:space="preserve">Dashboards should disclose data currency, unresolved applicability questions, overdue reviews, unverified evidence, approved exceptions, and known gaps. A high completion percentage does not by itself establish compliance.</w:t>
      </w:r>
    </w:p>
    <w:bookmarkEnd w:id="52"/>
    <w:bookmarkEnd w:id="53"/>
    <w:bookmarkStart w:id="64" w:name="X3097330c19d6dfe0b835c205179ca2f622e05cf"/>
    <w:p>
      <w:pPr>
        <w:pStyle w:val="Heading1"/>
      </w:pPr>
      <w:r>
        <w:t xml:space="preserve">Regulatory Horizon Scanning and Change Intake</w:t>
      </w:r>
    </w:p>
    <w:bookmarkStart w:id="54" w:name="define-the-monitoring-universe"/>
    <w:p>
      <w:pPr>
        <w:pStyle w:val="Heading2"/>
      </w:pPr>
      <w:r>
        <w:t xml:space="preserve">1. Define the monitoring universe</w:t>
      </w:r>
    </w:p>
    <w:p>
      <w:pPr>
        <w:pStyle w:val="FirstParagraph"/>
      </w:pPr>
      <w:r>
        <w:t xml:space="preserve">Horizon scanning should cover the jurisdictions, regulators, legislatures, standards bodies, courts, contractual channels, licensing authorities, industry programs, and official gazettes relevant to the organization. Document which sources are monitored, by whom, how often, and what constitutes a reportable change.</w:t>
      </w:r>
    </w:p>
    <w:bookmarkEnd w:id="54"/>
    <w:bookmarkStart w:id="55" w:name="prioritize-authoritative-channels"/>
    <w:p>
      <w:pPr>
        <w:pStyle w:val="Heading2"/>
      </w:pPr>
      <w:r>
        <w:t xml:space="preserve">2. Prioritize authoritative channels</w:t>
      </w:r>
    </w:p>
    <w:p>
      <w:pPr>
        <w:pStyle w:val="FirstParagraph"/>
      </w:pPr>
      <w:r>
        <w:t xml:space="preserve">Use official publications, regulator notices, legislative records, court or administrative sources, contractual notices, and standards-body records as authoritative inputs. Newsletters, law-firm alerts, trade associations, vendors, and media may support discovery but require verification before a controlled change record is created.</w:t>
      </w:r>
    </w:p>
    <w:bookmarkEnd w:id="55"/>
    <w:bookmarkStart w:id="56" w:name="capture-change-status"/>
    <w:p>
      <w:pPr>
        <w:pStyle w:val="Heading2"/>
      </w:pPr>
      <w:r>
        <w:t xml:space="preserve">3. Capture change status</w:t>
      </w:r>
    </w:p>
    <w:p>
      <w:pPr>
        <w:pStyle w:val="FirstParagraph"/>
      </w:pPr>
      <w:r>
        <w:t xml:space="preserve">Distinguish:</w:t>
      </w:r>
    </w:p>
    <w:p>
      <w:pPr>
        <w:numPr>
          <w:ilvl w:val="0"/>
          <w:numId w:val="1007"/>
        </w:numPr>
        <w:pStyle w:val="Compact"/>
      </w:pPr>
      <w:r>
        <w:t xml:space="preserve">consultation or request for comment;</w:t>
      </w:r>
    </w:p>
    <w:p>
      <w:pPr>
        <w:numPr>
          <w:ilvl w:val="0"/>
          <w:numId w:val="1007"/>
        </w:numPr>
        <w:pStyle w:val="Compact"/>
      </w:pPr>
      <w:r>
        <w:t xml:space="preserve">proposal or draft;</w:t>
      </w:r>
    </w:p>
    <w:p>
      <w:pPr>
        <w:numPr>
          <w:ilvl w:val="0"/>
          <w:numId w:val="1007"/>
        </w:numPr>
        <w:pStyle w:val="Compact"/>
      </w:pPr>
      <w:r>
        <w:t xml:space="preserve">adopted or enacted change;</w:t>
      </w:r>
    </w:p>
    <w:p>
      <w:pPr>
        <w:numPr>
          <w:ilvl w:val="0"/>
          <w:numId w:val="1007"/>
        </w:numPr>
        <w:pStyle w:val="Compact"/>
      </w:pPr>
      <w:r>
        <w:t xml:space="preserve">published final instrument;</w:t>
      </w:r>
    </w:p>
    <w:p>
      <w:pPr>
        <w:numPr>
          <w:ilvl w:val="0"/>
          <w:numId w:val="1007"/>
        </w:numPr>
        <w:pStyle w:val="Compact"/>
      </w:pPr>
      <w:r>
        <w:t xml:space="preserve">effective requirement;</w:t>
      </w:r>
    </w:p>
    <w:p>
      <w:pPr>
        <w:numPr>
          <w:ilvl w:val="0"/>
          <w:numId w:val="1007"/>
        </w:numPr>
        <w:pStyle w:val="Compact"/>
      </w:pPr>
      <w:r>
        <w:t xml:space="preserve">phased or transitional requirement;</w:t>
      </w:r>
    </w:p>
    <w:p>
      <w:pPr>
        <w:numPr>
          <w:ilvl w:val="0"/>
          <w:numId w:val="1007"/>
        </w:numPr>
        <w:pStyle w:val="Compact"/>
      </w:pPr>
      <w:r>
        <w:t xml:space="preserve">enforcement guidance or priority;</w:t>
      </w:r>
    </w:p>
    <w:p>
      <w:pPr>
        <w:numPr>
          <w:ilvl w:val="0"/>
          <w:numId w:val="1007"/>
        </w:numPr>
        <w:pStyle w:val="Compact"/>
      </w:pPr>
      <w:r>
        <w:t xml:space="preserve">stayed, delayed, suspended, amended, withdrawn, superseded, or expired requirement.</w:t>
      </w:r>
    </w:p>
    <w:p>
      <w:pPr>
        <w:pStyle w:val="FirstParagraph"/>
      </w:pPr>
      <w:r>
        <w:t xml:space="preserve">A proposal should not be recorded as an effective obligation.</w:t>
      </w:r>
    </w:p>
    <w:bookmarkEnd w:id="56"/>
    <w:bookmarkStart w:id="57" w:name="preserve-critical-dates"/>
    <w:p>
      <w:pPr>
        <w:pStyle w:val="Heading2"/>
      </w:pPr>
      <w:r>
        <w:t xml:space="preserve">4. Preserve critical dates</w:t>
      </w:r>
    </w:p>
    <w:p>
      <w:pPr>
        <w:pStyle w:val="FirstParagraph"/>
      </w:pPr>
      <w:r>
        <w:t xml:space="preserve">Record discovery, publication, adoption, effective, transition-end, enforcement, implementation, and review dates separately. Where dates vary by provision, entity type, threshold, geography, or product, create linked records or explicit phased milestones.</w:t>
      </w:r>
    </w:p>
    <w:bookmarkEnd w:id="57"/>
    <w:bookmarkStart w:id="58" w:name="perform-initial-triage"/>
    <w:p>
      <w:pPr>
        <w:pStyle w:val="Heading2"/>
      </w:pPr>
      <w:r>
        <w:t xml:space="preserve">5. Perform initial triage</w:t>
      </w:r>
    </w:p>
    <w:p>
      <w:pPr>
        <w:pStyle w:val="FirstParagraph"/>
      </w:pPr>
      <w:r>
        <w:t xml:space="preserve">Initial triage should identify:</w:t>
      </w:r>
    </w:p>
    <w:p>
      <w:pPr>
        <w:numPr>
          <w:ilvl w:val="0"/>
          <w:numId w:val="1008"/>
        </w:numPr>
        <w:pStyle w:val="Compact"/>
      </w:pPr>
      <w:r>
        <w:t xml:space="preserve">potentially affected entities, products, services, processes, systems, data, people, suppliers, and contracts;</w:t>
      </w:r>
    </w:p>
    <w:p>
      <w:pPr>
        <w:numPr>
          <w:ilvl w:val="0"/>
          <w:numId w:val="1008"/>
        </w:numPr>
        <w:pStyle w:val="Compact"/>
      </w:pPr>
      <w:r>
        <w:t xml:space="preserve">likely applicability;</w:t>
      </w:r>
    </w:p>
    <w:p>
      <w:pPr>
        <w:numPr>
          <w:ilvl w:val="0"/>
          <w:numId w:val="1008"/>
        </w:numPr>
        <w:pStyle w:val="Compact"/>
      </w:pPr>
      <w:r>
        <w:t xml:space="preserve">materiality and urgency;</w:t>
      </w:r>
    </w:p>
    <w:p>
      <w:pPr>
        <w:numPr>
          <w:ilvl w:val="0"/>
          <w:numId w:val="1008"/>
        </w:numPr>
        <w:pStyle w:val="Compact"/>
      </w:pPr>
      <w:r>
        <w:t xml:space="preserve">whether qualified review is required;</w:t>
      </w:r>
    </w:p>
    <w:p>
      <w:pPr>
        <w:numPr>
          <w:ilvl w:val="0"/>
          <w:numId w:val="1008"/>
        </w:numPr>
        <w:pStyle w:val="Compact"/>
      </w:pPr>
      <w:r>
        <w:t xml:space="preserve">known deadlines and uncertainty;</w:t>
      </w:r>
    </w:p>
    <w:p>
      <w:pPr>
        <w:numPr>
          <w:ilvl w:val="0"/>
          <w:numId w:val="1008"/>
        </w:numPr>
        <w:pStyle w:val="Compact"/>
      </w:pPr>
      <w:r>
        <w:t xml:space="preserve">immediate preservation, communication, or risk actions;</w:t>
      </w:r>
    </w:p>
    <w:p>
      <w:pPr>
        <w:numPr>
          <w:ilvl w:val="0"/>
          <w:numId w:val="1008"/>
        </w:numPr>
        <w:pStyle w:val="Compact"/>
      </w:pPr>
      <w:r>
        <w:t xml:space="preserve">accountable reviewer and owner.</w:t>
      </w:r>
    </w:p>
    <w:bookmarkEnd w:id="58"/>
    <w:bookmarkStart w:id="59" w:name="rate-materiality-and-urgency-separately"/>
    <w:p>
      <w:pPr>
        <w:pStyle w:val="Heading2"/>
      </w:pPr>
      <w:r>
        <w:t xml:space="preserve">6. Rate materiality and urgency separately</w:t>
      </w:r>
    </w:p>
    <w:p>
      <w:pPr>
        <w:pStyle w:val="FirstParagraph"/>
      </w:pPr>
      <w:r>
        <w:t xml:space="preserve">Materiality reflects potential significance to legal exposure, customers, operations, finances, safety, privacy, security, licensing, reputation, or strategy. Urgency reflects the time available to decide and act. A high-materiality change may have a long transition period; a lower-materiality notice may require immediate response.</w:t>
      </w:r>
    </w:p>
    <w:bookmarkEnd w:id="59"/>
    <w:bookmarkStart w:id="60" w:name="avoid-duplicate-and-fragmented-intake"/>
    <w:p>
      <w:pPr>
        <w:pStyle w:val="Heading2"/>
      </w:pPr>
      <w:r>
        <w:t xml:space="preserve">7. Avoid duplicate and fragmented intake</w:t>
      </w:r>
    </w:p>
    <w:p>
      <w:pPr>
        <w:pStyle w:val="FirstParagraph"/>
      </w:pPr>
      <w:r>
        <w:t xml:space="preserve">Link related publications, corrections, guidance, FAQs, implementing acts, technical standards, enforcement notices, and judicial decisions to a common change record when appropriate. Preserve each authoritative source while maintaining a coherent change history.</w:t>
      </w:r>
    </w:p>
    <w:bookmarkEnd w:id="60"/>
    <w:bookmarkStart w:id="61" w:name="establish-escalation-rules"/>
    <w:p>
      <w:pPr>
        <w:pStyle w:val="Heading2"/>
      </w:pPr>
      <w:r>
        <w:t xml:space="preserve">8. Establish escalation rules</w:t>
      </w:r>
    </w:p>
    <w:p>
      <w:pPr>
        <w:pStyle w:val="FirstParagraph"/>
      </w:pPr>
      <w:r>
        <w:t xml:space="preserve">Escalate when a change may threaten a license, create criminal or civil exposure, require customer or regulator notification, affect fundamental rights, materially alter products or contracts, require major technology changes, conflict across jurisdictions, or cannot be implemented before the required date.</w:t>
      </w:r>
    </w:p>
    <w:bookmarkEnd w:id="61"/>
    <w:bookmarkStart w:id="62" w:name="record-negative-decisions"/>
    <w:p>
      <w:pPr>
        <w:pStyle w:val="Heading2"/>
      </w:pPr>
      <w:r>
        <w:t xml:space="preserve">9. Record negative decisions</w:t>
      </w:r>
    </w:p>
    <w:p>
      <w:pPr>
        <w:pStyle w:val="FirstParagraph"/>
      </w:pPr>
      <w:r>
        <w:t xml:space="preserve">When a change is determined not applicable or not material, retain the facts, rationale, reviewer, approval, date, and reassessment trigger. A closed negative decision should remain traceable.</w:t>
      </w:r>
    </w:p>
    <w:bookmarkEnd w:id="62"/>
    <w:bookmarkStart w:id="63" w:name="intake-evidence"/>
    <w:p>
      <w:pPr>
        <w:pStyle w:val="Heading2"/>
      </w:pPr>
      <w:r>
        <w:t xml:space="preserve">10. Intake evidence</w:t>
      </w:r>
    </w:p>
    <w:p>
      <w:pPr>
        <w:pStyle w:val="FirstParagraph"/>
      </w:pPr>
      <w:r>
        <w:t xml:space="preserve">Retain the official publication, discovery record, source verification, initial assessment, reviewer assignment, decision, communications, and links to affected obligations, risks, controls, projects, and exceptions.</w:t>
      </w:r>
    </w:p>
    <w:bookmarkEnd w:id="63"/>
    <w:bookmarkEnd w:id="64"/>
    <w:bookmarkStart w:id="75" w:name="Xaa52678ece5506ab15f16fb1d7d6be10815d72b"/>
    <w:p>
      <w:pPr>
        <w:pStyle w:val="Heading1"/>
      </w:pPr>
      <w:r>
        <w:t xml:space="preserve">Impact Assessment, Implementation, and Escalation</w:t>
      </w:r>
    </w:p>
    <w:bookmarkStart w:id="65" w:name="X00ccc81dff3cb38818886c757bc026e8ccccd20"/>
    <w:p>
      <w:pPr>
        <w:pStyle w:val="Heading2"/>
      </w:pPr>
      <w:r>
        <w:t xml:space="preserve">1. Convert intake into a controlled decision</w:t>
      </w:r>
    </w:p>
    <w:p>
      <w:pPr>
        <w:pStyle w:val="FirstParagraph"/>
      </w:pPr>
      <w:r>
        <w:t xml:space="preserve">A verified change should move through documented applicability, impact, decision, implementation, validation, and closure stages. The decision record should identify who decided, what facts and sources were considered, what remains uncertain, and when reassessment is required.</w:t>
      </w:r>
    </w:p>
    <w:bookmarkEnd w:id="65"/>
    <w:bookmarkStart w:id="66" w:name="assess-impact-across-the-operating-model"/>
    <w:p>
      <w:pPr>
        <w:pStyle w:val="Heading2"/>
      </w:pPr>
      <w:r>
        <w:t xml:space="preserve">2. Assess impact across the operating model</w:t>
      </w:r>
    </w:p>
    <w:p>
      <w:pPr>
        <w:pStyle w:val="FirstParagraph"/>
      </w:pPr>
      <w:r>
        <w:t xml:space="preserve">Evaluate potential effects on:</w:t>
      </w:r>
    </w:p>
    <w:p>
      <w:pPr>
        <w:numPr>
          <w:ilvl w:val="0"/>
          <w:numId w:val="1009"/>
        </w:numPr>
        <w:pStyle w:val="Compact"/>
      </w:pPr>
      <w:r>
        <w:t xml:space="preserve">governance, accountability, and reporting;</w:t>
      </w:r>
    </w:p>
    <w:p>
      <w:pPr>
        <w:numPr>
          <w:ilvl w:val="0"/>
          <w:numId w:val="1009"/>
        </w:numPr>
        <w:pStyle w:val="Compact"/>
      </w:pPr>
      <w:r>
        <w:t xml:space="preserve">policies, standards, procedures, and records;</w:t>
      </w:r>
    </w:p>
    <w:p>
      <w:pPr>
        <w:numPr>
          <w:ilvl w:val="0"/>
          <w:numId w:val="1009"/>
        </w:numPr>
        <w:pStyle w:val="Compact"/>
      </w:pPr>
      <w:r>
        <w:t xml:space="preserve">products, services, customer journeys, and disclosures;</w:t>
      </w:r>
    </w:p>
    <w:p>
      <w:pPr>
        <w:numPr>
          <w:ilvl w:val="0"/>
          <w:numId w:val="1009"/>
        </w:numPr>
        <w:pStyle w:val="Compact"/>
      </w:pPr>
      <w:r>
        <w:t xml:space="preserve">contracts, procurement, and supplier obligations;</w:t>
      </w:r>
    </w:p>
    <w:p>
      <w:pPr>
        <w:numPr>
          <w:ilvl w:val="0"/>
          <w:numId w:val="1009"/>
        </w:numPr>
        <w:pStyle w:val="Compact"/>
      </w:pPr>
      <w:r>
        <w:t xml:space="preserve">systems, architecture, configurations, logging, and data flows;</w:t>
      </w:r>
    </w:p>
    <w:p>
      <w:pPr>
        <w:numPr>
          <w:ilvl w:val="0"/>
          <w:numId w:val="1009"/>
        </w:numPr>
        <w:pStyle w:val="Compact"/>
      </w:pPr>
      <w:r>
        <w:t xml:space="preserve">privacy, security, safety, accessibility, and human rights;</w:t>
      </w:r>
    </w:p>
    <w:p>
      <w:pPr>
        <w:numPr>
          <w:ilvl w:val="0"/>
          <w:numId w:val="1009"/>
        </w:numPr>
        <w:pStyle w:val="Compact"/>
      </w:pPr>
      <w:r>
        <w:t xml:space="preserve">workforce roles, training, monitoring, and labor conditions;</w:t>
      </w:r>
    </w:p>
    <w:p>
      <w:pPr>
        <w:numPr>
          <w:ilvl w:val="0"/>
          <w:numId w:val="1009"/>
        </w:numPr>
        <w:pStyle w:val="Compact"/>
      </w:pPr>
      <w:r>
        <w:t xml:space="preserve">finance, tax, insurance, licensing, and capital requirements;</w:t>
      </w:r>
    </w:p>
    <w:p>
      <w:pPr>
        <w:numPr>
          <w:ilvl w:val="0"/>
          <w:numId w:val="1009"/>
        </w:numPr>
        <w:pStyle w:val="Compact"/>
      </w:pPr>
      <w:r>
        <w:t xml:space="preserve">audit, certification, assessment, and regulatory engagement.</w:t>
      </w:r>
    </w:p>
    <w:bookmarkEnd w:id="66"/>
    <w:bookmarkStart w:id="67" w:name="identify-implementation-deliverables"/>
    <w:p>
      <w:pPr>
        <w:pStyle w:val="Heading2"/>
      </w:pPr>
      <w:r>
        <w:t xml:space="preserve">3. Identify implementation deliverables</w:t>
      </w:r>
    </w:p>
    <w:p>
      <w:pPr>
        <w:pStyle w:val="FirstParagraph"/>
      </w:pPr>
      <w:r>
        <w:t xml:space="preserve">Translate the change into specific deliverables with owners, dependencies, acceptance criteria, evidence, and deadlines. Examples include revised policies, configuration changes, contract amendments, notices, risk assessments, training, new controls, monitoring rules, reports, registrations, or testing.</w:t>
      </w:r>
    </w:p>
    <w:bookmarkEnd w:id="67"/>
    <w:bookmarkStart w:id="68" w:name="build-a-deadline-hierarchy"/>
    <w:p>
      <w:pPr>
        <w:pStyle w:val="Heading2"/>
      </w:pPr>
      <w:r>
        <w:t xml:space="preserve">4. Build a deadline hierarchy</w:t>
      </w:r>
    </w:p>
    <w:p>
      <w:pPr>
        <w:pStyle w:val="FirstParagraph"/>
      </w:pPr>
      <w:r>
        <w:t xml:space="preserve">Use the earliest binding date unless qualified review supports another interpretation. Distinguish internal target dates from legal or contractual dates. Include time for design, approval, procurement, development, testing, communication, training, deployment, evidence collection, and contingency.</w:t>
      </w:r>
    </w:p>
    <w:bookmarkEnd w:id="68"/>
    <w:bookmarkStart w:id="69" w:name="manage-dependencies"/>
    <w:p>
      <w:pPr>
        <w:pStyle w:val="Heading2"/>
      </w:pPr>
      <w:r>
        <w:t xml:space="preserve">5. Manage dependencies</w:t>
      </w:r>
    </w:p>
    <w:p>
      <w:pPr>
        <w:pStyle w:val="FirstParagraph"/>
      </w:pPr>
      <w:r>
        <w:t xml:space="preserve">Record dependencies on legal interpretation, regulator guidance, technology releases, suppliers, budget, staffing, works councils, customer approvals, data migration, or other projects. A dependency does not remove accountability; it should trigger monitoring and escalation.</w:t>
      </w:r>
    </w:p>
    <w:bookmarkEnd w:id="69"/>
    <w:bookmarkStart w:id="70" w:name="use-controlled-implementation-status"/>
    <w:p>
      <w:pPr>
        <w:pStyle w:val="Heading2"/>
      </w:pPr>
      <w:r>
        <w:t xml:space="preserve">6. Use controlled implementation status</w:t>
      </w:r>
    </w:p>
    <w:p>
      <w:pPr>
        <w:pStyle w:val="FirstParagraph"/>
      </w:pPr>
      <w:r>
        <w:t xml:space="preserve">Recommended states include not started, analysis, approved, planned, in progress, blocked, testing, implemented, validation pending, closed, exception approved, and cancelled with rationale.</w:t>
      </w:r>
    </w:p>
    <w:bookmarkEnd w:id="70"/>
    <w:bookmarkStart w:id="71" w:name="escalate-threatened-deadlines"/>
    <w:p>
      <w:pPr>
        <w:pStyle w:val="Heading2"/>
      </w:pPr>
      <w:r>
        <w:t xml:space="preserve">7. Escalate threatened deadlines</w:t>
      </w:r>
    </w:p>
    <w:p>
      <w:pPr>
        <w:pStyle w:val="FirstParagraph"/>
      </w:pPr>
      <w:r>
        <w:t xml:space="preserve">Escalate when the organization may miss a binding date, when scope or interpretation is unresolved near the decision deadline, when required resources are unavailable, when implementation creates material operational risk, or when responsible owners do not accept accountability.</w:t>
      </w:r>
    </w:p>
    <w:bookmarkEnd w:id="71"/>
    <w:bookmarkStart w:id="72" w:name="manage-interim-measures"/>
    <w:p>
      <w:pPr>
        <w:pStyle w:val="Heading2"/>
      </w:pPr>
      <w:r>
        <w:t xml:space="preserve">8. Manage interim measures</w:t>
      </w:r>
    </w:p>
    <w:p>
      <w:pPr>
        <w:pStyle w:val="FirstParagraph"/>
      </w:pPr>
      <w:r>
        <w:t xml:space="preserve">When final implementation cannot be completed immediately, document temporary safeguards, limitations, monitoring, communications, residual risk, approval, and expiration. Interim measures should not be labeled compliant without qualified approval.</w:t>
      </w:r>
    </w:p>
    <w:bookmarkEnd w:id="72"/>
    <w:bookmarkStart w:id="73" w:name="validate-implementation"/>
    <w:p>
      <w:pPr>
        <w:pStyle w:val="Heading2"/>
      </w:pPr>
      <w:r>
        <w:t xml:space="preserve">9. Validate implementation</w:t>
      </w:r>
    </w:p>
    <w:p>
      <w:pPr>
        <w:pStyle w:val="FirstParagraph"/>
      </w:pPr>
      <w:r>
        <w:t xml:space="preserve">Validation should confirm that deliverables exist, affected scope is covered, controls operate as designed where required, evidence is retained, communications and training occurred, contracts and records were updated, and residual issues are visible.</w:t>
      </w:r>
    </w:p>
    <w:bookmarkEnd w:id="73"/>
    <w:bookmarkStart w:id="74" w:name="closure-authority"/>
    <w:p>
      <w:pPr>
        <w:pStyle w:val="Heading2"/>
      </w:pPr>
      <w:r>
        <w:t xml:space="preserve">10. Closure authority</w:t>
      </w:r>
    </w:p>
    <w:p>
      <w:pPr>
        <w:pStyle w:val="FirstParagraph"/>
      </w:pPr>
      <w:r>
        <w:t xml:space="preserve">Closure should require accountable business acceptance and appropriate compliance, legal, security, privacy, audit, or other specialist review based on the obligation. Project completion alone is insufficient.</w:t>
      </w:r>
    </w:p>
    <w:bookmarkEnd w:id="74"/>
    <w:bookmarkEnd w:id="75"/>
    <w:bookmarkStart w:id="86" w:name="Xbe59a1957aeb90cdd3a5bd4492fc9cd36fa3628"/>
    <w:p>
      <w:pPr>
        <w:pStyle w:val="Heading1"/>
      </w:pPr>
      <w:r>
        <w:t xml:space="preserve">Review, Supersession, Retirement, and Assurance Boundaries</w:t>
      </w:r>
    </w:p>
    <w:bookmarkStart w:id="76" w:name="X49c6bda07a57369849be58f1f8b1e76ea637c50"/>
    <w:p>
      <w:pPr>
        <w:pStyle w:val="Heading2"/>
      </w:pPr>
      <w:r>
        <w:t xml:space="preserve">1. Maintain the register as a controlled record</w:t>
      </w:r>
    </w:p>
    <w:p>
      <w:pPr>
        <w:pStyle w:val="FirstParagraph"/>
      </w:pPr>
      <w:r>
        <w:t xml:space="preserve">Obligations and regulatory change records require periodic and event-driven review. Assign review frequency based on source volatility, materiality, jurisdiction, business change, enforcement exposure, and confidence in the interpretation.</w:t>
      </w:r>
    </w:p>
    <w:bookmarkEnd w:id="76"/>
    <w:bookmarkStart w:id="77" w:name="verify-current-status"/>
    <w:p>
      <w:pPr>
        <w:pStyle w:val="Heading2"/>
      </w:pPr>
      <w:r>
        <w:t xml:space="preserve">2. Verify current status</w:t>
      </w:r>
    </w:p>
    <w:p>
      <w:pPr>
        <w:pStyle w:val="FirstParagraph"/>
      </w:pPr>
      <w:r>
        <w:t xml:space="preserve">At each review, confirm the official source, version, amendments, corrections, effective dates, guidance, implementing measures, judicial or administrative developments, and known enforcement changes. Record the date and reviewer rather than overwriting the prior history.</w:t>
      </w:r>
    </w:p>
    <w:bookmarkEnd w:id="77"/>
    <w:bookmarkStart w:id="78" w:name="manage-supersession"/>
    <w:p>
      <w:pPr>
        <w:pStyle w:val="Heading2"/>
      </w:pPr>
      <w:r>
        <w:t xml:space="preserve">3. Manage supersession</w:t>
      </w:r>
    </w:p>
    <w:p>
      <w:pPr>
        <w:pStyle w:val="FirstParagraph"/>
      </w:pPr>
      <w:r>
        <w:t xml:space="preserve">When a source is amended or replaced:</w:t>
      </w:r>
    </w:p>
    <w:p>
      <w:pPr>
        <w:numPr>
          <w:ilvl w:val="0"/>
          <w:numId w:val="1010"/>
        </w:numPr>
        <w:pStyle w:val="Compact"/>
      </w:pPr>
      <w:r>
        <w:t xml:space="preserve">preserve the prior record and its effective period;</w:t>
      </w:r>
    </w:p>
    <w:p>
      <w:pPr>
        <w:numPr>
          <w:ilvl w:val="0"/>
          <w:numId w:val="1010"/>
        </w:numPr>
        <w:pStyle w:val="Compact"/>
      </w:pPr>
      <w:r>
        <w:t xml:space="preserve">link the successor source and affected obligations;</w:t>
      </w:r>
    </w:p>
    <w:p>
      <w:pPr>
        <w:numPr>
          <w:ilvl w:val="0"/>
          <w:numId w:val="1010"/>
        </w:numPr>
        <w:pStyle w:val="Compact"/>
      </w:pPr>
      <w:r>
        <w:t xml:space="preserve">identify unchanged, revised, added, and removed duties;</w:t>
      </w:r>
    </w:p>
    <w:p>
      <w:pPr>
        <w:numPr>
          <w:ilvl w:val="0"/>
          <w:numId w:val="1010"/>
        </w:numPr>
        <w:pStyle w:val="Compact"/>
      </w:pPr>
      <w:r>
        <w:t xml:space="preserve">reassess applicability, controls, evidence, contracts, and action plans;</w:t>
      </w:r>
    </w:p>
    <w:p>
      <w:pPr>
        <w:numPr>
          <w:ilvl w:val="0"/>
          <w:numId w:val="1010"/>
        </w:numPr>
        <w:pStyle w:val="Compact"/>
      </w:pPr>
      <w:r>
        <w:t xml:space="preserve">avoid closing the prior obligation until transition and retention needs are understood.</w:t>
      </w:r>
    </w:p>
    <w:bookmarkEnd w:id="78"/>
    <w:bookmarkStart w:id="79" w:name="retire-obligations-carefully"/>
    <w:p>
      <w:pPr>
        <w:pStyle w:val="Heading2"/>
      </w:pPr>
      <w:r>
        <w:t xml:space="preserve">4. Retire obligations carefully</w:t>
      </w:r>
    </w:p>
    <w:p>
      <w:pPr>
        <w:pStyle w:val="FirstParagraph"/>
      </w:pPr>
      <w:r>
        <w:t xml:space="preserve">Retirement may be appropriate when a source expires, is withdrawn, no longer applies to the organization, or is replaced. Document the reason, authority, effective retirement date, residual duties, record-retention obligations, open investigations or claims, and approval.</w:t>
      </w:r>
    </w:p>
    <w:bookmarkEnd w:id="79"/>
    <w:bookmarkStart w:id="80" w:name="preserve-historical-evidence"/>
    <w:p>
      <w:pPr>
        <w:pStyle w:val="Heading2"/>
      </w:pPr>
      <w:r>
        <w:t xml:space="preserve">5. Preserve historical evidence</w:t>
      </w:r>
    </w:p>
    <w:p>
      <w:pPr>
        <w:pStyle w:val="FirstParagraph"/>
      </w:pPr>
      <w:r>
        <w:t xml:space="preserve">Historical records may remain necessary for audits, litigation, regulator inquiries, contractual disputes, certifications, incident investigations, or proof of compliance during an earlier period. Apply approved retention and access controls.</w:t>
      </w:r>
    </w:p>
    <w:bookmarkEnd w:id="80"/>
    <w:bookmarkStart w:id="81" w:name="monitor-exceptions-and-overdue-actions"/>
    <w:p>
      <w:pPr>
        <w:pStyle w:val="Heading2"/>
      </w:pPr>
      <w:r>
        <w:t xml:space="preserve">6. Monitor exceptions and overdue actions</w:t>
      </w:r>
    </w:p>
    <w:p>
      <w:pPr>
        <w:pStyle w:val="FirstParagraph"/>
      </w:pPr>
      <w:r>
        <w:t xml:space="preserve">Reports should identify expired exceptions, overdue implementation tasks, unreviewed applicability decisions, stale evidence, unresolved conflicts, missing owners, approaching effective dates, and changes with inadequate resources.</w:t>
      </w:r>
    </w:p>
    <w:bookmarkEnd w:id="81"/>
    <w:bookmarkStart w:id="82" w:name="perform-quality-review"/>
    <w:p>
      <w:pPr>
        <w:pStyle w:val="Heading2"/>
      </w:pPr>
      <w:r>
        <w:t xml:space="preserve">7. Perform quality review</w:t>
      </w:r>
    </w:p>
    <w:p>
      <w:pPr>
        <w:pStyle w:val="FirstParagraph"/>
      </w:pPr>
      <w:r>
        <w:t xml:space="preserve">Quality review should test source traceability, date accuracy, duplicate records, unsupported applicability decisions, unclear ownership, incomplete control linkage, missing evidence expectations, overdue reviews, and closure without approval.</w:t>
      </w:r>
    </w:p>
    <w:bookmarkEnd w:id="82"/>
    <w:bookmarkStart w:id="83" w:name="X99bd4b275fd0e77c53a9f513b796255d745e41f"/>
    <w:p>
      <w:pPr>
        <w:pStyle w:val="Heading2"/>
      </w:pPr>
      <w:r>
        <w:t xml:space="preserve">8. Separate management reporting from assurance</w:t>
      </w:r>
    </w:p>
    <w:p>
      <w:pPr>
        <w:pStyle w:val="FirstParagraph"/>
      </w:pPr>
      <w:r>
        <w:t xml:space="preserve">A register can support management oversight, but it is not an audit opinion. Automated validation can confirm file integrity, required fields, structural consistency, and certain status rules. It cannot determine legal meaning, applicability, implementation effectiveness, or compliance.</w:t>
      </w:r>
    </w:p>
    <w:bookmarkEnd w:id="83"/>
    <w:bookmarkStart w:id="84" w:name="disclose-limitations"/>
    <w:p>
      <w:pPr>
        <w:pStyle w:val="Heading2"/>
      </w:pPr>
      <w:r>
        <w:t xml:space="preserve">9. Disclose limitations</w:t>
      </w:r>
    </w:p>
    <w:p>
      <w:pPr>
        <w:pStyle w:val="FirstParagraph"/>
      </w:pPr>
      <w:r>
        <w:t xml:space="preserve">Reports should state the source cut-off date, jurisdictions covered, excluded domains, unresolved interpretations, machine-assisted translations, evidence limitations, and whether qualified legal or regulatory review occurred.</w:t>
      </w:r>
    </w:p>
    <w:bookmarkEnd w:id="84"/>
    <w:bookmarkStart w:id="85" w:name="continuous-improvement"/>
    <w:p>
      <w:pPr>
        <w:pStyle w:val="Heading2"/>
      </w:pPr>
      <w:r>
        <w:t xml:space="preserve">10. Continuous improvement</w:t>
      </w:r>
    </w:p>
    <w:p>
      <w:pPr>
        <w:pStyle w:val="FirstParagraph"/>
      </w:pPr>
      <w:r>
        <w:t xml:space="preserve">Use incidents, audit findings, regulator feedback, missed deadlines, duplicate effort, stale records, and user feedback to improve sources, workflows, field definitions, escalation thresholds, training, and governance.</w:t>
      </w:r>
    </w:p>
    <w:bookmarkEnd w:id="85"/>
    <w:bookmarkEnd w:id="86"/>
    <w:bookmarkStart w:id="93" w:name="authoritative-source-governance-baseline"/>
    <w:p>
      <w:pPr>
        <w:pStyle w:val="Heading1"/>
      </w:pPr>
      <w:r>
        <w:t xml:space="preserve">Authoritative Source Governance Baseline</w:t>
      </w:r>
    </w:p>
    <w:p>
      <w:pPr>
        <w:pStyle w:val="FirstParagraph"/>
      </w:pPr>
      <w:r>
        <w:t xml:space="preserve">Verified 1 August 2026.</w:t>
      </w:r>
    </w:p>
    <w:p>
      <w:pPr>
        <w:pStyle w:val="BodyText"/>
      </w:pPr>
      <w:r>
        <w:t xml:space="preserve">This list supports the methodology and demonstrates representative authoritative-source channels. It is not a complete obligations inventory and does not establish applicability.</w:t>
      </w:r>
    </w:p>
    <w:bookmarkStart w:id="87" w:name="compliance-management-baseline"/>
    <w:p>
      <w:pPr>
        <w:pStyle w:val="Heading2"/>
      </w:pPr>
      <w:r>
        <w:t xml:space="preserve">Compliance-management baseline</w:t>
      </w:r>
    </w:p>
    <w:p>
      <w:pPr>
        <w:numPr>
          <w:ilvl w:val="0"/>
          <w:numId w:val="1011"/>
        </w:numPr>
        <w:pStyle w:val="Compact"/>
      </w:pPr>
      <w:r>
        <w:t xml:space="preserve">ISO 37301:2021,</w:t>
      </w:r>
      <w:r>
        <w:t xml:space="preserve"> </w:t>
      </w:r>
      <w:r>
        <w:rPr>
          <w:iCs/>
          <w:i/>
        </w:rPr>
        <w:t xml:space="preserve">Compliance management systems — Requirements with guidance for use</w:t>
      </w:r>
      <w:r>
        <w:t xml:space="preserve"> </w:t>
      </w:r>
      <w:r>
        <w:t xml:space="preserve">— official ISO record: https://www.iso.org/standard/75080.html</w:t>
      </w:r>
    </w:p>
    <w:p>
      <w:pPr>
        <w:pStyle w:val="FirstParagraph"/>
      </w:pPr>
      <w:r>
        <w:t xml:space="preserve">ISO standards text is copyrighted. This toolkit references the official record and does not reproduce proprietary clauses.</w:t>
      </w:r>
    </w:p>
    <w:bookmarkEnd w:id="87"/>
    <w:bookmarkStart w:id="88" w:name="european-union"/>
    <w:p>
      <w:pPr>
        <w:pStyle w:val="Heading2"/>
      </w:pPr>
      <w:r>
        <w:t xml:space="preserve">European Union</w:t>
      </w:r>
    </w:p>
    <w:p>
      <w:pPr>
        <w:numPr>
          <w:ilvl w:val="0"/>
          <w:numId w:val="1012"/>
        </w:numPr>
        <w:pStyle w:val="Compact"/>
      </w:pPr>
      <w:r>
        <w:t xml:space="preserve">EUR-Lex Official Journal access: https://eur-lex.europa.eu/oj/direct-access.html?locale=en</w:t>
      </w:r>
    </w:p>
    <w:p>
      <w:pPr>
        <w:numPr>
          <w:ilvl w:val="0"/>
          <w:numId w:val="1012"/>
        </w:numPr>
        <w:pStyle w:val="Compact"/>
      </w:pPr>
      <w:r>
        <w:t xml:space="preserve">EUR-Lex directory of legislation in force: https://eur-lex.europa.eu/browse/directories/legislation.html?locale=en</w:t>
      </w:r>
    </w:p>
    <w:p>
      <w:pPr>
        <w:pStyle w:val="FirstParagraph"/>
      </w:pPr>
      <w:r>
        <w:t xml:space="preserve">For EU legal acts, preserve the CELEX or official publication identifier, Official Journal reference, authentic language record, amendments, consolidated-text status, and applicable dates. A consolidated text supports research but should not obscure the amending acts or legal status.</w:t>
      </w:r>
    </w:p>
    <w:bookmarkEnd w:id="88"/>
    <w:bookmarkStart w:id="89" w:name="united-states"/>
    <w:p>
      <w:pPr>
        <w:pStyle w:val="Heading2"/>
      </w:pPr>
      <w:r>
        <w:t xml:space="preserve">United States</w:t>
      </w:r>
    </w:p>
    <w:p>
      <w:pPr>
        <w:numPr>
          <w:ilvl w:val="0"/>
          <w:numId w:val="1013"/>
        </w:numPr>
        <w:pStyle w:val="Compact"/>
      </w:pPr>
      <w:r>
        <w:t xml:space="preserve">Federal Register: https://www.federalregister.gov/</w:t>
      </w:r>
    </w:p>
    <w:p>
      <w:pPr>
        <w:numPr>
          <w:ilvl w:val="0"/>
          <w:numId w:val="1013"/>
        </w:numPr>
        <w:pStyle w:val="Compact"/>
      </w:pPr>
      <w:r>
        <w:t xml:space="preserve">United States Code: https://uscode.house.gov/</w:t>
      </w:r>
    </w:p>
    <w:p>
      <w:pPr>
        <w:numPr>
          <w:ilvl w:val="0"/>
          <w:numId w:val="1013"/>
        </w:numPr>
        <w:pStyle w:val="Compact"/>
      </w:pPr>
      <w:r>
        <w:t xml:space="preserve">Code of Federal Regulations: https://www.ecfr.gov/</w:t>
      </w:r>
    </w:p>
    <w:p>
      <w:pPr>
        <w:numPr>
          <w:ilvl w:val="0"/>
          <w:numId w:val="1013"/>
        </w:numPr>
        <w:pStyle w:val="Compact"/>
      </w:pPr>
      <w:r>
        <w:t xml:space="preserve">Congress.gov: https://www.congress.gov/</w:t>
      </w:r>
    </w:p>
    <w:p>
      <w:pPr>
        <w:pStyle w:val="FirstParagraph"/>
      </w:pPr>
      <w:r>
        <w:t xml:space="preserve">Distinguish proposed rules, final rules, effective dates, compliance dates, corrections, stays, and agency guidance. Verify codified requirements against the current official or authoritative publication channel.</w:t>
      </w:r>
    </w:p>
    <w:bookmarkEnd w:id="89"/>
    <w:bookmarkStart w:id="90" w:name="colombia"/>
    <w:p>
      <w:pPr>
        <w:pStyle w:val="Heading2"/>
      </w:pPr>
      <w:r>
        <w:t xml:space="preserve">Colombia</w:t>
      </w:r>
    </w:p>
    <w:p>
      <w:pPr>
        <w:numPr>
          <w:ilvl w:val="0"/>
          <w:numId w:val="1014"/>
        </w:numPr>
        <w:pStyle w:val="Compact"/>
      </w:pPr>
      <w:r>
        <w:t xml:space="preserve">SUIN-Juriscol, Sistema Único de Información Normativa: https://www.suin-juriscol.gov.co/</w:t>
      </w:r>
    </w:p>
    <w:p>
      <w:pPr>
        <w:numPr>
          <w:ilvl w:val="0"/>
          <w:numId w:val="1014"/>
        </w:numPr>
        <w:pStyle w:val="Compact"/>
      </w:pPr>
      <w:r>
        <w:t xml:space="preserve">Diario Oficial, Imprenta Nacional de Colombia: https://www.imprenta.gov.co/diario-oficial</w:t>
      </w:r>
    </w:p>
    <w:p>
      <w:pPr>
        <w:pStyle w:val="FirstParagraph"/>
      </w:pPr>
      <w:r>
        <w:t xml:space="preserve">SUIN-Juriscol supports normative and jurisprudential research and identifies that its published data are informational and do not replace official texts. Preserve the official publication reference and verify current force, amendments, concordances, and judicial effects.</w:t>
      </w:r>
    </w:p>
    <w:bookmarkEnd w:id="90"/>
    <w:bookmarkStart w:id="91" w:name="organization-specific-sources"/>
    <w:p>
      <w:pPr>
        <w:pStyle w:val="Heading2"/>
      </w:pPr>
      <w:r>
        <w:t xml:space="preserve">Organization-specific sources</w:t>
      </w:r>
    </w:p>
    <w:p>
      <w:pPr>
        <w:pStyle w:val="FirstParagraph"/>
      </w:pPr>
      <w:r>
        <w:t xml:space="preserve">Organizations should also govern authoritative channels for:</w:t>
      </w:r>
    </w:p>
    <w:p>
      <w:pPr>
        <w:numPr>
          <w:ilvl w:val="0"/>
          <w:numId w:val="1015"/>
        </w:numPr>
        <w:pStyle w:val="Compact"/>
      </w:pPr>
      <w:r>
        <w:t xml:space="preserve">sector regulators and licensing authorities;</w:t>
      </w:r>
    </w:p>
    <w:p>
      <w:pPr>
        <w:numPr>
          <w:ilvl w:val="0"/>
          <w:numId w:val="1015"/>
        </w:numPr>
        <w:pStyle w:val="Compact"/>
      </w:pPr>
      <w:r>
        <w:t xml:space="preserve">state, provincial, departmental, municipal, and local law;</w:t>
      </w:r>
    </w:p>
    <w:p>
      <w:pPr>
        <w:numPr>
          <w:ilvl w:val="0"/>
          <w:numId w:val="1015"/>
        </w:numPr>
        <w:pStyle w:val="Compact"/>
      </w:pPr>
      <w:r>
        <w:t xml:space="preserve">court and administrative decisions;</w:t>
      </w:r>
    </w:p>
    <w:p>
      <w:pPr>
        <w:numPr>
          <w:ilvl w:val="0"/>
          <w:numId w:val="1015"/>
        </w:numPr>
        <w:pStyle w:val="Compact"/>
      </w:pPr>
      <w:r>
        <w:t xml:space="preserve">permits, orders, licenses, settlements, and regulator commitments;</w:t>
      </w:r>
    </w:p>
    <w:p>
      <w:pPr>
        <w:numPr>
          <w:ilvl w:val="0"/>
          <w:numId w:val="1015"/>
        </w:numPr>
        <w:pStyle w:val="Compact"/>
      </w:pPr>
      <w:r>
        <w:t xml:space="preserve">contracts, customer obligations, and supplier flow-downs;</w:t>
      </w:r>
    </w:p>
    <w:p>
      <w:pPr>
        <w:numPr>
          <w:ilvl w:val="0"/>
          <w:numId w:val="1015"/>
        </w:numPr>
        <w:pStyle w:val="Compact"/>
      </w:pPr>
      <w:r>
        <w:t xml:space="preserve">adopted standards, certification programs, and industry schemes;</w:t>
      </w:r>
    </w:p>
    <w:p>
      <w:pPr>
        <w:numPr>
          <w:ilvl w:val="0"/>
          <w:numId w:val="1015"/>
        </w:numPr>
        <w:pStyle w:val="Compact"/>
      </w:pPr>
      <w:r>
        <w:t xml:space="preserve">internal policies and board-approved commitments.</w:t>
      </w:r>
    </w:p>
    <w:bookmarkEnd w:id="91"/>
    <w:bookmarkStart w:id="92" w:name="source-verification-record"/>
    <w:p>
      <w:pPr>
        <w:pStyle w:val="Heading2"/>
      </w:pPr>
      <w:r>
        <w:t xml:space="preserve">Source verification record</w:t>
      </w:r>
    </w:p>
    <w:p>
      <w:pPr>
        <w:pStyle w:val="FirstParagraph"/>
      </w:pPr>
      <w:r>
        <w:t xml:space="preserve">For each source, retain the official title, identifier, issuing authority, jurisdiction, source location, version or consolidation date, status, publication date, effective and transition dates, access date, language status, copyright or licensing restrictions, and reviewer.</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Obligations Register and Regulatory Change Management Toolkit</dc:title>
  <dc:creator>Alberto Al Leiva</dc:creator>
  <dc:language>en-US</dc:language>
  <dc:subject>Compliance obligations, regulatory change, GRC, governance and evidence</dc:subject>
  <cp:keywords/>
  <dcterms:created xsi:type="dcterms:W3CDTF">2026-08-01T20:13:41Z</dcterms:created>
  <dcterms:modified xsi:type="dcterms:W3CDTF">2026-08-01T20:13:41Z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unless a file states otherwise</vt:lpwstr>
  </property>
  <property fmtid="{D5CDD505-2E9C-101B-9397-08002B2CF9AE}" pid="4" name="status">
    <vt:lpwstr>Controlled English publication candidate</vt:lpwstr>
  </property>
</Properties>
</file>