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47 — EU AI Act Training &amp; Operationalization</w:t>
      </w:r>
    </w:p>
    <w:p>
      <w:pPr>
        <w:spacing w:after="120"/>
      </w:pPr>
      <w:r>
        <w:t>**Status:** CONTROLLED DEVELOPMENT</w:t>
      </w:r>
    </w:p>
    <w:p>
      <w:pPr>
        <w:spacing w:after="120"/>
      </w:pPr>
      <w:r>
        <w:t>**Version:** 0.2.0-draft</w:t>
      </w:r>
    </w:p>
    <w:p>
      <w:pPr>
        <w:spacing w:after="120"/>
      </w:pPr>
      <w:r>
        <w:t>**Role in series:** First specialist training after Manual 46 Universal AI Governance Foundation</w:t>
      </w:r>
    </w:p>
    <w:p>
      <w:pPr>
        <w:spacing w:after="120"/>
      </w:pPr>
      <w:r>
        <w:t>**Source verification date:** 31 August 2026</w:t>
      </w:r>
    </w:p>
    <w:p>
      <w:pPr>
        <w:pStyle w:val="Heading2"/>
      </w:pPr>
      <w:r>
        <w:t>1. Training objective</w:t>
      </w:r>
    </w:p>
    <w:p>
      <w:pPr>
        <w:spacing w:after="120"/>
      </w:pPr>
      <w:r>
        <w:t>Teach practitioners how to translate the EU AI Act into an enterprise governance process that identifies scope, determines value-chain roles, classifies AI systems, applies the correct obligations, establishes controls and evidence, and monitors compliance through the lifecycle.</w:t>
      </w:r>
    </w:p>
    <w:p>
      <w:pPr>
        <w:spacing w:after="120"/>
      </w:pPr>
      <w:r>
        <w:t>This manual is training-focused. The repository's existing Manual 01 remains the detailed EU AI Act GRC compliance reference.</w:t>
      </w:r>
    </w:p>
    <w:p>
      <w:pPr>
        <w:pStyle w:val="Heading2"/>
      </w:pPr>
      <w:r>
        <w:t>2. Current application timeline</w:t>
      </w:r>
    </w:p>
    <w:p>
      <w:pPr>
        <w:spacing w:after="120"/>
      </w:pPr>
      <w:r>
        <w:t>The AI Act entered into force on 1 August 2024 and became generally applicable on 2 August 2026, subject to phased exceptions and later amendments.</w:t>
      </w:r>
    </w:p>
    <w:p>
      <w:pPr>
        <w:spacing w:after="120"/>
      </w:pPr>
      <w:r>
        <w:t>Current Commission materials state:</w:t>
      </w:r>
    </w:p>
    <w:p>
      <w:pPr>
        <w:pStyle w:val="ListBullet"/>
      </w:pPr>
      <w:r>
        <w:t>prohibited-practice and AI-literacy provisions applied from 2 February 2025;</w:t>
      </w:r>
    </w:p>
    <w:p>
      <w:pPr>
        <w:pStyle w:val="ListBullet"/>
      </w:pPr>
      <w:r>
        <w:t>governance rules and obligations for general-purpose AI models applied from 2 August 2025;</w:t>
      </w:r>
    </w:p>
    <w:p>
      <w:pPr>
        <w:pStyle w:val="ListBullet"/>
      </w:pPr>
      <w:r>
        <w:t>Article 50 transparency obligations apply from 2 August 2026;</w:t>
      </w:r>
    </w:p>
    <w:p>
      <w:pPr>
        <w:pStyle w:val="ListBullet"/>
      </w:pPr>
      <w:r>
        <w:t>Annex III high-risk-system rules apply from 2 December 2027;</w:t>
      </w:r>
    </w:p>
    <w:p>
      <w:pPr>
        <w:pStyle w:val="ListBullet"/>
      </w:pPr>
      <w:r>
        <w:t>high-risk AI embedded in regulated products under Annex I applies from 2 August 2028.</w:t>
      </w:r>
    </w:p>
    <w:p>
      <w:pPr>
        <w:spacing w:after="120"/>
      </w:pPr>
      <w:r>
        <w:t>Time-sensitive dates must be reverified immediately before publication.</w:t>
      </w:r>
    </w:p>
    <w:p>
      <w:pPr>
        <w:pStyle w:val="Heading2"/>
      </w:pPr>
      <w:r>
        <w:t>3. Learning sequence</w:t>
      </w:r>
    </w:p>
    <w:p>
      <w:pPr>
        <w:pStyle w:val="Heading3"/>
      </w:pPr>
      <w:r>
        <w:t>Module 1 — Scope and applicability</w:t>
      </w:r>
    </w:p>
    <w:p>
      <w:pPr>
        <w:spacing w:after="120"/>
      </w:pPr>
      <w:r>
        <w:t>Learners should determine territorial/material scope, entity role, exclusions/special regimes and multiple-role situations.</w:t>
      </w:r>
    </w:p>
    <w:p>
      <w:pPr>
        <w:pStyle w:val="Heading3"/>
      </w:pPr>
      <w:r>
        <w:t>Module 2 — Risk classification</w:t>
      </w:r>
    </w:p>
    <w:p>
      <w:pPr>
        <w:spacing w:after="120"/>
      </w:pPr>
      <w:r>
        <w:t>Distinguish prohibited practices, high-risk AI, transparency-risk systems, GPAI obligations and lower-risk uses.</w:t>
      </w:r>
    </w:p>
    <w:p>
      <w:pPr>
        <w:pStyle w:val="Heading3"/>
      </w:pPr>
      <w:r>
        <w:t>Module 3 — Prohibited practices</w:t>
      </w:r>
    </w:p>
    <w:p>
      <w:pPr>
        <w:spacing w:after="120"/>
      </w:pPr>
      <w:r>
        <w:t>Maintain a prohibited-use screening gate, escalation criteria, documented disposition and anti-circumvention controls.</w:t>
      </w:r>
    </w:p>
    <w:p>
      <w:pPr>
        <w:pStyle w:val="Heading3"/>
      </w:pPr>
      <w:r>
        <w:t>Module 4 — AI literacy</w:t>
      </w:r>
    </w:p>
    <w:p>
      <w:pPr>
        <w:spacing w:after="120"/>
      </w:pPr>
      <w:r>
        <w:t>Embed role-based competence into onboarding, governance communications, operations and policy awareness.</w:t>
      </w:r>
    </w:p>
    <w:p>
      <w:pPr>
        <w:pStyle w:val="Heading3"/>
      </w:pPr>
      <w:r>
        <w:t>Module 5 — High-risk AI requirements</w:t>
      </w:r>
    </w:p>
    <w:p>
      <w:pPr>
        <w:spacing w:after="120"/>
      </w:pPr>
      <w:r>
        <w:t>Operationalize risk management, data governance, technical documentation, logging, transparency/instructions, human oversight, accuracy, robustness, cybersecurity, quality management, conformity-related obligations where applicable, post-market monitoring and incident processes.</w:t>
      </w:r>
    </w:p>
    <w:p>
      <w:pPr>
        <w:pStyle w:val="Heading3"/>
      </w:pPr>
      <w:r>
        <w:t>Module 6 — Provider versus deployer controls</w:t>
      </w:r>
    </w:p>
    <w:p>
      <w:pPr>
        <w:spacing w:after="120"/>
      </w:pPr>
      <w:r>
        <w:t>Build separate role-based control matrices. Procurement does not remove deployer accountability.</w:t>
      </w:r>
    </w:p>
    <w:p>
      <w:pPr>
        <w:pStyle w:val="Heading3"/>
      </w:pPr>
      <w:r>
        <w:t>Module 7 — General-purpose AI</w:t>
      </w:r>
    </w:p>
    <w:p>
      <w:pPr>
        <w:spacing w:after="120"/>
      </w:pPr>
      <w:r>
        <w:t>Cover documentation, transparency, downstream information, copyright-related obligations and systemic-risk responsibilities where applicable.</w:t>
      </w:r>
    </w:p>
    <w:p>
      <w:pPr>
        <w:pStyle w:val="Heading3"/>
      </w:pPr>
      <w:r>
        <w:t>Module 8 — Transparency obligations</w:t>
      </w:r>
    </w:p>
    <w:p>
      <w:pPr>
        <w:spacing w:after="120"/>
      </w:pPr>
      <w:r>
        <w:t>Address human-AI interaction disclosure, machine-readable marking/detection where required, deepfake/public-interest content labeling and evidence that disclosures operate in production.</w:t>
      </w:r>
    </w:p>
    <w:p>
      <w:pPr>
        <w:pStyle w:val="Heading3"/>
      </w:pPr>
      <w:r>
        <w:t>Module 9 — Fundamental-rights and impact assessment</w:t>
      </w:r>
    </w:p>
    <w:p>
      <w:pPr>
        <w:spacing w:after="120"/>
      </w:pPr>
      <w:r>
        <w:t>Integrate required assessments with enterprise risk, affected persons, foreseeable impacts, safeguards, human oversight, complaint/contestability, residual risk and evidence.</w:t>
      </w:r>
    </w:p>
    <w:p>
      <w:pPr>
        <w:pStyle w:val="Heading3"/>
      </w:pPr>
      <w:r>
        <w:t>Module 10 — Human oversight</w:t>
      </w:r>
    </w:p>
    <w:p>
      <w:pPr>
        <w:spacing w:after="120"/>
      </w:pPr>
      <w:r>
        <w:t>Define accountable roles, information, understanding of limitations, override/stop/escalation authority, automation-bias safeguards and records.</w:t>
      </w:r>
    </w:p>
    <w:p>
      <w:pPr>
        <w:pStyle w:val="Heading3"/>
      </w:pPr>
      <w:r>
        <w:t>Module 11 — Cybersecurity, robustness and accuracy</w:t>
      </w:r>
    </w:p>
    <w:p>
      <w:pPr>
        <w:spacing w:after="120"/>
      </w:pPr>
      <w:r>
        <w:t>Connect AI Act obligations to secure development, vulnerability management, identity, logging, change management and incident response.</w:t>
      </w:r>
    </w:p>
    <w:p>
      <w:pPr>
        <w:pStyle w:val="Heading3"/>
      </w:pPr>
      <w:r>
        <w:t>Module 12 — Documentation and evidence</w:t>
      </w:r>
    </w:p>
    <w:p>
      <w:pPr>
        <w:spacing w:after="120"/>
      </w:pPr>
      <w:r>
        <w:t>Maintain scope/role determination, classification, risk records, data-governance evidence, technical-document references, testing/validation, oversight design, notices, approvals, instructions, monitoring, incidents and change decisions.</w:t>
      </w:r>
    </w:p>
    <w:p>
      <w:pPr>
        <w:pStyle w:val="Heading3"/>
      </w:pPr>
      <w:r>
        <w:t>Module 13 — Third-party and value-chain governance</w:t>
      </w:r>
    </w:p>
    <w:p>
      <w:pPr>
        <w:spacing w:after="120"/>
      </w:pPr>
      <w:r>
        <w:t>Capture provider identity/role, documentation, limitations, data-use terms, security/privacy commitments, evidence access, material-change and incident notifications, regulatory cooperation and exit provisions.</w:t>
      </w:r>
    </w:p>
    <w:p>
      <w:pPr>
        <w:pStyle w:val="Heading3"/>
      </w:pPr>
      <w:r>
        <w:t>Module 14 — Post-market monitoring</w:t>
      </w:r>
    </w:p>
    <w:p>
      <w:pPr>
        <w:spacing w:after="120"/>
      </w:pPr>
      <w:r>
        <w:t>Evaluate performance, misuse, incidents, context changes, model/provider changes, jurisdiction changes and emerging guidance.</w:t>
      </w:r>
    </w:p>
    <w:p>
      <w:pPr>
        <w:pStyle w:val="Heading3"/>
      </w:pPr>
      <w:r>
        <w:t>Module 15 — Enforcement and escalation</w:t>
      </w:r>
    </w:p>
    <w:p>
      <w:pPr>
        <w:spacing w:after="120"/>
      </w:pPr>
      <w:r>
        <w:t>Define ownership for regulatory interaction, internal escalation, notifications, evidence preservation and remediation.</w:t>
      </w:r>
    </w:p>
    <w:p>
      <w:pPr>
        <w:pStyle w:val="Heading2"/>
      </w:pPr>
      <w:r>
        <w:t>4. Operational decision flow</w:t>
      </w:r>
    </w:p>
    <w:p>
      <w:pPr>
        <w:spacing w:after="120"/>
      </w:pPr>
      <w:r>
        <w:t>**Identify AI use → determine territorial/material scope → identify value-chain role → screen prohibited uses → classify risk/GPAI/transparency status → determine obligations → assess impacts and controls → validate → approve → deploy → monitor → manage incidents/changes → revalidate → retire**</w:t>
      </w:r>
    </w:p>
    <w:p>
      <w:pPr>
        <w:pStyle w:val="Heading2"/>
      </w:pPr>
      <w:r>
        <w:t>5. Control design pattern</w:t>
      </w:r>
    </w:p>
    <w:p>
      <w:pPr>
        <w:spacing w:after="120"/>
      </w:pPr>
      <w:r>
        <w:t>**Legal requirement → organizational interpretation → risk → control objective → control activity → accountable owner → evidence → test method → exception/escalation → remediation**</w:t>
      </w:r>
    </w:p>
    <w:p>
      <w:pPr>
        <w:pStyle w:val="Heading2"/>
      </w:pPr>
      <w:r>
        <w:t>6. Training scenarios</w:t>
      </w:r>
    </w:p>
    <w:p>
      <w:pPr>
        <w:pStyle w:val="ListNumber"/>
      </w:pPr>
      <w:r>
        <w:t>employment-related AI;</w:t>
      </w:r>
    </w:p>
    <w:p>
      <w:pPr>
        <w:pStyle w:val="ListNumber"/>
      </w:pPr>
      <w:r>
        <w:t>customer-service chatbot;</w:t>
      </w:r>
    </w:p>
    <w:p>
      <w:pPr>
        <w:pStyle w:val="ListNumber"/>
      </w:pPr>
      <w:r>
        <w:t>generative-AI content platform;</w:t>
      </w:r>
    </w:p>
    <w:p>
      <w:pPr>
        <w:pStyle w:val="ListNumber"/>
      </w:pPr>
      <w:r>
        <w:t>internally developed GPAI-enabled application;</w:t>
      </w:r>
    </w:p>
    <w:p>
      <w:pPr>
        <w:pStyle w:val="ListNumber"/>
      </w:pPr>
      <w:r>
        <w:t>third-party high-risk AI procurement;</w:t>
      </w:r>
    </w:p>
    <w:p>
      <w:pPr>
        <w:pStyle w:val="ListNumber"/>
      </w:pPr>
      <w:r>
        <w:t>AI embedded in regulated products;</w:t>
      </w:r>
    </w:p>
    <w:p>
      <w:pPr>
        <w:pStyle w:val="ListNumber"/>
      </w:pPr>
      <w:r>
        <w:t>agentic AI with consequential tool access;</w:t>
      </w:r>
    </w:p>
    <w:p>
      <w:pPr>
        <w:pStyle w:val="ListNumber"/>
      </w:pPr>
      <w:r>
        <w:t>material model/provider change after production approval.</w:t>
      </w:r>
    </w:p>
    <w:p>
      <w:pPr>
        <w:pStyle w:val="Heading2"/>
      </w:pPr>
      <w:r>
        <w:t>7. Relationship to Manual 46</w:t>
      </w:r>
    </w:p>
    <w:p>
      <w:pPr>
        <w:spacing w:after="120"/>
      </w:pPr>
      <w:r>
        <w:t>Manual 46 supplies the universal operating model. Manual 47 overlays EU legal obligations onto that model without replacing the universal governance spine.</w:t>
      </w:r>
    </w:p>
    <w:p>
      <w:pPr>
        <w:pStyle w:val="Heading2"/>
      </w:pPr>
      <w:r>
        <w:t>8. Publication gates</w:t>
      </w:r>
    </w:p>
    <w:p>
      <w:pPr>
        <w:pStyle w:val="ListBullet"/>
      </w:pPr>
      <w:r>
        <w:t>[ ] Primary-law verification complete.</w:t>
      </w:r>
    </w:p>
    <w:p>
      <w:pPr>
        <w:pStyle w:val="ListBullet"/>
      </w:pPr>
      <w:r>
        <w:t>[ ] Commission implementation timeline refreshed immediately before publication.</w:t>
      </w:r>
    </w:p>
    <w:p>
      <w:pPr>
        <w:pStyle w:val="ListBullet"/>
      </w:pPr>
      <w:r>
        <w:t>[ ] Current amendments and effective dates reconciled.</w:t>
      </w:r>
    </w:p>
    <w:p>
      <w:pPr>
        <w:pStyle w:val="ListBullet"/>
      </w:pPr>
      <w:r>
        <w:t>[ ] Provider/deployer/GPAI role treatment verified.</w:t>
      </w:r>
    </w:p>
    <w:p>
      <w:pPr>
        <w:pStyle w:val="ListBullet"/>
      </w:pPr>
      <w:r>
        <w:t>[ ] High-risk classification examples verified.</w:t>
      </w:r>
    </w:p>
    <w:p>
      <w:pPr>
        <w:pStyle w:val="ListBullet"/>
      </w:pPr>
      <w:r>
        <w:t>[ ] Article 50 transparency treatment verified.</w:t>
      </w:r>
    </w:p>
    <w:p>
      <w:pPr>
        <w:pStyle w:val="ListBullet"/>
      </w:pPr>
      <w:r>
        <w:t>[ ] Fundamental-rights impact assessment treatment verified.</w:t>
      </w:r>
    </w:p>
    <w:p>
      <w:pPr>
        <w:pStyle w:val="ListBullet"/>
      </w:pPr>
      <w:r>
        <w:t>[ ] Controlled-English master complete and frozen.</w:t>
      </w:r>
    </w:p>
    <w:p>
      <w:pPr>
        <w:pStyle w:val="ListBullet"/>
      </w:pPr>
      <w:r>
        <w:t>[ ] es-419 / pt-BR controlled localization complete when Manual 46 advances sufficiently to permit Stage 4.</w:t>
      </w:r>
    </w:p>
    <w:p>
      <w:pPr>
        <w:pStyle w:val="ListBullet"/>
      </w:pPr>
      <w:r>
        <w:t>[ ] DOCX/PDF candidate and visible-page validation complete when Manual 47 reaches Stage 5.</w:t>
      </w:r>
    </w:p>
    <w:p>
      <w:pPr>
        <w:pStyle w:val="ListBullet"/>
      </w:pPr>
      <w:r>
        <w:t>[ ] Provenance/checksums/security QA complete.</w:t>
      </w:r>
    </w:p>
    <w:p>
      <w:pPr>
        <w:pStyle w:val="ListBullet"/>
      </w:pPr>
      <w:r>
        <w:t>[ ] Standing release authorization satisfied under the canonical equation; no separate generic final human approval prompt.</w:t>
      </w:r>
    </w:p>
    <w:p>
      <w:pPr>
        <w:spacing w:after="120"/>
      </w:pPr>
      <w:r>
        <w:t>**Fail-closed:** no publication claim until all applicable gates are green and predecessor Manual 46 is published.</w:t>
      </w:r>
    </w:p>
    <w:p>
      <w:pPr>
        <w:pStyle w:val="Heading1"/>
      </w:pPr>
      <w:r>
        <w:t>Manual 47 — EU AI Act Controlled Training Modules</w:t>
      </w:r>
    </w:p>
    <w:p>
      <w:pPr>
        <w:spacing w:after="120"/>
      </w:pPr>
      <w:r>
        <w:t>**Controlled language:** English</w:t>
      </w:r>
    </w:p>
    <w:p>
      <w:pPr>
        <w:spacing w:after="120"/>
      </w:pPr>
      <w:r>
        <w:t>**Canonical stage:** 3 — controlled English master construction</w:t>
      </w:r>
    </w:p>
    <w:p>
      <w:pPr>
        <w:spacing w:after="120"/>
      </w:pPr>
      <w:r>
        <w:t>**Release boundary:** Training and operationalization; existing Manual 01 remains the detailed legal/compliance reference.</w:t>
      </w:r>
    </w:p>
    <w:p>
      <w:pPr>
        <w:pStyle w:val="Heading2"/>
      </w:pPr>
      <w:r>
        <w:t>Module 1 — Regulatory architecture and applicability</w:t>
      </w:r>
    </w:p>
    <w:p>
      <w:pPr>
        <w:pStyle w:val="Heading3"/>
      </w:pPr>
      <w:r>
        <w:t>Objective</w:t>
      </w:r>
    </w:p>
    <w:p>
      <w:pPr>
        <w:spacing w:after="120"/>
      </w:pPr>
      <w:r>
        <w:t>Determine whether an AI use case falls within the material and territorial scope of Regulation (EU) 2024/1689 and identify the organization's relevant role or roles.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Start with intended purpose, system functionality, users, affected persons and deployment geography.</w:t>
      </w:r>
    </w:p>
    <w:p>
      <w:pPr>
        <w:pStyle w:val="ListBullet"/>
      </w:pPr>
      <w:r>
        <w:t>Distinguish the regulated AI system from broader business processes and from underlying general-purpose models.</w:t>
      </w:r>
    </w:p>
    <w:p>
      <w:pPr>
        <w:pStyle w:val="ListBullet"/>
      </w:pPr>
      <w:r>
        <w:t>Identify whether the organization acts as provider, deployer, importer, distributor, product manufacturer or another value-chain participant.</w:t>
      </w:r>
    </w:p>
    <w:p>
      <w:pPr>
        <w:pStyle w:val="ListBullet"/>
      </w:pPr>
      <w:r>
        <w:t>Document multiple-role situations and material modifications that may change role allocation.</w:t>
      </w:r>
    </w:p>
    <w:p>
      <w:pPr>
        <w:pStyle w:val="ListBullet"/>
      </w:pPr>
      <w:r>
        <w:t>Record exclusions, special regimes or other applicability limitations with primary-source support.</w:t>
      </w:r>
    </w:p>
    <w:p>
      <w:pPr>
        <w:pStyle w:val="Heading3"/>
      </w:pPr>
      <w:r>
        <w:t>Evidence outcome</w:t>
      </w:r>
    </w:p>
    <w:p>
      <w:pPr>
        <w:spacing w:after="120"/>
      </w:pPr>
      <w:r>
        <w:t>A dated applicability and role determination tied to the inventory record and the specific system/model version.</w:t>
      </w:r>
    </w:p>
    <w:p>
      <w:pPr>
        <w:pStyle w:val="Heading2"/>
      </w:pPr>
      <w:r>
        <w:t>Module 2 — Prohibited-practice screening</w:t>
      </w:r>
    </w:p>
    <w:p>
      <w:pPr>
        <w:pStyle w:val="Heading3"/>
      </w:pPr>
      <w:r>
        <w:t>Objective</w:t>
      </w:r>
    </w:p>
    <w:p>
      <w:pPr>
        <w:spacing w:after="120"/>
      </w:pPr>
      <w:r>
        <w:t>Prevent prohibited AI practices from entering procurement, development, approval or production.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Perform screening before risk-tier approval.</w:t>
      </w:r>
    </w:p>
    <w:p>
      <w:pPr>
        <w:pStyle w:val="ListBullet"/>
      </w:pPr>
      <w:r>
        <w:t>Treat prohibited-practice analysis as a fail-closed gate.</w:t>
      </w:r>
    </w:p>
    <w:p>
      <w:pPr>
        <w:pStyle w:val="ListBullet"/>
      </w:pPr>
      <w:r>
        <w:t>Capture business context, intended and reasonably foreseeable use, affected persons and operational design.</w:t>
      </w:r>
    </w:p>
    <w:p>
      <w:pPr>
        <w:pStyle w:val="ListBullet"/>
      </w:pPr>
      <w:r>
        <w:t>Escalate ambiguity rather than converting legal uncertainty into an assumed approval.</w:t>
      </w:r>
    </w:p>
    <w:p>
      <w:pPr>
        <w:pStyle w:val="ListBullet"/>
      </w:pPr>
      <w:r>
        <w:t>Re-screen when purpose, data, user population, functionality or deployment context materially changes.</w:t>
      </w:r>
    </w:p>
    <w:p>
      <w:pPr>
        <w:pStyle w:val="Heading3"/>
      </w:pPr>
      <w:r>
        <w:t>Evidence outcome</w:t>
      </w:r>
    </w:p>
    <w:p>
      <w:pPr>
        <w:spacing w:after="120"/>
      </w:pPr>
      <w:r>
        <w:t>Completed prohibited-practice screen, disposition, rationale and escalation record where needed.</w:t>
      </w:r>
    </w:p>
    <w:p>
      <w:pPr>
        <w:pStyle w:val="Heading2"/>
      </w:pPr>
      <w:r>
        <w:t>Module 3 — AI literacy</w:t>
      </w:r>
    </w:p>
    <w:p>
      <w:pPr>
        <w:pStyle w:val="Heading3"/>
      </w:pPr>
      <w:r>
        <w:t>Objective</w:t>
      </w:r>
    </w:p>
    <w:p>
      <w:pPr>
        <w:spacing w:after="120"/>
      </w:pPr>
      <w:r>
        <w:t>Operationalize role-appropriate AI literacy obligations rather than treating literacy as one generic awareness course.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Map competence expectations to governance, business, engineering, procurement, legal/compliance, security/privacy, oversight and operational roles.</w:t>
      </w:r>
    </w:p>
    <w:p>
      <w:pPr>
        <w:pStyle w:val="ListBullet"/>
      </w:pPr>
      <w:r>
        <w:t>Address system limitations, foreseeable misuse, escalation, human oversight and relevant organizational policies.</w:t>
      </w:r>
    </w:p>
    <w:p>
      <w:pPr>
        <w:pStyle w:val="ListBullet"/>
      </w:pPr>
      <w:r>
        <w:t>Use onboarding, role changes, material system changes and periodic refresh as training triggers.</w:t>
      </w:r>
    </w:p>
    <w:p>
      <w:pPr>
        <w:pStyle w:val="ListBullet"/>
      </w:pPr>
      <w:r>
        <w:t>Retain audience mapping, curriculum version, completion and exception evidence.</w:t>
      </w:r>
    </w:p>
    <w:p>
      <w:pPr>
        <w:pStyle w:val="Heading3"/>
      </w:pPr>
      <w:r>
        <w:t>Evidence outcome</w:t>
      </w:r>
    </w:p>
    <w:p>
      <w:pPr>
        <w:spacing w:after="120"/>
      </w:pPr>
      <w:r>
        <w:t>Role-based AI-literacy matrix and training record traceable to personnel responsibilities.</w:t>
      </w:r>
    </w:p>
    <w:p>
      <w:pPr>
        <w:pStyle w:val="Heading2"/>
      </w:pPr>
      <w:r>
        <w:t>Module 4 — Risk classification</w:t>
      </w:r>
    </w:p>
    <w:p>
      <w:pPr>
        <w:pStyle w:val="Heading3"/>
      </w:pPr>
      <w:r>
        <w:t>Objective</w:t>
      </w:r>
    </w:p>
    <w:p>
      <w:pPr>
        <w:spacing w:after="120"/>
      </w:pPr>
      <w:r>
        <w:t>Classify systems accurately and connect classification to the correct legal and enterprise control path.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Distinguish prohibited uses, high-risk systems, transparency-triggering systems, GPAI obligations and lower-risk uses.</w:t>
      </w:r>
    </w:p>
    <w:p>
      <w:pPr>
        <w:pStyle w:val="ListBullet"/>
      </w:pPr>
      <w:r>
        <w:t>Separate legal classification from the organization's own risk tier; both may apply simultaneously.</w:t>
      </w:r>
    </w:p>
    <w:p>
      <w:pPr>
        <w:pStyle w:val="ListBullet"/>
      </w:pPr>
      <w:r>
        <w:t>Document the intended-purpose reasoning that supports the conclusion.</w:t>
      </w:r>
    </w:p>
    <w:p>
      <w:pPr>
        <w:pStyle w:val="ListBullet"/>
      </w:pPr>
      <w:r>
        <w:t>Identify applicable Annex I or Annex III pathways when assessing high-risk status.</w:t>
      </w:r>
    </w:p>
    <w:p>
      <w:pPr>
        <w:pStyle w:val="ListBullet"/>
      </w:pPr>
      <w:r>
        <w:t>Establish reclassification triggers for material changes.</w:t>
      </w:r>
    </w:p>
    <w:p>
      <w:pPr>
        <w:pStyle w:val="Heading3"/>
      </w:pPr>
      <w:r>
        <w:t>Evidence outcome</w:t>
      </w:r>
    </w:p>
    <w:p>
      <w:pPr>
        <w:spacing w:after="120"/>
      </w:pPr>
      <w:r>
        <w:t>Classification worksheet, evidence references, reviewer/challenge record and reclassification triggers.</w:t>
      </w:r>
    </w:p>
    <w:p>
      <w:pPr>
        <w:pStyle w:val="Heading2"/>
      </w:pPr>
      <w:r>
        <w:t>Module 5 — High-risk AI risk management</w:t>
      </w:r>
    </w:p>
    <w:p>
      <w:pPr>
        <w:pStyle w:val="Heading3"/>
      </w:pPr>
      <w:r>
        <w:t>Objective</w:t>
      </w:r>
    </w:p>
    <w:p>
      <w:pPr>
        <w:spacing w:after="120"/>
      </w:pPr>
      <w:r>
        <w:t>Integrate applicable high-risk risk-management duties into the organization's lifecycle governance.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Identify known and reasonably foreseeable risks across intended use and reasonably foreseeable misuse.</w:t>
      </w:r>
    </w:p>
    <w:p>
      <w:pPr>
        <w:pStyle w:val="ListBullet"/>
      </w:pPr>
      <w:r>
        <w:t>Connect risk analysis to design controls, testing, human oversight, instructions, monitoring and incident processes.</w:t>
      </w:r>
    </w:p>
    <w:p>
      <w:pPr>
        <w:pStyle w:val="ListBullet"/>
      </w:pPr>
      <w:r>
        <w:t>Evaluate residual risk after controls.</w:t>
      </w:r>
    </w:p>
    <w:p>
      <w:pPr>
        <w:pStyle w:val="ListBullet"/>
      </w:pPr>
      <w:r>
        <w:t>Preserve evidence of iterative reassessment through the lifecycle.</w:t>
      </w:r>
    </w:p>
    <w:p>
      <w:pPr>
        <w:pStyle w:val="ListBullet"/>
      </w:pPr>
      <w:r>
        <w:t>Do not treat a one-time project risk assessment as sufficient lifecycle risk management.</w:t>
      </w:r>
    </w:p>
    <w:p>
      <w:pPr>
        <w:pStyle w:val="Heading3"/>
      </w:pPr>
      <w:r>
        <w:t>Evidence outcome</w:t>
      </w:r>
    </w:p>
    <w:p>
      <w:pPr>
        <w:spacing w:after="120"/>
      </w:pPr>
      <w:r>
        <w:t>Version-controlled risk file linking risks, controls, testing, residual-risk decisions and change triggers.</w:t>
      </w:r>
    </w:p>
    <w:p>
      <w:pPr>
        <w:pStyle w:val="Heading2"/>
      </w:pPr>
      <w:r>
        <w:t>Module 6 — Data and data governance</w:t>
      </w:r>
    </w:p>
    <w:p>
      <w:pPr>
        <w:pStyle w:val="Heading3"/>
      </w:pPr>
      <w:r>
        <w:t>Objective</w:t>
      </w:r>
    </w:p>
    <w:p>
      <w:pPr>
        <w:spacing w:after="120"/>
      </w:pPr>
      <w:r>
        <w:t>Operationalize applicable data-governance requirements for high-risk AI and integrate them with enterprise data controls.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Establish provenance, collection/preparation practices, relevance, quality and documented limitations.</w:t>
      </w:r>
    </w:p>
    <w:p>
      <w:pPr>
        <w:pStyle w:val="ListBullet"/>
      </w:pPr>
      <w:r>
        <w:t>Address representativeness and bias-related considerations where applicable to the use context.</w:t>
      </w:r>
    </w:p>
    <w:p>
      <w:pPr>
        <w:pStyle w:val="ListBullet"/>
      </w:pPr>
      <w:r>
        <w:t>Maintain lineage from source through transformation and use.</w:t>
      </w:r>
    </w:p>
    <w:p>
      <w:pPr>
        <w:pStyle w:val="ListBullet"/>
      </w:pPr>
      <w:r>
        <w:t>Protect access and integrity and define retention/correction processes.</w:t>
      </w:r>
    </w:p>
    <w:p>
      <w:pPr>
        <w:pStyle w:val="ListBullet"/>
      </w:pPr>
      <w:r>
        <w:t>Separate AI Act obligations from additional privacy or sectoral data requirements while integrating execution where practical.</w:t>
      </w:r>
    </w:p>
    <w:p>
      <w:pPr>
        <w:pStyle w:val="Heading3"/>
      </w:pPr>
      <w:r>
        <w:t>Evidence outcome</w:t>
      </w:r>
    </w:p>
    <w:p>
      <w:pPr>
        <w:spacing w:after="120"/>
      </w:pPr>
      <w:r>
        <w:t>Controlled data-governance record linked to system version and validation evidence.</w:t>
      </w:r>
    </w:p>
    <w:p>
      <w:pPr>
        <w:pStyle w:val="Heading2"/>
      </w:pPr>
      <w:r>
        <w:t>Module 7 — Technical documentation and traceability</w:t>
      </w:r>
    </w:p>
    <w:p>
      <w:pPr>
        <w:pStyle w:val="Heading3"/>
      </w:pPr>
      <w:r>
        <w:t>Objective</w:t>
      </w:r>
    </w:p>
    <w:p>
      <w:pPr>
        <w:spacing w:after="120"/>
      </w:pPr>
      <w:r>
        <w:t>Make the regulated system reconstructable from controlled records.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Maintain current system description, architecture and component dependencies.</w:t>
      </w:r>
    </w:p>
    <w:p>
      <w:pPr>
        <w:pStyle w:val="ListBullet"/>
      </w:pPr>
      <w:r>
        <w:t>Connect technical documentation to model/provider versions, data, testing, human oversight and monitoring.</w:t>
      </w:r>
    </w:p>
    <w:p>
      <w:pPr>
        <w:pStyle w:val="ListBullet"/>
      </w:pPr>
      <w:r>
        <w:t>Preserve change history and configuration state.</w:t>
      </w:r>
    </w:p>
    <w:p>
      <w:pPr>
        <w:pStyle w:val="ListBullet"/>
      </w:pPr>
      <w:r>
        <w:t>Keep documentation synchronized with production rather than only with pre-deployment design.</w:t>
      </w:r>
    </w:p>
    <w:p>
      <w:pPr>
        <w:pStyle w:val="Heading3"/>
      </w:pPr>
      <w:r>
        <w:t>Evidence outcome</w:t>
      </w:r>
    </w:p>
    <w:p>
      <w:pPr>
        <w:spacing w:after="120"/>
      </w:pPr>
      <w:r>
        <w:t>Technical-documentation index with version linkage and controlled references.</w:t>
      </w:r>
    </w:p>
    <w:p>
      <w:pPr>
        <w:pStyle w:val="Heading2"/>
      </w:pPr>
      <w:r>
        <w:t>Module 8 — Logging and recordkeeping</w:t>
      </w:r>
    </w:p>
    <w:p>
      <w:pPr>
        <w:pStyle w:val="Heading3"/>
      </w:pPr>
      <w:r>
        <w:t>Objective</w:t>
      </w:r>
    </w:p>
    <w:p>
      <w:pPr>
        <w:spacing w:after="120"/>
      </w:pPr>
      <w:r>
        <w:t>Provide traceability sufficient for monitoring, investigation, accountability and applicable legal duties.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Define events that must be logged and retained.</w:t>
      </w:r>
    </w:p>
    <w:p>
      <w:pPr>
        <w:pStyle w:val="ListBullet"/>
      </w:pPr>
      <w:r>
        <w:t>Protect log integrity and access.</w:t>
      </w:r>
    </w:p>
    <w:p>
      <w:pPr>
        <w:pStyle w:val="ListBullet"/>
      </w:pPr>
      <w:r>
        <w:t>Synchronize timestamps and identities where consequential actions require reconstruction.</w:t>
      </w:r>
    </w:p>
    <w:p>
      <w:pPr>
        <w:pStyle w:val="ListBullet"/>
      </w:pPr>
      <w:r>
        <w:t>Ensure third-party systems provide the logs needed by the organization's role.</w:t>
      </w:r>
    </w:p>
    <w:p>
      <w:pPr>
        <w:pStyle w:val="ListBullet"/>
      </w:pPr>
      <w:r>
        <w:t>Test whether a material event can actually be reconstructed.</w:t>
      </w:r>
    </w:p>
    <w:p>
      <w:pPr>
        <w:pStyle w:val="Heading3"/>
      </w:pPr>
      <w:r>
        <w:t>Evidence outcome</w:t>
      </w:r>
    </w:p>
    <w:p>
      <w:pPr>
        <w:spacing w:after="120"/>
      </w:pPr>
      <w:r>
        <w:t>Logging specification, retention rule, sample reconstruction test and access-control record.</w:t>
      </w:r>
    </w:p>
    <w:p>
      <w:pPr>
        <w:pStyle w:val="Heading2"/>
      </w:pPr>
      <w:r>
        <w:t>Module 9 — Transparency and instructions for use</w:t>
      </w:r>
    </w:p>
    <w:p>
      <w:pPr>
        <w:pStyle w:val="Heading3"/>
      </w:pPr>
      <w:r>
        <w:t>Objective</w:t>
      </w:r>
    </w:p>
    <w:p>
      <w:pPr>
        <w:spacing w:after="120"/>
      </w:pPr>
      <w:r>
        <w:t>Provide required information to downstream actors, users and affected persons in a manner that works in production.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Distinguish provider instructions from deployer-facing or end-user transparency duties.</w:t>
      </w:r>
    </w:p>
    <w:p>
      <w:pPr>
        <w:pStyle w:val="ListBullet"/>
      </w:pPr>
      <w:r>
        <w:t>Treat Article 50 applicability as a separate determination.</w:t>
      </w:r>
    </w:p>
    <w:p>
      <w:pPr>
        <w:pStyle w:val="ListBullet"/>
      </w:pPr>
      <w:r>
        <w:t>Test disclosures in the actual user experience.</w:t>
      </w:r>
    </w:p>
    <w:p>
      <w:pPr>
        <w:pStyle w:val="ListBullet"/>
      </w:pPr>
      <w:r>
        <w:t>Where machine-readable marking or content labeling is applicable, verify technical operation and retention of evidence.</w:t>
      </w:r>
    </w:p>
    <w:p>
      <w:pPr>
        <w:pStyle w:val="ListBullet"/>
      </w:pPr>
      <w:r>
        <w:t>Keep notices synchronized with system changes.</w:t>
      </w:r>
    </w:p>
    <w:p>
      <w:pPr>
        <w:pStyle w:val="Heading3"/>
      </w:pPr>
      <w:r>
        <w:t>Evidence outcome</w:t>
      </w:r>
    </w:p>
    <w:p>
      <w:pPr>
        <w:spacing w:after="120"/>
      </w:pPr>
      <w:r>
        <w:t>Applicability determination, approved notice/instructions, production evidence and test record.</w:t>
      </w:r>
    </w:p>
    <w:p>
      <w:pPr>
        <w:pStyle w:val="Heading2"/>
      </w:pPr>
      <w:r>
        <w:t>Module 10 — Meaningful human oversight</w:t>
      </w:r>
    </w:p>
    <w:p>
      <w:pPr>
        <w:pStyle w:val="Heading3"/>
      </w:pPr>
      <w:r>
        <w:t>Objective</w:t>
      </w:r>
    </w:p>
    <w:p>
      <w:pPr>
        <w:spacing w:after="120"/>
      </w:pPr>
      <w:r>
        <w:t>Design human oversight as an operational control rather than a nominal role assignment.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Define who is authorized and competent to intervene.</w:t>
      </w:r>
    </w:p>
    <w:p>
      <w:pPr>
        <w:pStyle w:val="ListBullet"/>
      </w:pPr>
      <w:r>
        <w:t>Give reviewers the information and time needed to understand system outputs and limitations.</w:t>
      </w:r>
    </w:p>
    <w:p>
      <w:pPr>
        <w:pStyle w:val="ListBullet"/>
      </w:pPr>
      <w:r>
        <w:t>Provide override, stop, escalation and safe-state mechanisms where applicable.</w:t>
      </w:r>
    </w:p>
    <w:p>
      <w:pPr>
        <w:pStyle w:val="ListBullet"/>
      </w:pPr>
      <w:r>
        <w:t>Address automation bias and inappropriate reliance.</w:t>
      </w:r>
    </w:p>
    <w:p>
      <w:pPr>
        <w:pStyle w:val="ListBullet"/>
      </w:pPr>
      <w:r>
        <w:t>Record significant interventions and overrides.</w:t>
      </w:r>
    </w:p>
    <w:p>
      <w:pPr>
        <w:pStyle w:val="Heading3"/>
      </w:pPr>
      <w:r>
        <w:t>Evidence outcome</w:t>
      </w:r>
    </w:p>
    <w:p>
      <w:pPr>
        <w:spacing w:after="120"/>
      </w:pPr>
      <w:r>
        <w:t>Oversight procedure, authority matrix, competence record, functional intervention test and logs.</w:t>
      </w:r>
    </w:p>
    <w:p>
      <w:pPr>
        <w:pStyle w:val="Heading2"/>
      </w:pPr>
      <w:r>
        <w:t>Module 11 — Accuracy, robustness and cybersecurity</w:t>
      </w:r>
    </w:p>
    <w:p>
      <w:pPr>
        <w:pStyle w:val="Heading3"/>
      </w:pPr>
      <w:r>
        <w:t>Objective</w:t>
      </w:r>
    </w:p>
    <w:p>
      <w:pPr>
        <w:spacing w:after="120"/>
      </w:pPr>
      <w:r>
        <w:t>Integrate applicable AI Act performance and resilience requirements with enterprise validation and cybersecurity.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Define measurable acceptance criteria appropriate to intended purpose.</w:t>
      </w:r>
    </w:p>
    <w:p>
      <w:pPr>
        <w:pStyle w:val="ListBullet"/>
      </w:pPr>
      <w:r>
        <w:t>Evaluate robustness under expected variation and foreseeable misuse.</w:t>
      </w:r>
    </w:p>
    <w:p>
      <w:pPr>
        <w:pStyle w:val="ListBullet"/>
      </w:pPr>
      <w:r>
        <w:t>Threat-model the full system including model endpoints, data, prompts, retrieval, tools, APIs and supply chain.</w:t>
      </w:r>
    </w:p>
    <w:p>
      <w:pPr>
        <w:pStyle w:val="ListBullet"/>
      </w:pPr>
      <w:r>
        <w:t>Track vulnerabilities and unresolved findings to risk decisions.</w:t>
      </w:r>
    </w:p>
    <w:p>
      <w:pPr>
        <w:pStyle w:val="ListBullet"/>
      </w:pPr>
      <w:r>
        <w:t>Revalidate after material security, model or environment change.</w:t>
      </w:r>
    </w:p>
    <w:p>
      <w:pPr>
        <w:pStyle w:val="Heading3"/>
      </w:pPr>
      <w:r>
        <w:t>Evidence outcome</w:t>
      </w:r>
    </w:p>
    <w:p>
      <w:pPr>
        <w:spacing w:after="120"/>
      </w:pPr>
      <w:r>
        <w:t>Validation report, threat model, security test evidence, findings register and acceptance decision.</w:t>
      </w:r>
    </w:p>
    <w:p>
      <w:pPr>
        <w:pStyle w:val="Heading2"/>
      </w:pPr>
      <w:r>
        <w:t>Module 12 — Quality-management and conformity-related controls</w:t>
      </w:r>
    </w:p>
    <w:p>
      <w:pPr>
        <w:pStyle w:val="Heading3"/>
      </w:pPr>
      <w:r>
        <w:t>Objective</w:t>
      </w:r>
    </w:p>
    <w:p>
      <w:pPr>
        <w:spacing w:after="120"/>
      </w:pPr>
      <w:r>
        <w:t>Understand where provider-side quality and conformity obligations become operational governance requirements.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Map policies, responsibilities, development controls, testing, documentation, supplier controls, corrective actions and records into a quality-management system where applicable.</w:t>
      </w:r>
    </w:p>
    <w:p>
      <w:pPr>
        <w:pStyle w:val="ListBullet"/>
      </w:pPr>
      <w:r>
        <w:t>Determine the conformity-assessment path relevant to the system and role.</w:t>
      </w:r>
    </w:p>
    <w:p>
      <w:pPr>
        <w:pStyle w:val="ListBullet"/>
      </w:pPr>
      <w:r>
        <w:t>Prevent enterprise governance labels from being represented as formal conformity evidence unless the required process was actually completed.</w:t>
      </w:r>
    </w:p>
    <w:p>
      <w:pPr>
        <w:pStyle w:val="ListBullet"/>
      </w:pPr>
      <w:r>
        <w:t>Preserve the exact system identity to which assessments and declarations apply.</w:t>
      </w:r>
    </w:p>
    <w:p>
      <w:pPr>
        <w:pStyle w:val="Heading3"/>
      </w:pPr>
      <w:r>
        <w:t>Evidence outcome</w:t>
      </w:r>
    </w:p>
    <w:p>
      <w:pPr>
        <w:spacing w:after="120"/>
      </w:pPr>
      <w:r>
        <w:t>Quality-system control map and conformity evidence register where applicable.</w:t>
      </w:r>
    </w:p>
    <w:p>
      <w:pPr>
        <w:pStyle w:val="Heading2"/>
      </w:pPr>
      <w:r>
        <w:t>Module 13 — Provider and deployer obligations</w:t>
      </w:r>
    </w:p>
    <w:p>
      <w:pPr>
        <w:pStyle w:val="Heading3"/>
      </w:pPr>
      <w:r>
        <w:t>Objective</w:t>
      </w:r>
    </w:p>
    <w:p>
      <w:pPr>
        <w:spacing w:after="120"/>
      </w:pPr>
      <w:r>
        <w:t>Avoid role confusion across the AI value chain.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Build separate obligation matrices for provider and deployer responsibilities.</w:t>
      </w:r>
    </w:p>
    <w:p>
      <w:pPr>
        <w:pStyle w:val="ListBullet"/>
      </w:pPr>
      <w:r>
        <w:t>Identify duties that depend on control over design versus operational use.</w:t>
      </w:r>
    </w:p>
    <w:p>
      <w:pPr>
        <w:pStyle w:val="ListBullet"/>
      </w:pPr>
      <w:r>
        <w:t>Ensure procurement contracts provide documentation, logs, instructions, incident/change notification and cooperation required for the deployer's obligations.</w:t>
      </w:r>
    </w:p>
    <w:p>
      <w:pPr>
        <w:pStyle w:val="ListBullet"/>
      </w:pPr>
      <w:r>
        <w:t>Reassess role allocation after material modifications, rebranding or changes to intended purpose.</w:t>
      </w:r>
    </w:p>
    <w:p>
      <w:pPr>
        <w:pStyle w:val="Heading3"/>
      </w:pPr>
      <w:r>
        <w:t>Evidence outcome</w:t>
      </w:r>
    </w:p>
    <w:p>
      <w:pPr>
        <w:spacing w:after="120"/>
      </w:pPr>
      <w:r>
        <w:t>Role-specific responsibility matrix and contract/evidence map.</w:t>
      </w:r>
    </w:p>
    <w:p>
      <w:pPr>
        <w:pStyle w:val="Heading2"/>
      </w:pPr>
      <w:r>
        <w:t>Module 14 — General-purpose AI governance</w:t>
      </w:r>
    </w:p>
    <w:p>
      <w:pPr>
        <w:pStyle w:val="Heading3"/>
      </w:pPr>
      <w:r>
        <w:t>Objective</w:t>
      </w:r>
    </w:p>
    <w:p>
      <w:pPr>
        <w:spacing w:after="120"/>
      </w:pPr>
      <w:r>
        <w:t>Operationalize obligations and dependencies associated with GPAI models without confusing model-level and system-level governance.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Identify whether the organization is a GPAI provider, downstream provider/developer or deployer/user of a system that incorporates GPAI.</w:t>
      </w:r>
    </w:p>
    <w:p>
      <w:pPr>
        <w:pStyle w:val="ListBullet"/>
      </w:pPr>
      <w:r>
        <w:t>Maintain provider information and downstream documentation dependencies.</w:t>
      </w:r>
    </w:p>
    <w:p>
      <w:pPr>
        <w:pStyle w:val="ListBullet"/>
      </w:pPr>
      <w:r>
        <w:t>Address applicable transparency and copyright-related requirements.</w:t>
      </w:r>
    </w:p>
    <w:p>
      <w:pPr>
        <w:pStyle w:val="ListBullet"/>
      </w:pPr>
      <w:r>
        <w:t>Identify additional systemic-risk duties where applicable.</w:t>
      </w:r>
    </w:p>
    <w:p>
      <w:pPr>
        <w:pStyle w:val="ListBullet"/>
      </w:pPr>
      <w:r>
        <w:t>Continue system-level risk, security, privacy and oversight governance even when the underlying model is third-party.</w:t>
      </w:r>
    </w:p>
    <w:p>
      <w:pPr>
        <w:pStyle w:val="Heading3"/>
      </w:pPr>
      <w:r>
        <w:t>Evidence outcome</w:t>
      </w:r>
    </w:p>
    <w:p>
      <w:pPr>
        <w:spacing w:after="120"/>
      </w:pPr>
      <w:r>
        <w:t>GPAI role determination, documentation register, provider dependency record and system-level control map.</w:t>
      </w:r>
    </w:p>
    <w:p>
      <w:pPr>
        <w:pStyle w:val="Heading2"/>
      </w:pPr>
      <w:r>
        <w:t>Module 15 — Fundamental-rights impact assessment</w:t>
      </w:r>
    </w:p>
    <w:p>
      <w:pPr>
        <w:pStyle w:val="Heading3"/>
      </w:pPr>
      <w:r>
        <w:t>Objective</w:t>
      </w:r>
    </w:p>
    <w:p>
      <w:pPr>
        <w:spacing w:after="120"/>
      </w:pPr>
      <w:r>
        <w:t>Complete a legally required FRIA where the trigger applies and integrate it with broader enterprise impact assessment.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Determine whether the FRIA obligation applies to the deployer/use context.</w:t>
      </w:r>
    </w:p>
    <w:p>
      <w:pPr>
        <w:pStyle w:val="ListBullet"/>
      </w:pPr>
      <w:r>
        <w:t>Identify affected persons/groups and relevant rights impacts.</w:t>
      </w:r>
    </w:p>
    <w:p>
      <w:pPr>
        <w:pStyle w:val="ListBullet"/>
      </w:pPr>
      <w:r>
        <w:t>Document safeguards, human oversight, complaint/contestability mechanisms and residual impact.</w:t>
      </w:r>
    </w:p>
    <w:p>
      <w:pPr>
        <w:pStyle w:val="ListBullet"/>
      </w:pPr>
      <w:r>
        <w:t>Keep the FRIA aligned with intended use and material changes.</w:t>
      </w:r>
    </w:p>
    <w:p>
      <w:pPr>
        <w:pStyle w:val="ListBullet"/>
      </w:pPr>
      <w:r>
        <w:t>Distinguish FRIA from privacy DPIA and enterprise AI risk assessment while coordinating evidence where appropriate.</w:t>
      </w:r>
    </w:p>
    <w:p>
      <w:pPr>
        <w:pStyle w:val="Heading3"/>
      </w:pPr>
      <w:r>
        <w:t>Evidence outcome</w:t>
      </w:r>
    </w:p>
    <w:p>
      <w:pPr>
        <w:spacing w:after="120"/>
      </w:pPr>
      <w:r>
        <w:t>FRIA trigger analysis and completed assessment where required.</w:t>
      </w:r>
    </w:p>
    <w:p>
      <w:pPr>
        <w:pStyle w:val="Heading2"/>
      </w:pPr>
      <w:r>
        <w:t>Module 16 — Post-market monitoring</w:t>
      </w:r>
    </w:p>
    <w:p>
      <w:pPr>
        <w:pStyle w:val="Heading3"/>
      </w:pPr>
      <w:r>
        <w:t>Objective</w:t>
      </w:r>
    </w:p>
    <w:p>
      <w:pPr>
        <w:spacing w:after="120"/>
      </w:pPr>
      <w:r>
        <w:t>Operate continuous monitoring that can detect changed risk, performance or compliance conditions after deployment.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Define performance and risk indicators, thresholds and escalation paths.</w:t>
      </w:r>
    </w:p>
    <w:p>
      <w:pPr>
        <w:pStyle w:val="ListBullet"/>
      </w:pPr>
      <w:r>
        <w:t>Monitor misuse, drift, model/provider change, incidents, complaints and changing deployment context.</w:t>
      </w:r>
    </w:p>
    <w:p>
      <w:pPr>
        <w:pStyle w:val="ListBullet"/>
      </w:pPr>
      <w:r>
        <w:t>Link monitoring to corrective action and revalidation.</w:t>
      </w:r>
    </w:p>
    <w:p>
      <w:pPr>
        <w:pStyle w:val="ListBullet"/>
      </w:pPr>
      <w:r>
        <w:t>Ensure provider and deployer monitoring responsibilities are coordinated where applicable.</w:t>
      </w:r>
    </w:p>
    <w:p>
      <w:pPr>
        <w:pStyle w:val="Heading3"/>
      </w:pPr>
      <w:r>
        <w:t>Evidence outcome</w:t>
      </w:r>
    </w:p>
    <w:p>
      <w:pPr>
        <w:spacing w:after="120"/>
      </w:pPr>
      <w:r>
        <w:t>Monitoring plan, dashboard/KRIs, threshold history, corrective actions and revalidation records.</w:t>
      </w:r>
    </w:p>
    <w:p>
      <w:pPr>
        <w:pStyle w:val="Heading2"/>
      </w:pPr>
      <w:r>
        <w:t>Module 17 — Serious incidents and regulatory escalation</w:t>
      </w:r>
    </w:p>
    <w:p>
      <w:pPr>
        <w:pStyle w:val="Heading3"/>
      </w:pPr>
      <w:r>
        <w:t>Objective</w:t>
      </w:r>
    </w:p>
    <w:p>
      <w:pPr>
        <w:spacing w:after="120"/>
      </w:pPr>
      <w:r>
        <w:t>Detect, assess and escalate incidents consistently with applicable AI Act obligations and enterprise incident management.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Define intake criteria and severity assessment.</w:t>
      </w:r>
    </w:p>
    <w:p>
      <w:pPr>
        <w:pStyle w:val="ListBullet"/>
      </w:pPr>
      <w:r>
        <w:t>Preserve logs, versions and decision evidence.</w:t>
      </w:r>
    </w:p>
    <w:p>
      <w:pPr>
        <w:pStyle w:val="ListBullet"/>
      </w:pPr>
      <w:r>
        <w:t>Determine legal notification requirements and responsible party.</w:t>
      </w:r>
    </w:p>
    <w:p>
      <w:pPr>
        <w:pStyle w:val="ListBullet"/>
      </w:pPr>
      <w:r>
        <w:t>Coordinate provider/deployer/vendor actions.</w:t>
      </w:r>
    </w:p>
    <w:p>
      <w:pPr>
        <w:pStyle w:val="ListBullet"/>
      </w:pPr>
      <w:r>
        <w:t>Track remediation and safe return-to-service criteria.</w:t>
      </w:r>
    </w:p>
    <w:p>
      <w:pPr>
        <w:pStyle w:val="Heading3"/>
      </w:pPr>
      <w:r>
        <w:t>Evidence outcome</w:t>
      </w:r>
    </w:p>
    <w:p>
      <w:pPr>
        <w:spacing w:after="120"/>
      </w:pPr>
      <w:r>
        <w:t>Incident record, legal/role assessment, notifications where required, remediation and revalidation evidence.</w:t>
      </w:r>
    </w:p>
    <w:p>
      <w:pPr>
        <w:pStyle w:val="Heading2"/>
      </w:pPr>
      <w:r>
        <w:t>Module 18 — Third-party and supply-chain governance</w:t>
      </w:r>
    </w:p>
    <w:p>
      <w:pPr>
        <w:pStyle w:val="Heading3"/>
      </w:pPr>
      <w:r>
        <w:t>Objective</w:t>
      </w:r>
    </w:p>
    <w:p>
      <w:pPr>
        <w:spacing w:after="120"/>
      </w:pPr>
      <w:r>
        <w:t>Preserve accountable governance when AI capability or components are externally supplied.</w:t>
      </w:r>
    </w:p>
    <w:p>
      <w:pPr>
        <w:pStyle w:val="Heading3"/>
      </w:pPr>
      <w:r>
        <w:t>Training points</w:t>
      </w:r>
    </w:p>
    <w:p>
      <w:pPr>
        <w:pStyle w:val="ListBullet"/>
      </w:pPr>
      <w:r>
        <w:t>Perform role-aware due diligence.</w:t>
      </w:r>
    </w:p>
    <w:p>
      <w:pPr>
        <w:pStyle w:val="ListBullet"/>
      </w:pPr>
      <w:r>
        <w:t>Require documentation/instructions, security/privacy commitments, change notification, incident cooperation, evidence access and exit support.</w:t>
      </w:r>
    </w:p>
    <w:p>
      <w:pPr>
        <w:pStyle w:val="ListBullet"/>
      </w:pPr>
      <w:r>
        <w:t>Evaluate subcontractor and model dependency chains.</w:t>
      </w:r>
    </w:p>
    <w:p>
      <w:pPr>
        <w:pStyle w:val="ListBullet"/>
      </w:pPr>
      <w:r>
        <w:t>Track provider/model version changes that could affect classification or obligations.</w:t>
      </w:r>
    </w:p>
    <w:p>
      <w:pPr>
        <w:pStyle w:val="Heading3"/>
      </w:pPr>
      <w:r>
        <w:t>Evidence outcome</w:t>
      </w:r>
    </w:p>
    <w:p>
      <w:pPr>
        <w:spacing w:after="120"/>
      </w:pPr>
      <w:r>
        <w:t>Due-diligence file, responsibility allocation, contract controls and ongoing-monitoring record.</w:t>
      </w:r>
    </w:p>
    <w:p>
      <w:pPr>
        <w:pStyle w:val="Heading2"/>
      </w:pPr>
      <w:r>
        <w:t>Module 19 — Governance evidence and assurance</w:t>
      </w:r>
    </w:p>
    <w:p>
      <w:pPr>
        <w:pStyle w:val="Heading3"/>
      </w:pPr>
      <w:r>
        <w:t>Objective</w:t>
      </w:r>
    </w:p>
    <w:p>
      <w:pPr>
        <w:spacing w:after="120"/>
      </w:pPr>
      <w:r>
        <w:t>Make legal obligations testable through an evidence chain.</w:t>
      </w:r>
    </w:p>
    <w:p>
      <w:pPr>
        <w:pStyle w:val="Heading3"/>
      </w:pPr>
      <w:r>
        <w:t>Training pattern</w:t>
      </w:r>
    </w:p>
    <w:p>
      <w:pPr>
        <w:spacing w:after="120"/>
      </w:pPr>
      <w:r>
        <w:t>**Legal requirement → organizational interpretation → control objective → control activity → owner → trigger/frequency → evidence → test method → exception → remediation → residual-risk decision**</w:t>
      </w:r>
    </w:p>
    <w:p>
      <w:pPr>
        <w:pStyle w:val="Heading3"/>
      </w:pPr>
      <w:r>
        <w:t>Evidence outcome</w:t>
      </w:r>
    </w:p>
    <w:p>
      <w:pPr>
        <w:spacing w:after="120"/>
      </w:pPr>
      <w:r>
        <w:t>A control/evidence register capable of supporting management challenge, internal assurance and regulatory response.</w:t>
      </w:r>
    </w:p>
    <w:p>
      <w:pPr>
        <w:pStyle w:val="Heading2"/>
      </w:pPr>
      <w:r>
        <w:t>Module 20 — Implementation roadmap</w:t>
      </w:r>
    </w:p>
    <w:p>
      <w:pPr>
        <w:pStyle w:val="Heading3"/>
      </w:pPr>
      <w:r>
        <w:t>Objective</w:t>
      </w:r>
    </w:p>
    <w:p>
      <w:pPr>
        <w:spacing w:after="120"/>
      </w:pPr>
      <w:r>
        <w:t>Translate the Act into a sequenced enterprise program rather than a one-time checklist.</w:t>
      </w:r>
    </w:p>
    <w:p>
      <w:pPr>
        <w:pStyle w:val="Heading3"/>
      </w:pPr>
      <w:r>
        <w:t>Recommended workstreams</w:t>
      </w:r>
    </w:p>
    <w:p>
      <w:pPr>
        <w:pStyle w:val="ListNumber"/>
      </w:pPr>
      <w:r>
        <w:t>inventory and applicability;</w:t>
      </w:r>
    </w:p>
    <w:p>
      <w:pPr>
        <w:pStyle w:val="ListNumber"/>
      </w:pPr>
      <w:r>
        <w:t>role mapping and classification;</w:t>
      </w:r>
    </w:p>
    <w:p>
      <w:pPr>
        <w:pStyle w:val="ListNumber"/>
      </w:pPr>
      <w:r>
        <w:t>prohibited-practice and AI-literacy controls;</w:t>
      </w:r>
    </w:p>
    <w:p>
      <w:pPr>
        <w:pStyle w:val="ListNumber"/>
      </w:pPr>
      <w:r>
        <w:t>high-risk/GPAI/transparency obligation mapping;</w:t>
      </w:r>
    </w:p>
    <w:p>
      <w:pPr>
        <w:pStyle w:val="ListNumber"/>
      </w:pPr>
      <w:r>
        <w:t>lifecycle control integration;</w:t>
      </w:r>
    </w:p>
    <w:p>
      <w:pPr>
        <w:pStyle w:val="ListNumber"/>
      </w:pPr>
      <w:r>
        <w:t>vendor/value-chain controls;</w:t>
      </w:r>
    </w:p>
    <w:p>
      <w:pPr>
        <w:pStyle w:val="ListNumber"/>
      </w:pPr>
      <w:r>
        <w:t>evidence and documentation architecture;</w:t>
      </w:r>
    </w:p>
    <w:p>
      <w:pPr>
        <w:pStyle w:val="ListNumber"/>
      </w:pPr>
      <w:r>
        <w:t>monitoring/incident/change management;</w:t>
      </w:r>
    </w:p>
    <w:p>
      <w:pPr>
        <w:pStyle w:val="ListNumber"/>
      </w:pPr>
      <w:r>
        <w:t>assurance and readiness testing;</w:t>
      </w:r>
    </w:p>
    <w:p>
      <w:pPr>
        <w:pStyle w:val="ListNumber"/>
      </w:pPr>
      <w:r>
        <w:t>regulatory-change management.</w:t>
      </w:r>
    </w:p>
    <w:p>
      <w:pPr>
        <w:pStyle w:val="Heading2"/>
      </w:pPr>
      <w:r>
        <w:t>Completion standard</w:t>
      </w:r>
    </w:p>
    <w:p>
      <w:pPr>
        <w:spacing w:after="120"/>
      </w:pPr>
      <w:r>
        <w:t>A learner should be able to take an AI use case from inventory through EU AI Act scope/role determination, prohibited-practice screening, legal classification, obligation mapping, control/evidence design, approval, monitoring, incident/change management and revalidation while preserving the distinction between legal requirements and voluntary-framework alignment.</w:t>
      </w:r>
    </w:p>
    <w:p>
      <w:pPr>
        <w:pStyle w:val="Heading1"/>
      </w:pPr>
      <w:r>
        <w:t>Manual 47 — EU AI Act Practical Scenarios</w:t>
      </w:r>
    </w:p>
    <w:p>
      <w:pPr>
        <w:spacing w:after="120"/>
      </w:pPr>
      <w:r>
        <w:t>**Controlled language:** English</w:t>
      </w:r>
    </w:p>
    <w:p>
      <w:pPr>
        <w:pStyle w:val="Heading2"/>
      </w:pPr>
      <w:r>
        <w:t>Scenario 1 — Employment screening AI</w:t>
      </w:r>
    </w:p>
    <w:p>
      <w:pPr>
        <w:spacing w:after="120"/>
      </w:pPr>
      <w:r>
        <w:t>Determine territorial scope, value-chain roles, high-risk classification, data-governance requirements, human oversight, logging, validation, deployer controls, fundamental-rights assessment obligations where applicable, monitoring and evidence.</w:t>
      </w:r>
    </w:p>
    <w:p>
      <w:pPr>
        <w:pStyle w:val="Heading2"/>
      </w:pPr>
      <w:r>
        <w:t>Scenario 2 — Customer-service chatbot</w:t>
      </w:r>
    </w:p>
    <w:p>
      <w:pPr>
        <w:spacing w:after="120"/>
      </w:pPr>
      <w:r>
        <w:t>Determine whether Article 50 transparency duties apply, what disclosure is required, how production evidence demonstrates the disclosure operates, and which privacy/security controls remain outside the AI Act but are still necessary.</w:t>
      </w:r>
    </w:p>
    <w:p>
      <w:pPr>
        <w:pStyle w:val="Heading2"/>
      </w:pPr>
      <w:r>
        <w:t>Scenario 3 — Third-party high-risk AI procurement</w:t>
      </w:r>
    </w:p>
    <w:p>
      <w:pPr>
        <w:spacing w:after="120"/>
      </w:pPr>
      <w:r>
        <w:t>Separate provider and deployer obligations. Identify documentation, instructions for use, logging, monitoring, change notification, incident notification, contractual evidence, oversight and exit requirements.</w:t>
      </w:r>
    </w:p>
    <w:p>
      <w:pPr>
        <w:pStyle w:val="Heading2"/>
      </w:pPr>
      <w:r>
        <w:t>Scenario 4 — GPAI-enabled internal application</w:t>
      </w:r>
    </w:p>
    <w:p>
      <w:pPr>
        <w:spacing w:after="120"/>
      </w:pPr>
      <w:r>
        <w:t>Determine the organization's role, downstream reliance on GPAI provider information, model limitations, copyright/transparency considerations, system-level risk assessment, security and change management.</w:t>
      </w:r>
    </w:p>
    <w:p>
      <w:pPr>
        <w:pStyle w:val="Heading2"/>
      </w:pPr>
      <w:r>
        <w:t>Scenario 5 — Deepfake/public-interest content</w:t>
      </w:r>
    </w:p>
    <w:p>
      <w:pPr>
        <w:spacing w:after="120"/>
      </w:pPr>
      <w:r>
        <w:t>Determine whether Article 50 labeling/disclosure duties apply, how the disclosure is implemented and tested, and what evidence must be retained.</w:t>
      </w:r>
    </w:p>
    <w:p>
      <w:pPr>
        <w:pStyle w:val="Heading2"/>
      </w:pPr>
      <w:r>
        <w:t>Scenario 6 — Material provider/model change</w:t>
      </w:r>
    </w:p>
    <w:p>
      <w:pPr>
        <w:spacing w:after="120"/>
      </w:pPr>
      <w:r>
        <w:t>Assess whether role, classification, intended purpose, performance, cybersecurity, transparency or conformity-related conclusions are affected. Require regression testing, documented reassessment, rollback planning and renewed approval where material.</w:t>
      </w:r>
    </w:p>
    <w:p>
      <w:pPr>
        <w:pStyle w:val="Heading2"/>
      </w:pPr>
      <w:r>
        <w:t>Scenario 7 — AI incident after deployment</w:t>
      </w:r>
    </w:p>
    <w:p>
      <w:pPr>
        <w:spacing w:after="120"/>
      </w:pPr>
      <w:r>
        <w:t>Contain the event, preserve evidence, assess harm/seriousness, determine notification/escalation obligations, coordinate provider/deployer responsibilities, remediate and revalidate before resuming use.</w:t>
      </w:r>
    </w:p>
    <w:p>
      <w:pPr>
        <w:pStyle w:val="Heading2"/>
      </w:pPr>
      <w:r>
        <w:t>Scenario 8 — Agentic AI with consequential tool access</w:t>
      </w:r>
    </w:p>
    <w:p>
      <w:pPr>
        <w:spacing w:after="120"/>
      </w:pPr>
      <w:r>
        <w:t>Apply the EU AI Act classification and transparency analysis at system level while also governing identity, authorization, human approval checkpoints, action logs, tool limits, runtime monitoring and emergency disablement.</w:t>
      </w:r>
    </w:p>
    <w:p>
      <w:pPr>
        <w:pStyle w:val="Heading2"/>
      </w:pPr>
      <w:r>
        <w:t>Scenario-response template</w:t>
      </w:r>
    </w:p>
    <w:p>
      <w:pPr>
        <w:spacing w:after="120"/>
      </w:pPr>
      <w:r>
        <w:t>For every scenario document:</w:t>
      </w:r>
    </w:p>
    <w:p>
      <w:pPr>
        <w:pStyle w:val="ListNumber"/>
      </w:pPr>
      <w:r>
        <w:t>AI use and intended purpose.</w:t>
      </w:r>
    </w:p>
    <w:p>
      <w:pPr>
        <w:pStyle w:val="ListNumber"/>
      </w:pPr>
      <w:r>
        <w:t>Territorial/material scope.</w:t>
      </w:r>
    </w:p>
    <w:p>
      <w:pPr>
        <w:pStyle w:val="ListNumber"/>
      </w:pPr>
      <w:r>
        <w:t>Value-chain role(s).</w:t>
      </w:r>
    </w:p>
    <w:p>
      <w:pPr>
        <w:pStyle w:val="ListNumber"/>
      </w:pPr>
      <w:r>
        <w:t>Prohibited-practice screen.</w:t>
      </w:r>
    </w:p>
    <w:p>
      <w:pPr>
        <w:pStyle w:val="ListNumber"/>
      </w:pPr>
      <w:r>
        <w:t>Risk/GPAI/transparency classification.</w:t>
      </w:r>
    </w:p>
    <w:p>
      <w:pPr>
        <w:pStyle w:val="ListNumber"/>
      </w:pPr>
      <w:r>
        <w:t>Applicable obligations.</w:t>
      </w:r>
    </w:p>
    <w:p>
      <w:pPr>
        <w:pStyle w:val="ListNumber"/>
      </w:pPr>
      <w:r>
        <w:t>Control objectives and control activities.</w:t>
      </w:r>
    </w:p>
    <w:p>
      <w:pPr>
        <w:pStyle w:val="ListNumber"/>
      </w:pPr>
      <w:r>
        <w:t>Required evidence.</w:t>
      </w:r>
    </w:p>
    <w:p>
      <w:pPr>
        <w:pStyle w:val="ListNumber"/>
      </w:pPr>
      <w:r>
        <w:t>Approval/exception authority.</w:t>
      </w:r>
    </w:p>
    <w:p>
      <w:pPr>
        <w:pStyle w:val="ListNumber"/>
      </w:pPr>
      <w:r>
        <w:t>Monitoring, change and incident triggers.</w:t>
      </w:r>
    </w:p>
    <w:p>
      <w:pPr>
        <w:pStyle w:val="ListNumber"/>
      </w:pPr>
      <w:r>
        <w:t>Residual-risk decision.</w:t>
      </w:r>
    </w:p>
    <w:p>
      <w:pPr>
        <w:pStyle w:val="Heading1"/>
      </w:pPr>
      <w:r>
        <w:t>Manual 47 — EU AI Act Control and Evidence Workbook</w:t>
      </w:r>
    </w:p>
    <w:p>
      <w:pPr>
        <w:spacing w:after="120"/>
      </w:pPr>
      <w:r>
        <w:t>**Purpose:** Convert applicable EU AI Act obligations into owned, testable enterprise controls without implying that a voluntary framework mapping proves legal compliance.</w:t>
      </w:r>
    </w:p>
    <w:p>
      <w:pPr>
        <w:pStyle w:val="Heading2"/>
      </w:pPr>
      <w:r>
        <w:t>Control pattern</w:t>
      </w:r>
    </w:p>
    <w:p>
      <w:pPr>
        <w:spacing w:after="120"/>
      </w:pPr>
      <w:r>
        <w:t>**Legal requirement → organizational interpretation → risk → control objective → control activity → owner → trigger/frequency → evidence → test method → exception/escalation → remediation → residual-risk decision**</w:t>
      </w:r>
    </w:p>
    <w:p>
      <w:pPr>
        <w:pStyle w:val="Heading2"/>
      </w:pPr>
      <w:r>
        <w:t>Core workbook domains</w:t>
      </w:r>
    </w:p>
    <w:p>
      <w:pPr>
        <w:pStyle w:val="Heading3"/>
      </w:pPr>
      <w:r>
        <w:t>EUA-SCP-01 Scope and role determination</w:t>
      </w:r>
    </w:p>
    <w:p>
      <w:pPr>
        <w:pStyle w:val="ListBullet"/>
      </w:pPr>
      <w:r>
        <w:t>Objective: document territorial/material scope and value-chain role(s).</w:t>
      </w:r>
    </w:p>
    <w:p>
      <w:pPr>
        <w:pStyle w:val="ListBullet"/>
      </w:pPr>
      <w:r>
        <w:t>Evidence: applicability memo, entity/role map, intended-purpose record, legal interpretation references.</w:t>
      </w:r>
    </w:p>
    <w:p>
      <w:pPr>
        <w:pStyle w:val="ListBullet"/>
      </w:pPr>
      <w:r>
        <w:t>Test: sample AI inventory entries and confirm role/scope conclusions are current and supported.</w:t>
      </w:r>
    </w:p>
    <w:p>
      <w:pPr>
        <w:pStyle w:val="Heading3"/>
      </w:pPr>
      <w:r>
        <w:t>EUA-PRH-01 Prohibited-practice screening</w:t>
      </w:r>
    </w:p>
    <w:p>
      <w:pPr>
        <w:pStyle w:val="ListBullet"/>
      </w:pPr>
      <w:r>
        <w:t>Objective: prevent approval/deployment of prohibited AI practices.</w:t>
      </w:r>
    </w:p>
    <w:p>
      <w:pPr>
        <w:pStyle w:val="ListBullet"/>
      </w:pPr>
      <w:r>
        <w:t>Evidence: screening record, escalation decision, prohibited-use controls, vendor representations.</w:t>
      </w:r>
    </w:p>
    <w:p>
      <w:pPr>
        <w:pStyle w:val="ListBullet"/>
      </w:pPr>
      <w:r>
        <w:t>Test: verify every in-scope use case completed the screen before approval.</w:t>
      </w:r>
    </w:p>
    <w:p>
      <w:pPr>
        <w:pStyle w:val="Heading3"/>
      </w:pPr>
      <w:r>
        <w:t>EUA-LIT-01 AI literacy</w:t>
      </w:r>
    </w:p>
    <w:p>
      <w:pPr>
        <w:pStyle w:val="ListBullet"/>
      </w:pPr>
      <w:r>
        <w:t>Objective: provide role-appropriate AI literacy for personnel dealing with AI systems.</w:t>
      </w:r>
    </w:p>
    <w:p>
      <w:pPr>
        <w:pStyle w:val="ListBullet"/>
      </w:pPr>
      <w:r>
        <w:t>Evidence: curriculum, audience mapping, completion records, refresher triggers.</w:t>
      </w:r>
    </w:p>
    <w:p>
      <w:pPr>
        <w:pStyle w:val="ListBullet"/>
      </w:pPr>
      <w:r>
        <w:t>Test: sample personnel by role and verify required training evidence.</w:t>
      </w:r>
    </w:p>
    <w:p>
      <w:pPr>
        <w:pStyle w:val="Heading3"/>
      </w:pPr>
      <w:r>
        <w:t>EUA-CLS-01 High-risk classification</w:t>
      </w:r>
    </w:p>
    <w:p>
      <w:pPr>
        <w:pStyle w:val="ListBullet"/>
      </w:pPr>
      <w:r>
        <w:t>Objective: document whether a system is high-risk and why.</w:t>
      </w:r>
    </w:p>
    <w:p>
      <w:pPr>
        <w:pStyle w:val="ListBullet"/>
      </w:pPr>
      <w:r>
        <w:t>Evidence: classification worksheet, Annex analysis, intended purpose, regulated-product linkage where relevant.</w:t>
      </w:r>
    </w:p>
    <w:p>
      <w:pPr>
        <w:pStyle w:val="ListBullet"/>
      </w:pPr>
      <w:r>
        <w:t>Test: independently challenge selected classifications and verify change triggers.</w:t>
      </w:r>
    </w:p>
    <w:p>
      <w:pPr>
        <w:pStyle w:val="Heading3"/>
      </w:pPr>
      <w:r>
        <w:t>EUA-RSK-01 Risk management</w:t>
      </w:r>
    </w:p>
    <w:p>
      <w:pPr>
        <w:pStyle w:val="ListBullet"/>
      </w:pPr>
      <w:r>
        <w:t>Objective: operate a lifecycle risk-management process for applicable high-risk AI.</w:t>
      </w:r>
    </w:p>
    <w:p>
      <w:pPr>
        <w:pStyle w:val="ListBullet"/>
      </w:pPr>
      <w:r>
        <w:t>Evidence: risk register, foreseeable misuse analysis, controls, residual-risk decisions, revalidation records.</w:t>
      </w:r>
    </w:p>
    <w:p>
      <w:pPr>
        <w:pStyle w:val="ListBullet"/>
      </w:pPr>
      <w:r>
        <w:t>Test: trace material risks to controls and evidence.</w:t>
      </w:r>
    </w:p>
    <w:p>
      <w:pPr>
        <w:pStyle w:val="Heading3"/>
      </w:pPr>
      <w:r>
        <w:t>EUA-DAT-01 Data and data governance</w:t>
      </w:r>
    </w:p>
    <w:p>
      <w:pPr>
        <w:pStyle w:val="ListBullet"/>
      </w:pPr>
      <w:r>
        <w:t>Objective: govern datasets and data processes required by applicable obligations.</w:t>
      </w:r>
    </w:p>
    <w:p>
      <w:pPr>
        <w:pStyle w:val="ListBullet"/>
      </w:pPr>
      <w:r>
        <w:t>Evidence: provenance, quality criteria, preparation records, representativeness analysis where relevant, lineage, access controls.</w:t>
      </w:r>
    </w:p>
    <w:p>
      <w:pPr>
        <w:pStyle w:val="ListBullet"/>
      </w:pPr>
      <w:r>
        <w:t>Test: sample critical data elements and trace provenance and control operation.</w:t>
      </w:r>
    </w:p>
    <w:p>
      <w:pPr>
        <w:pStyle w:val="Heading3"/>
      </w:pPr>
      <w:r>
        <w:t>EUA-DOC-01 Technical documentation</w:t>
      </w:r>
    </w:p>
    <w:p>
      <w:pPr>
        <w:pStyle w:val="ListBullet"/>
      </w:pPr>
      <w:r>
        <w:t>Objective: maintain required technical documentation and references to controlled source records.</w:t>
      </w:r>
    </w:p>
    <w:p>
      <w:pPr>
        <w:pStyle w:val="ListBullet"/>
      </w:pPr>
      <w:r>
        <w:t>Evidence: documentation index, version history, architecture, model/system description, testing references.</w:t>
      </w:r>
    </w:p>
    <w:p>
      <w:pPr>
        <w:pStyle w:val="ListBullet"/>
      </w:pPr>
      <w:r>
        <w:t>Test: confirm documentation corresponds to the deployed version.</w:t>
      </w:r>
    </w:p>
    <w:p>
      <w:pPr>
        <w:pStyle w:val="Heading3"/>
      </w:pPr>
      <w:r>
        <w:t>EUA-LOG-01 Recordkeeping and logging</w:t>
      </w:r>
    </w:p>
    <w:p>
      <w:pPr>
        <w:pStyle w:val="ListBullet"/>
      </w:pPr>
      <w:r>
        <w:t>Objective: preserve required logs and traceability.</w:t>
      </w:r>
    </w:p>
    <w:p>
      <w:pPr>
        <w:pStyle w:val="ListBullet"/>
      </w:pPr>
      <w:r>
        <w:t>Evidence: logging specification, retention settings, sample logs, access-control records.</w:t>
      </w:r>
    </w:p>
    <w:p>
      <w:pPr>
        <w:pStyle w:val="ListBullet"/>
      </w:pPr>
      <w:r>
        <w:t>Test: reconstruct a sampled consequential event from logs.</w:t>
      </w:r>
    </w:p>
    <w:p>
      <w:pPr>
        <w:pStyle w:val="Heading3"/>
      </w:pPr>
      <w:r>
        <w:t>EUA-TRN-01 Transparency and instructions</w:t>
      </w:r>
    </w:p>
    <w:p>
      <w:pPr>
        <w:pStyle w:val="ListBullet"/>
      </w:pPr>
      <w:r>
        <w:t>Objective: provide required information, instructions and disclosures.</w:t>
      </w:r>
    </w:p>
    <w:p>
      <w:pPr>
        <w:pStyle w:val="ListBullet"/>
      </w:pPr>
      <w:r>
        <w:t>Evidence: instructions for use, Article 50 notices where applicable, UI captures, production tests, content marking evidence.</w:t>
      </w:r>
    </w:p>
    <w:p>
      <w:pPr>
        <w:pStyle w:val="ListBullet"/>
      </w:pPr>
      <w:r>
        <w:t>Test: verify disclosures operate in production and match applicability determination.</w:t>
      </w:r>
    </w:p>
    <w:p>
      <w:pPr>
        <w:pStyle w:val="Heading3"/>
      </w:pPr>
      <w:r>
        <w:t>EUA-HUM-01 Human oversight</w:t>
      </w:r>
    </w:p>
    <w:p>
      <w:pPr>
        <w:pStyle w:val="ListBullet"/>
      </w:pPr>
      <w:r>
        <w:t>Objective: ensure meaningful human oversight for applicable systems.</w:t>
      </w:r>
    </w:p>
    <w:p>
      <w:pPr>
        <w:pStyle w:val="ListBullet"/>
      </w:pPr>
      <w:r>
        <w:t>Evidence: oversight procedure, role mapping, training, override/stop mechanisms, intervention logs.</w:t>
      </w:r>
    </w:p>
    <w:p>
      <w:pPr>
        <w:pStyle w:val="ListBullet"/>
      </w:pPr>
      <w:r>
        <w:t>Test: demonstrate that an authorized human can understand, intervene and stop/escalate where required.</w:t>
      </w:r>
    </w:p>
    <w:p>
      <w:pPr>
        <w:pStyle w:val="Heading3"/>
      </w:pPr>
      <w:r>
        <w:t>EUA-ROB-01 Accuracy, robustness and cybersecurity</w:t>
      </w:r>
    </w:p>
    <w:p>
      <w:pPr>
        <w:pStyle w:val="ListBullet"/>
      </w:pPr>
      <w:r>
        <w:t>Objective: maintain proportionate performance, robustness and security controls.</w:t>
      </w:r>
    </w:p>
    <w:p>
      <w:pPr>
        <w:pStyle w:val="ListBullet"/>
      </w:pPr>
      <w:r>
        <w:t>Evidence: validation results, security testing, threat model, vulnerability findings, remediation, resilience tests.</w:t>
      </w:r>
    </w:p>
    <w:p>
      <w:pPr>
        <w:pStyle w:val="ListBullet"/>
      </w:pPr>
      <w:r>
        <w:t>Test: verify acceptance thresholds and unresolved findings are governed.</w:t>
      </w:r>
    </w:p>
    <w:p>
      <w:pPr>
        <w:pStyle w:val="Heading3"/>
      </w:pPr>
      <w:r>
        <w:t>EUA-GPAI-01 GPAI governance</w:t>
      </w:r>
    </w:p>
    <w:p>
      <w:pPr>
        <w:pStyle w:val="ListBullet"/>
      </w:pPr>
      <w:r>
        <w:t>Objective: identify and operate controls for applicable GPAI obligations and downstream dependencies.</w:t>
      </w:r>
    </w:p>
    <w:p>
      <w:pPr>
        <w:pStyle w:val="ListBullet"/>
      </w:pPr>
      <w:r>
        <w:t>Evidence: provider documentation, model information, copyright-related policy evidence, systemic-risk analysis where applicable, downstream instructions.</w:t>
      </w:r>
    </w:p>
    <w:p>
      <w:pPr>
        <w:pStyle w:val="ListBullet"/>
      </w:pPr>
      <w:r>
        <w:t>Test: verify obligations match the organization's role and current model/provider state.</w:t>
      </w:r>
    </w:p>
    <w:p>
      <w:pPr>
        <w:pStyle w:val="Heading3"/>
      </w:pPr>
      <w:r>
        <w:t>EUA-FRIA-01 Fundamental-rights impact assessment</w:t>
      </w:r>
    </w:p>
    <w:p>
      <w:pPr>
        <w:pStyle w:val="ListBullet"/>
      </w:pPr>
      <w:r>
        <w:t>Objective: complete and retain an FRIA where legally required.</w:t>
      </w:r>
    </w:p>
    <w:p>
      <w:pPr>
        <w:pStyle w:val="ListBullet"/>
      </w:pPr>
      <w:r>
        <w:t>Evidence: affected persons, impact analysis, safeguards, oversight, complaints/contestability, residual-risk decision.</w:t>
      </w:r>
    </w:p>
    <w:p>
      <w:pPr>
        <w:pStyle w:val="ListBullet"/>
      </w:pPr>
      <w:r>
        <w:t>Test: confirm trigger analysis and completeness of required elements.</w:t>
      </w:r>
    </w:p>
    <w:p>
      <w:pPr>
        <w:pStyle w:val="Heading3"/>
      </w:pPr>
      <w:r>
        <w:t>EUA-PMM-01 Post-market monitoring</w:t>
      </w:r>
    </w:p>
    <w:p>
      <w:pPr>
        <w:pStyle w:val="ListBullet"/>
      </w:pPr>
      <w:r>
        <w:t>Objective: monitor deployed AI for performance, misuse, incidents, changed context and regulatory change.</w:t>
      </w:r>
    </w:p>
    <w:p>
      <w:pPr>
        <w:pStyle w:val="ListBullet"/>
      </w:pPr>
      <w:r>
        <w:t>Evidence: monitoring plan, KRIs, thresholds, alerts, review records, trend reports.</w:t>
      </w:r>
    </w:p>
    <w:p>
      <w:pPr>
        <w:pStyle w:val="ListBullet"/>
      </w:pPr>
      <w:r>
        <w:t>Test: sample threshold breaches and trace response.</w:t>
      </w:r>
    </w:p>
    <w:p>
      <w:pPr>
        <w:pStyle w:val="Heading3"/>
      </w:pPr>
      <w:r>
        <w:t>EUA-INC-01 Serious incidents and regulatory escalation</w:t>
      </w:r>
    </w:p>
    <w:p>
      <w:pPr>
        <w:pStyle w:val="ListBullet"/>
      </w:pPr>
      <w:r>
        <w:t>Objective: detect, assess, preserve evidence, escalate and notify as legally required.</w:t>
      </w:r>
    </w:p>
    <w:p>
      <w:pPr>
        <w:pStyle w:val="ListBullet"/>
      </w:pPr>
      <w:r>
        <w:t>Evidence: incident taxonomy, response records, legal assessment, notifications, remediation, revalidation.</w:t>
      </w:r>
    </w:p>
    <w:p>
      <w:pPr>
        <w:pStyle w:val="ListBullet"/>
      </w:pPr>
      <w:r>
        <w:t>Test: tabletop and sample incidents for timeliness and evidence completeness.</w:t>
      </w:r>
    </w:p>
    <w:p>
      <w:pPr>
        <w:pStyle w:val="Heading3"/>
      </w:pPr>
      <w:r>
        <w:t>EUA-TPR-01 Third-party/value-chain governance</w:t>
      </w:r>
    </w:p>
    <w:p>
      <w:pPr>
        <w:pStyle w:val="ListBullet"/>
      </w:pPr>
      <w:r>
        <w:t>Objective: preserve role-appropriate accountability across providers, deployers, importers, distributors and subcontracted services.</w:t>
      </w:r>
    </w:p>
    <w:p>
      <w:pPr>
        <w:pStyle w:val="ListBullet"/>
      </w:pPr>
      <w:r>
        <w:t>Evidence: due diligence, contracts, role mapping, change/incident notification clauses, assurance evidence, exit plan.</w:t>
      </w:r>
    </w:p>
    <w:p>
      <w:pPr>
        <w:pStyle w:val="ListBullet"/>
      </w:pPr>
      <w:r>
        <w:t>Test: sample critical vendors and verify evidence access and responsibility allocation.</w:t>
      </w:r>
    </w:p>
    <w:p>
      <w:pPr>
        <w:pStyle w:val="Heading2"/>
      </w:pPr>
      <w:r>
        <w:t>Release boundary</w:t>
      </w:r>
    </w:p>
    <w:p>
      <w:pPr>
        <w:spacing w:after="120"/>
      </w:pPr>
      <w:r>
        <w:t>This workbook operationalizes legal obligations for training and control design. Final publication must use current primary-law/Commission sources and must distinguish binding legal requirements from explanatory guidance and voluntary framework alignment.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