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47 — Capacitación y Operacionalización de la Ley de IA de la UE</w:t>
      </w:r>
    </w:p>
    <w:p>
      <w:pPr>
        <w:spacing w:after="120"/>
      </w:pPr>
      <w:r>
        <w:t>**Estado:** DESARROLLO CONTROLADO</w:t>
      </w:r>
    </w:p>
    <w:p>
      <w:pPr>
        <w:spacing w:after="120"/>
      </w:pPr>
      <w:r>
        <w:t>**Idioma:** Español latinoamericano (`es-419`)</w:t>
      </w:r>
    </w:p>
    <w:p>
      <w:pPr>
        <w:spacing w:after="120"/>
      </w:pPr>
      <w:r>
        <w:t>**Función en la serie:** Primer entrenamiento especializado después del Manual 46.</w:t>
      </w:r>
    </w:p>
    <w:p>
      <w:pPr>
        <w:pStyle w:val="Heading2"/>
      </w:pPr>
      <w:r>
        <w:t>Objetivo</w:t>
      </w:r>
    </w:p>
    <w:p>
      <w:pPr>
        <w:spacing w:after="120"/>
      </w:pPr>
      <w:r>
        <w:t>Enseñar a profesionales a convertir la Ley de IA de la Unión Europea en un proceso empresarial gobernable: determinar alcance, identificar funciones en la cadena de valor, clasificar sistemas, determinar obligaciones, diseñar controles y evidencia, aprobar el uso y monitorear cambios, incidentes y cumplimiento durante todo el ciclo de vida.</w:t>
      </w:r>
    </w:p>
    <w:p>
      <w:pPr>
        <w:spacing w:after="120"/>
      </w:pPr>
      <w:r>
        <w:t>El Manual 01 del repositorio continúa siendo la referencia detallada de cumplimiento de la Ley de IA de la UE. Este Manual 47 es la capa de capacitación y operacionalización.</w:t>
      </w:r>
    </w:p>
    <w:p>
      <w:pPr>
        <w:pStyle w:val="Heading2"/>
      </w:pPr>
      <w:r>
        <w:t>Cronología controlada</w:t>
      </w:r>
    </w:p>
    <w:p>
      <w:pPr>
        <w:spacing w:after="120"/>
      </w:pPr>
      <w:r>
        <w:t>La Ley de IA entró en vigor el 1 de agosto de 2024 y se aplica mediante fases. La cronología utilizada para publicación debe verificarse nuevamente contra EUR-Lex y materiales oficiales de la Comisión inmediatamente antes de liberar el manual. La capacitación distingue fechas vigentes, transiciones y cambios posteriores; no debe reutilizar cronologías antiguas sin verificación.</w:t>
      </w:r>
    </w:p>
    <w:p>
      <w:pPr>
        <w:pStyle w:val="Heading2"/>
      </w:pPr>
      <w:r>
        <w:t>Módulo 1 — Arquitectura regulatoria y aplicabilidad</w:t>
      </w:r>
    </w:p>
    <w:p>
      <w:pPr>
        <w:spacing w:after="120"/>
      </w:pPr>
      <w:r>
        <w:t>Determinar alcance material y territorial, propósito previsto, usuarios, personas afectadas, geografía y función de la organización. Distinguir proveedor, responsable del despliegue, importador, distribuidor, fabricante de producto y otras funciones aplicables. Registrar situaciones de funciones múltiples y modificaciones materiales que puedan alterar la asignación de responsabilidades.</w:t>
      </w:r>
    </w:p>
    <w:p>
      <w:pPr>
        <w:spacing w:after="120"/>
      </w:pPr>
      <w:r>
        <w:t>**Evidencia:** análisis fechado de aplicabilidad y funciones vinculado al inventario y a la versión exacta del sistema.</w:t>
      </w:r>
    </w:p>
    <w:p>
      <w:pPr>
        <w:pStyle w:val="Heading2"/>
      </w:pPr>
      <w:r>
        <w:t>Módulo 2 — Prácticas prohibidas</w:t>
      </w:r>
    </w:p>
    <w:p>
      <w:pPr>
        <w:spacing w:after="120"/>
      </w:pPr>
      <w:r>
        <w:t>Aplicar una revisión de prácticas prohibidas antes de compras, desarrollo o aprobación. Analizar propósito, funcionamiento real, uso razonablemente previsible, personas afectadas y contexto. Escalar ambigüedad jurídica en vez de convertirla en aprobación implícita. Repetir el análisis cuando cambien propósito, datos, población, funcionalidad o contexto.</w:t>
      </w:r>
    </w:p>
    <w:p>
      <w:pPr>
        <w:spacing w:after="120"/>
      </w:pPr>
      <w:r>
        <w:t>**Evidencia:** pantalla de prohibiciones, decisión, fundamento y escalamiento cuando corresponda.</w:t>
      </w:r>
    </w:p>
    <w:p>
      <w:pPr>
        <w:pStyle w:val="Heading2"/>
      </w:pPr>
      <w:r>
        <w:t>Módulo 3 — Alfabetización en IA</w:t>
      </w:r>
    </w:p>
    <w:p>
      <w:pPr>
        <w:spacing w:after="120"/>
      </w:pPr>
      <w:r>
        <w:t>Diseñar alfabetización según funciones, no un curso genérico. Cubrir responsabilidades de negocio, ingeniería, compras, gobierno, legal/cumplimiento, seguridad, privacidad, supervisión y operaciones. Incluir limitaciones, uso indebido previsible, supervisión humana, escalamiento y políticas internas.</w:t>
      </w:r>
    </w:p>
    <w:p>
      <w:pPr>
        <w:spacing w:after="120"/>
      </w:pPr>
      <w:r>
        <w:t>**Evidencia:** matriz de competencias, versión del contenido y registros de finalización.</w:t>
      </w:r>
    </w:p>
    <w:p>
      <w:pPr>
        <w:pStyle w:val="Heading2"/>
      </w:pPr>
      <w:r>
        <w:t>Módulo 4 — Clasificación regulatoria</w:t>
      </w:r>
    </w:p>
    <w:p>
      <w:pPr>
        <w:spacing w:after="120"/>
      </w:pPr>
      <w:r>
        <w:t>Distinguir prácticas prohibidas, sistemas de alto riesgo, obligaciones de transparencia, obligaciones relacionadas con modelos de IA de propósito general y usos de menor riesgo. Separar la clasificación jurídica del nivel interno de riesgo de la empresa. Documentar propósito previsto, ruta de clasificación y disparadores de reclasificación.</w:t>
      </w:r>
    </w:p>
    <w:p>
      <w:pPr>
        <w:pStyle w:val="Heading2"/>
      </w:pPr>
      <w:r>
        <w:t>Módulo 5 — Gestión de riesgos para IA de alto riesgo</w:t>
      </w:r>
    </w:p>
    <w:p>
      <w:pPr>
        <w:spacing w:after="120"/>
      </w:pPr>
      <w:r>
        <w:t>Integrar la gestión de riesgos en el ciclo de vida. Identificar riesgos conocidos y razonablemente previsibles, incluido uso indebido previsible. Relacionar riesgos con controles, pruebas, supervisión humana, instrucciones, monitoreo y respuesta a incidentes. Documentar riesgo residual y reevaluación iterativa.</w:t>
      </w:r>
    </w:p>
    <w:p>
      <w:pPr>
        <w:pStyle w:val="Heading2"/>
      </w:pPr>
      <w:r>
        <w:t>Módulo 6 — Datos y gobierno de datos</w:t>
      </w:r>
    </w:p>
    <w:p>
      <w:pPr>
        <w:spacing w:after="120"/>
      </w:pPr>
      <w:r>
        <w:t>Controlar procedencia, preparación, relevancia, calidad, limitaciones, linaje, integridad y acceso de datos. Evaluar representatividad y sesgo cuando sean pertinentes al contexto. Integrar obligaciones de la Ley de IA con privacidad y requisitos sectoriales sin confundir sus bases jurídicas.</w:t>
      </w:r>
    </w:p>
    <w:p>
      <w:pPr>
        <w:pStyle w:val="Heading2"/>
      </w:pPr>
      <w:r>
        <w:t>Módulo 7 — Documentación técnica y trazabilidad</w:t>
      </w:r>
    </w:p>
    <w:p>
      <w:pPr>
        <w:spacing w:after="120"/>
      </w:pPr>
      <w:r>
        <w:t>Mantener descripción del sistema, arquitectura, componentes, dependencias, modelos/proveedores/versiones, datos, validación, supervisión y monitoreo. La documentación debe corresponder al estado de producción y conservar historial de cambios.</w:t>
      </w:r>
    </w:p>
    <w:p>
      <w:pPr>
        <w:pStyle w:val="Heading2"/>
      </w:pPr>
      <w:r>
        <w:t>Módulo 8 — Registros y logging</w:t>
      </w:r>
    </w:p>
    <w:p>
      <w:pPr>
        <w:spacing w:after="120"/>
      </w:pPr>
      <w:r>
        <w:t>Definir eventos que deben registrarse, retención, integridad, acceso y sincronización. Asegurar que proveedores externos entreguen registros suficientes para las obligaciones de la organización. Probar que un evento material pueda reconstruirse.</w:t>
      </w:r>
    </w:p>
    <w:p>
      <w:pPr>
        <w:pStyle w:val="Heading2"/>
      </w:pPr>
      <w:r>
        <w:t>Módulo 9 — Transparencia e instrucciones de uso</w:t>
      </w:r>
    </w:p>
    <w:p>
      <w:pPr>
        <w:spacing w:after="120"/>
      </w:pPr>
      <w:r>
        <w:t>Distinguir instrucciones del proveedor de obligaciones de transparencia hacia usuarios o personas afectadas. Evaluar específicamente la aplicabilidad del Artículo 50. Probar las revelaciones en producción y conservar evidencia de etiquetado o marcado cuando sea aplicable.</w:t>
      </w:r>
    </w:p>
    <w:p>
      <w:pPr>
        <w:pStyle w:val="Heading2"/>
      </w:pPr>
      <w:r>
        <w:t>Módulo 10 — Supervisión humana significativa</w:t>
      </w:r>
    </w:p>
    <w:p>
      <w:pPr>
        <w:spacing w:after="120"/>
      </w:pPr>
      <w:r>
        <w:t>Definir quién tiene competencia y autoridad para intervenir, qué información recibe, cómo puede anular, detener o escalar, y cómo se evita la dependencia automática de resultados de IA. Registrar intervenciones significativas.</w:t>
      </w:r>
    </w:p>
    <w:p>
      <w:pPr>
        <w:pStyle w:val="Heading2"/>
      </w:pPr>
      <w:r>
        <w:t>Módulo 11 — Exactitud, robustez y ciberseguridad</w:t>
      </w:r>
    </w:p>
    <w:p>
      <w:pPr>
        <w:spacing w:after="120"/>
      </w:pPr>
      <w:r>
        <w:t>Definir criterios de aceptación medibles, evaluar robustez y uso indebido previsible, aplicar threat modeling al sistema completo y gestionar vulnerabilidades y hallazgos. Revalidar después de cambios materiales de modelo, proveedor, seguridad o entorno.</w:t>
      </w:r>
    </w:p>
    <w:p>
      <w:pPr>
        <w:pStyle w:val="Heading2"/>
      </w:pPr>
      <w:r>
        <w:t>Módulo 12 — Calidad y evaluación de conformidad</w:t>
      </w:r>
    </w:p>
    <w:p>
      <w:pPr>
        <w:spacing w:after="120"/>
      </w:pPr>
      <w:r>
        <w:t>Cuando corresponda a la función y clasificación, mapear políticas, responsabilidades, desarrollo, pruebas, documentación, proveedores, acciones correctivas y registros a controles de calidad. Determinar la ruta de evaluación de conformidad aplicable sin presentar controles internos como evidencia formal si el proceso requerido no se realizó.</w:t>
      </w:r>
    </w:p>
    <w:p>
      <w:pPr>
        <w:pStyle w:val="Heading2"/>
      </w:pPr>
      <w:r>
        <w:t>Módulo 13 — Proveedor frente a responsable del despliegue</w:t>
      </w:r>
    </w:p>
    <w:p>
      <w:pPr>
        <w:spacing w:after="120"/>
      </w:pPr>
      <w:r>
        <w:t>Mantener matrices separadas de obligaciones. Diferenciar responsabilidades derivadas del control del diseño frente a las del uso operacional. Asegurar que contratos de compra proporcionen documentación, registros, instrucciones, notificación de cambios e incidentes y cooperación suficiente.</w:t>
      </w:r>
    </w:p>
    <w:p>
      <w:pPr>
        <w:pStyle w:val="Heading2"/>
      </w:pPr>
      <w:r>
        <w:t>Módulo 14 — IA de propósito general</w:t>
      </w:r>
    </w:p>
    <w:p>
      <w:pPr>
        <w:spacing w:after="120"/>
      </w:pPr>
      <w:r>
        <w:t>Identificar si la organización es proveedor de GPAI, proveedor/desarrollador posterior o usuario de un sistema que incorpora GPAI. Gestionar dependencias de documentación, transparencia, consideraciones de derechos de autor y obligaciones adicionales cuando apliquen riesgos sistémicos. El uso de un modelo externo no elimina la gobernanza del sistema completo.</w:t>
      </w:r>
    </w:p>
    <w:p>
      <w:pPr>
        <w:pStyle w:val="Heading2"/>
      </w:pPr>
      <w:r>
        <w:t>Módulo 15 — Evaluación de impacto sobre derechos fundamentales</w:t>
      </w:r>
    </w:p>
    <w:p>
      <w:pPr>
        <w:spacing w:after="120"/>
      </w:pPr>
      <w:r>
        <w:t>Determinar si la obligación de FRIA aplica. Identificar personas o grupos afectados, impactos, salvaguardas, supervisión, mecanismos de reclamación/impugnación y riesgo residual. Coordinar con DPIA y evaluaciones empresariales sin tratarlas como equivalentes.</w:t>
      </w:r>
    </w:p>
    <w:p>
      <w:pPr>
        <w:pStyle w:val="Heading2"/>
      </w:pPr>
      <w:r>
        <w:t>Módulo 16 — Monitoreo posterior a la comercialización/despliegue</w:t>
      </w:r>
    </w:p>
    <w:p>
      <w:pPr>
        <w:spacing w:after="120"/>
      </w:pPr>
      <w:r>
        <w:t>Definir indicadores de desempeño y riesgo, umbrales, escalamiento y acciones correctivas. Monitorear deriva, uso indebido, incidentes, cambios de proveedor/modelo y contexto. Vincular alertas con revalidación y decisiones de continuidad.</w:t>
      </w:r>
    </w:p>
    <w:p>
      <w:pPr>
        <w:pStyle w:val="Heading2"/>
      </w:pPr>
      <w:r>
        <w:t>Módulo 17 — Incidentes graves y escalamiento regulatorio</w:t>
      </w:r>
    </w:p>
    <w:p>
      <w:pPr>
        <w:spacing w:after="120"/>
      </w:pPr>
      <w:r>
        <w:t>Definir criterios de ingreso, severidad, preservación de evidencia, función responsable, evaluación jurídica y notificación cuando corresponda. Coordinar proveedor, responsable del despliegue y terceros; documentar remediación y retorno seguro al servicio.</w:t>
      </w:r>
    </w:p>
    <w:p>
      <w:pPr>
        <w:pStyle w:val="Heading2"/>
      </w:pPr>
      <w:r>
        <w:t>Módulo 18 — Terceros y cadena de suministro</w:t>
      </w:r>
    </w:p>
    <w:p>
      <w:pPr>
        <w:spacing w:after="120"/>
      </w:pPr>
      <w:r>
        <w:t>Realizar diligencia debida según función y riesgo. Exigir documentación, instrucciones, compromisos de seguridad/privacidad, notificación de cambios e incidentes, acceso a evidencia y apoyo de salida. Monitorear dependencias de subcontratistas y modelos.</w:t>
      </w:r>
    </w:p>
    <w:p>
      <w:pPr>
        <w:pStyle w:val="Heading2"/>
      </w:pPr>
      <w:r>
        <w:t>Módulo 19 — Evidencia y aseguramiento</w:t>
      </w:r>
    </w:p>
    <w:p>
      <w:pPr>
        <w:spacing w:after="120"/>
      </w:pPr>
      <w:r>
        <w:t>Usar la cadena:</w:t>
      </w:r>
    </w:p>
    <w:p>
      <w:pPr>
        <w:spacing w:after="120"/>
      </w:pPr>
      <w:r>
        <w:t>**Requisito legal → interpretación organizacional → objetivo de control → actividad → responsable → disparador/frecuencia → evidencia → método de prueba → excepción → remediación → decisión de riesgo residual**</w:t>
      </w:r>
    </w:p>
    <w:p>
      <w:pPr>
        <w:spacing w:after="120"/>
      </w:pPr>
      <w:r>
        <w:t>Mantener suficiente trazabilidad para desafío de gestión, auditoría interna y respuesta regulatoria.</w:t>
      </w:r>
    </w:p>
    <w:p>
      <w:pPr>
        <w:pStyle w:val="Heading2"/>
      </w:pPr>
      <w:r>
        <w:t>Módulo 20 — Hoja de ruta de implementación</w:t>
      </w:r>
    </w:p>
    <w:p>
      <w:pPr>
        <w:pStyle w:val="ListNumber"/>
      </w:pPr>
      <w:r>
        <w:t>inventario y aplicabilidad;</w:t>
      </w:r>
    </w:p>
    <w:p>
      <w:pPr>
        <w:pStyle w:val="ListNumber"/>
      </w:pPr>
      <w:r>
        <w:t>mapeo de funciones y clasificación;</w:t>
      </w:r>
    </w:p>
    <w:p>
      <w:pPr>
        <w:pStyle w:val="ListNumber"/>
      </w:pPr>
      <w:r>
        <w:t>controles de prácticas prohibidas y alfabetización;</w:t>
      </w:r>
    </w:p>
    <w:p>
      <w:pPr>
        <w:pStyle w:val="ListNumber"/>
      </w:pPr>
      <w:r>
        <w:t>mapeo de obligaciones de alto riesgo, GPAI y transparencia;</w:t>
      </w:r>
    </w:p>
    <w:p>
      <w:pPr>
        <w:pStyle w:val="ListNumber"/>
      </w:pPr>
      <w:r>
        <w:t>integración de controles del ciclo de vida;</w:t>
      </w:r>
    </w:p>
    <w:p>
      <w:pPr>
        <w:pStyle w:val="ListNumber"/>
      </w:pPr>
      <w:r>
        <w:t>gobierno de terceros;</w:t>
      </w:r>
    </w:p>
    <w:p>
      <w:pPr>
        <w:pStyle w:val="ListNumber"/>
      </w:pPr>
      <w:r>
        <w:t>arquitectura de documentación y evidencia;</w:t>
      </w:r>
    </w:p>
    <w:p>
      <w:pPr>
        <w:pStyle w:val="ListNumber"/>
      </w:pPr>
      <w:r>
        <w:t>monitoreo, incidentes y cambios;</w:t>
      </w:r>
    </w:p>
    <w:p>
      <w:pPr>
        <w:pStyle w:val="ListNumber"/>
      </w:pPr>
      <w:r>
        <w:t>aseguramiento y pruebas de preparación;</w:t>
      </w:r>
    </w:p>
    <w:p>
      <w:pPr>
        <w:pStyle w:val="ListNumber"/>
      </w:pPr>
      <w:r>
        <w:t>gestión continua de cambios regulatorios.</w:t>
      </w:r>
    </w:p>
    <w:p>
      <w:pPr>
        <w:pStyle w:val="Heading2"/>
      </w:pPr>
      <w:r>
        <w:t>Escenarios prácticos</w:t>
      </w:r>
    </w:p>
    <w:p>
      <w:pPr>
        <w:pStyle w:val="ListBullet"/>
      </w:pPr>
      <w:r>
        <w:t>selección de personal mediante IA;</w:t>
      </w:r>
    </w:p>
    <w:p>
      <w:pPr>
        <w:pStyle w:val="ListBullet"/>
      </w:pPr>
      <w:r>
        <w:t>chatbot de atención al cliente;</w:t>
      </w:r>
    </w:p>
    <w:p>
      <w:pPr>
        <w:pStyle w:val="ListBullet"/>
      </w:pPr>
      <w:r>
        <w:t>adquisición de IA de alto riesgo de un tercero;</w:t>
      </w:r>
    </w:p>
    <w:p>
      <w:pPr>
        <w:pStyle w:val="ListBullet"/>
      </w:pPr>
      <w:r>
        <w:t>aplicación interna basada en GPAI;</w:t>
      </w:r>
    </w:p>
    <w:p>
      <w:pPr>
        <w:pStyle w:val="ListBullet"/>
      </w:pPr>
      <w:r>
        <w:t>contenido sintético/deepfake sujeto a transparencia;</w:t>
      </w:r>
    </w:p>
    <w:p>
      <w:pPr>
        <w:pStyle w:val="ListBullet"/>
      </w:pPr>
      <w:r>
        <w:t>cambio material de proveedor o modelo;</w:t>
      </w:r>
    </w:p>
    <w:p>
      <w:pPr>
        <w:pStyle w:val="ListBullet"/>
      </w:pPr>
      <w:r>
        <w:t>incidente de IA después del despliegue;</w:t>
      </w:r>
    </w:p>
    <w:p>
      <w:pPr>
        <w:pStyle w:val="ListBullet"/>
      </w:pPr>
      <w:r>
        <w:t>agente de IA con acceso a herramientas que pueden producir consecuencias.</w:t>
      </w:r>
    </w:p>
    <w:p>
      <w:pPr>
        <w:spacing w:after="120"/>
      </w:pPr>
      <w:r>
        <w:t>Para cada escenario documentar: alcance, funciones, pantalla de prohibiciones, clasificación, obligaciones, controles, evidencia, autoridad de aprobación, monitoreo/cambio/incidente y decisión de riesgo residual.</w:t>
      </w:r>
    </w:p>
    <w:p>
      <w:pPr>
        <w:pStyle w:val="Heading2"/>
      </w:pPr>
      <w:r>
        <w:t>Dominios mínimos de control</w:t>
      </w:r>
    </w:p>
    <w:p>
      <w:pPr>
        <w:pStyle w:val="ListBullet"/>
      </w:pPr>
      <w:r>
        <w:t>alcance y función;</w:t>
      </w:r>
    </w:p>
    <w:p>
      <w:pPr>
        <w:pStyle w:val="ListBullet"/>
      </w:pPr>
      <w:r>
        <w:t>prácticas prohibidas;</w:t>
      </w:r>
    </w:p>
    <w:p>
      <w:pPr>
        <w:pStyle w:val="ListBullet"/>
      </w:pPr>
      <w:r>
        <w:t>alfabetización en IA;</w:t>
      </w:r>
    </w:p>
    <w:p>
      <w:pPr>
        <w:pStyle w:val="ListBullet"/>
      </w:pPr>
      <w:r>
        <w:t>clasificación de alto riesgo;</w:t>
      </w:r>
    </w:p>
    <w:p>
      <w:pPr>
        <w:pStyle w:val="ListBullet"/>
      </w:pPr>
      <w:r>
        <w:t>gestión de riesgos;</w:t>
      </w:r>
    </w:p>
    <w:p>
      <w:pPr>
        <w:pStyle w:val="ListBullet"/>
      </w:pPr>
      <w:r>
        <w:t>gobierno de datos;</w:t>
      </w:r>
    </w:p>
    <w:p>
      <w:pPr>
        <w:pStyle w:val="ListBullet"/>
      </w:pPr>
      <w:r>
        <w:t>documentación técnica;</w:t>
      </w:r>
    </w:p>
    <w:p>
      <w:pPr>
        <w:pStyle w:val="ListBullet"/>
      </w:pPr>
      <w:r>
        <w:t>logging y trazabilidad;</w:t>
      </w:r>
    </w:p>
    <w:p>
      <w:pPr>
        <w:pStyle w:val="ListBullet"/>
      </w:pPr>
      <w:r>
        <w:t>transparencia e instrucciones;</w:t>
      </w:r>
    </w:p>
    <w:p>
      <w:pPr>
        <w:pStyle w:val="ListBullet"/>
      </w:pPr>
      <w:r>
        <w:t>supervisión humana;</w:t>
      </w:r>
    </w:p>
    <w:p>
      <w:pPr>
        <w:pStyle w:val="ListBullet"/>
      </w:pPr>
      <w:r>
        <w:t>exactitud, robustez y ciberseguridad;</w:t>
      </w:r>
    </w:p>
    <w:p>
      <w:pPr>
        <w:pStyle w:val="ListBullet"/>
      </w:pPr>
      <w:r>
        <w:t>GPAI;</w:t>
      </w:r>
    </w:p>
    <w:p>
      <w:pPr>
        <w:pStyle w:val="ListBullet"/>
      </w:pPr>
      <w:r>
        <w:t>FRIA;</w:t>
      </w:r>
    </w:p>
    <w:p>
      <w:pPr>
        <w:pStyle w:val="ListBullet"/>
      </w:pPr>
      <w:r>
        <w:t>monitoreo posterior;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terceros/cadena de valor.</w:t>
      </w:r>
    </w:p>
    <w:p>
      <w:pPr>
        <w:pStyle w:val="Heading2"/>
      </w:pPr>
      <w:r>
        <w:t>Criterio de finalización</w:t>
      </w:r>
    </w:p>
    <w:p>
      <w:pPr>
        <w:spacing w:after="120"/>
      </w:pPr>
      <w:r>
        <w:t>La persona que complete el Manual 47 debe poder llevar un caso de uso desde el inventario hasta la determinación de alcance y función, pantalla de prohibiciones, clasificación, mapeo de obligaciones, diseño de controles/evidencia, aprobación, monitoreo, incidentes, cambios y revalidación, manteniendo claramente separadas las obligaciones jurídicas de la alineación con marcos voluntarios.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