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47 — Treinamento e Operacionalização do Regulamento de IA da UE</w:t>
      </w:r>
    </w:p>
    <w:p>
      <w:pPr>
        <w:spacing w:after="120"/>
      </w:pPr>
      <w:r>
        <w:t>**Status:** DESENVOLVIMENTO CONTROLADO</w:t>
      </w:r>
    </w:p>
    <w:p>
      <w:pPr>
        <w:spacing w:after="120"/>
      </w:pPr>
      <w:r>
        <w:t>**Idioma:** Português do Brasil (`pt-BR`)</w:t>
      </w:r>
    </w:p>
    <w:p>
      <w:pPr>
        <w:spacing w:after="120"/>
      </w:pPr>
      <w:r>
        <w:t>**Função na série:** Primeiro treinamento especializado após o Manual 46.</w:t>
      </w:r>
    </w:p>
    <w:p>
      <w:pPr>
        <w:pStyle w:val="Heading2"/>
      </w:pPr>
      <w:r>
        <w:t>Objetivo</w:t>
      </w:r>
    </w:p>
    <w:p>
      <w:pPr>
        <w:spacing w:after="120"/>
      </w:pPr>
      <w:r>
        <w:t>Ensinar profissionais a converter o Regulamento de IA da União Europeia em um processo corporativo governável: determinar escopo, identificar papéis na cadeia de valor, classificar sistemas, determinar obrigações, projetar controles e evidências, aprovar o uso e monitorar mudanças, incidentes e conformidade ao longo de todo o ciclo de vida.</w:t>
      </w:r>
    </w:p>
    <w:p>
      <w:pPr>
        <w:spacing w:after="120"/>
      </w:pPr>
      <w:r>
        <w:t>O Manual 01 do repositório permanece como referência detalhada de conformidade com o Regulamento de IA da UE. Este Manual 47 é a camada de treinamento e operacionalização.</w:t>
      </w:r>
    </w:p>
    <w:p>
      <w:pPr>
        <w:pStyle w:val="Heading2"/>
      </w:pPr>
      <w:r>
        <w:t>Cronologia controlada</w:t>
      </w:r>
    </w:p>
    <w:p>
      <w:pPr>
        <w:spacing w:after="120"/>
      </w:pPr>
      <w:r>
        <w:t>O Regulamento de IA entrou em vigor em 1º de agosto de 2024 e sua aplicação ocorre em fases. A cronologia utilizada na publicação deve ser novamente verificada em EUR-Lex e nos materiais oficiais da Comissão imediatamente antes da liberação. O treinamento distingue datas vigentes, transições e alterações posteriores e não reutiliza cronogramas antigos sem verificação.</w:t>
      </w:r>
    </w:p>
    <w:p>
      <w:pPr>
        <w:pStyle w:val="Heading2"/>
      </w:pPr>
      <w:r>
        <w:t>Módulo 1 — Arquitetura regulatória e aplicabilidade</w:t>
      </w:r>
    </w:p>
    <w:p>
      <w:pPr>
        <w:spacing w:after="120"/>
      </w:pPr>
      <w:r>
        <w:t>Determinar escopo material e territorial, finalidade pretendida, usuários, pessoas afetadas, geografia e papel da organização. Distinguir provedor, implantador, importador, distribuidor, fabricante de produto e outros papéis aplicáveis. Registrar situações de múltiplos papéis e modificações materiais que possam alterar responsabilidades.</w:t>
      </w:r>
    </w:p>
    <w:p>
      <w:pPr>
        <w:spacing w:after="120"/>
      </w:pPr>
      <w:r>
        <w:t>**Evidência:** análise datada de aplicabilidade e papéis vinculada ao inventário e à versão exata do sistema.</w:t>
      </w:r>
    </w:p>
    <w:p>
      <w:pPr>
        <w:pStyle w:val="Heading2"/>
      </w:pPr>
      <w:r>
        <w:t>Módulo 2 — Práticas proibidas</w:t>
      </w:r>
    </w:p>
    <w:p>
      <w:pPr>
        <w:spacing w:after="120"/>
      </w:pPr>
      <w:r>
        <w:t>Aplicar uma triagem de práticas proibidas antes de compras, desenvolvimento ou aprovação. Analisar finalidade, operação real, uso razoavelmente previsível, pessoas afetadas e contexto. Escalonar ambiguidade jurídica em vez de transformá-la em aprovação implícita. Repetir a análise após mudanças de finalidade, dados, população, funcionalidade ou contexto.</w:t>
      </w:r>
    </w:p>
    <w:p>
      <w:pPr>
        <w:pStyle w:val="Heading2"/>
      </w:pPr>
      <w:r>
        <w:t>Módulo 3 — Alfabetização em IA</w:t>
      </w:r>
    </w:p>
    <w:p>
      <w:pPr>
        <w:spacing w:after="120"/>
      </w:pPr>
      <w:r>
        <w:t>Projetar alfabetização baseada em funções, não um curso genérico. Cobrir responsabilidades de negócio, engenharia, compras, governança, jurídico/conformidade, segurança, privacidade, supervisão e operações. Incluir limitações, uso indevido previsível, supervisão humana, escalonamento e políticas internas.</w:t>
      </w:r>
    </w:p>
    <w:p>
      <w:pPr>
        <w:pStyle w:val="Heading2"/>
      </w:pPr>
      <w:r>
        <w:t>Módulo 4 — Classificação regulatória</w:t>
      </w:r>
    </w:p>
    <w:p>
      <w:pPr>
        <w:spacing w:after="120"/>
      </w:pPr>
      <w:r>
        <w:t>Distinguir práticas proibidas, sistemas de alto risco, obrigações de transparência, obrigações relacionadas a modelos de IA de propósito geral e usos de menor risco. Separar a classificação jurídica do nível interno de risco empresarial. Documentar finalidade pretendida, rota de classificação e gatilhos de reclassificação.</w:t>
      </w:r>
    </w:p>
    <w:p>
      <w:pPr>
        <w:pStyle w:val="Heading2"/>
      </w:pPr>
      <w:r>
        <w:t>Módulo 5 — Gestão de riscos para IA de alto risco</w:t>
      </w:r>
    </w:p>
    <w:p>
      <w:pPr>
        <w:spacing w:after="120"/>
      </w:pPr>
      <w:r>
        <w:t>Integrar a gestão de riscos ao ciclo de vida. Identificar riscos conhecidos e razoavelmente previsíveis, inclusive uso indevido previsível. Relacionar riscos a controles, testes, supervisão humana, instruções, monitoramento e resposta a incidentes. Documentar risco residual e reavaliação iterativa.</w:t>
      </w:r>
    </w:p>
    <w:p>
      <w:pPr>
        <w:pStyle w:val="Heading2"/>
      </w:pPr>
      <w:r>
        <w:t>Módulo 6 — Dados e governança de dados</w:t>
      </w:r>
    </w:p>
    <w:p>
      <w:pPr>
        <w:spacing w:after="120"/>
      </w:pPr>
      <w:r>
        <w:t>Controlar proveniência, preparação, relevância, qualidade, limitações, linhagem, integridade e acesso aos dados. Avaliar representatividade e viés quando relevantes ao contexto. Integrar obrigações do Regulamento de IA com privacidade e requisitos setoriais sem confundir suas bases jurídicas.</w:t>
      </w:r>
    </w:p>
    <w:p>
      <w:pPr>
        <w:pStyle w:val="Heading2"/>
      </w:pPr>
      <w:r>
        <w:t>Módulo 7 — Documentação técnica e rastreabilidade</w:t>
      </w:r>
    </w:p>
    <w:p>
      <w:pPr>
        <w:spacing w:after="120"/>
      </w:pPr>
      <w:r>
        <w:t>Manter descrição do sistema, arquitetura, componentes, dependências, modelos/fornecedores/versões, dados, validação, supervisão e monitoramento. A documentação deve corresponder ao estado de produção e preservar histórico de mudanças.</w:t>
      </w:r>
    </w:p>
    <w:p>
      <w:pPr>
        <w:pStyle w:val="Heading2"/>
      </w:pPr>
      <w:r>
        <w:t>Módulo 8 — Registros e logging</w:t>
      </w:r>
    </w:p>
    <w:p>
      <w:pPr>
        <w:spacing w:after="120"/>
      </w:pPr>
      <w:r>
        <w:t>Definir eventos a registrar, retenção, integridade, acesso e sincronização. Garantir que fornecedores externos disponibilizem registros suficientes para as obrigações da organização. Testar se um evento material pode ser reconstruído.</w:t>
      </w:r>
    </w:p>
    <w:p>
      <w:pPr>
        <w:pStyle w:val="Heading2"/>
      </w:pPr>
      <w:r>
        <w:t>Módulo 9 — Transparência e instruções de uso</w:t>
      </w:r>
    </w:p>
    <w:p>
      <w:pPr>
        <w:spacing w:after="120"/>
      </w:pPr>
      <w:r>
        <w:t>Distinguir instruções do provedor de obrigações de transparência dirigidas a usuários ou pessoas afetadas. Avaliar especificamente a aplicabilidade do Artigo 50. Testar divulgações em produção e preservar evidências de rotulagem ou marcação quando aplicável.</w:t>
      </w:r>
    </w:p>
    <w:p>
      <w:pPr>
        <w:pStyle w:val="Heading2"/>
      </w:pPr>
      <w:r>
        <w:t>Módulo 10 — Supervisão humana significativa</w:t>
      </w:r>
    </w:p>
    <w:p>
      <w:pPr>
        <w:spacing w:after="120"/>
      </w:pPr>
      <w:r>
        <w:t>Definir quem possui competência e autoridade para intervir, quais informações recebe, como pode substituir, interromper ou escalar, e como se reduz dependência automática dos resultados de IA. Registrar intervenções relevantes.</w:t>
      </w:r>
    </w:p>
    <w:p>
      <w:pPr>
        <w:pStyle w:val="Heading2"/>
      </w:pPr>
      <w:r>
        <w:t>Módulo 11 — Exatidão, robustez e cibersegurança</w:t>
      </w:r>
    </w:p>
    <w:p>
      <w:pPr>
        <w:spacing w:after="120"/>
      </w:pPr>
      <w:r>
        <w:t>Definir critérios de aceitação mensuráveis, avaliar robustez e uso indevido previsível, aplicar modelagem de ameaças ao sistema completo e gerenciar vulnerabilidades e achados. Revalidar após mudanças materiais de modelo, fornecedor, segurança ou ambiente.</w:t>
      </w:r>
    </w:p>
    <w:p>
      <w:pPr>
        <w:pStyle w:val="Heading2"/>
      </w:pPr>
      <w:r>
        <w:t>Módulo 12 — Qualidade e avaliação de conformidade</w:t>
      </w:r>
    </w:p>
    <w:p>
      <w:pPr>
        <w:spacing w:after="120"/>
      </w:pPr>
      <w:r>
        <w:t>Quando pertinente ao papel e à classificação, mapear políticas, responsabilidades, desenvolvimento, testes, documentação, fornecedores, ações corretivas e registros a controles de qualidade. Determinar a rota de avaliação de conformidade aplicável sem representar controles internos como evidência formal se o processo exigido não ocorreu.</w:t>
      </w:r>
    </w:p>
    <w:p>
      <w:pPr>
        <w:pStyle w:val="Heading2"/>
      </w:pPr>
      <w:r>
        <w:t>Módulo 13 — Provedor versus implantador</w:t>
      </w:r>
    </w:p>
    <w:p>
      <w:pPr>
        <w:spacing w:after="120"/>
      </w:pPr>
      <w:r>
        <w:t>Manter matrizes separadas de obrigações. Diferenciar responsabilidades decorrentes do controle do projeto das responsabilidades decorrentes do uso operacional. Garantir que contratos de aquisição forneçam documentação, registros, instruções, notificações de mudanças e incidentes e cooperação suficiente.</w:t>
      </w:r>
    </w:p>
    <w:p>
      <w:pPr>
        <w:pStyle w:val="Heading2"/>
      </w:pPr>
      <w:r>
        <w:t>Módulo 14 — IA de propósito geral</w:t>
      </w:r>
    </w:p>
    <w:p>
      <w:pPr>
        <w:spacing w:after="120"/>
      </w:pPr>
      <w:r>
        <w:t>Identificar se a organização é provedora de GPAI, provedora/desenvolvedora downstream ou usuária de um sistema que incorpora GPAI. Gerenciar dependências de documentação, transparência, considerações de direitos autorais e obrigações adicionais quando aplicáveis a risco sistêmico. O uso de modelo externo não elimina a governança do sistema completo.</w:t>
      </w:r>
    </w:p>
    <w:p>
      <w:pPr>
        <w:pStyle w:val="Heading2"/>
      </w:pPr>
      <w:r>
        <w:t>Módulo 15 — Avaliação de impacto sobre direitos fundamentais</w:t>
      </w:r>
    </w:p>
    <w:p>
      <w:pPr>
        <w:spacing w:after="120"/>
      </w:pPr>
      <w:r>
        <w:t>Determinar se a obrigação de FRIA se aplica. Identificar pessoas ou grupos afetados, impactos, salvaguardas, supervisão, mecanismos de reclamação/contestação e risco residual. Coordenar com DPIA e avaliações empresariais sem tratá-las como equivalentes.</w:t>
      </w:r>
    </w:p>
    <w:p>
      <w:pPr>
        <w:pStyle w:val="Heading2"/>
      </w:pPr>
      <w:r>
        <w:t>Módulo 16 — Monitoramento pós-mercado/pós-implantação</w:t>
      </w:r>
    </w:p>
    <w:p>
      <w:pPr>
        <w:spacing w:after="120"/>
      </w:pPr>
      <w:r>
        <w:t>Definir indicadores de desempenho e risco, limites, escalonamento e ações corretivas. Monitorar deriva, uso indevido, incidentes, mudanças de fornecedor/modelo e contexto. Vincular alertas a revalidação e decisões de continuidade.</w:t>
      </w:r>
    </w:p>
    <w:p>
      <w:pPr>
        <w:pStyle w:val="Heading2"/>
      </w:pPr>
      <w:r>
        <w:t>Módulo 17 — Incidentes graves e escalonamento regulatório</w:t>
      </w:r>
    </w:p>
    <w:p>
      <w:pPr>
        <w:spacing w:after="120"/>
      </w:pPr>
      <w:r>
        <w:t>Definir critérios de entrada, severidade, preservação de evidências, papel responsável, avaliação jurídica e notificação quando exigida. Coordenar provedor, implantador e terceiros; documentar remediação e retorno seguro ao serviço.</w:t>
      </w:r>
    </w:p>
    <w:p>
      <w:pPr>
        <w:pStyle w:val="Heading2"/>
      </w:pPr>
      <w:r>
        <w:t>Módulo 18 — Terceiros e cadeia de suprimentos</w:t>
      </w:r>
    </w:p>
    <w:p>
      <w:pPr>
        <w:spacing w:after="120"/>
      </w:pPr>
      <w:r>
        <w:t>Realizar due diligence proporcional ao papel e risco. Exigir documentação, instruções, compromissos de segurança/privacidade, notificação de mudanças e incidentes, acesso a evidências e suporte de saída. Monitorar dependências de subcontratados e modelos.</w:t>
      </w:r>
    </w:p>
    <w:p>
      <w:pPr>
        <w:pStyle w:val="Heading2"/>
      </w:pPr>
      <w:r>
        <w:t>Módulo 19 — Evidência e assurance</w:t>
      </w:r>
    </w:p>
    <w:p>
      <w:pPr>
        <w:spacing w:after="120"/>
      </w:pPr>
      <w:r>
        <w:t>Usar a cadeia:</w:t>
      </w:r>
    </w:p>
    <w:p>
      <w:pPr>
        <w:spacing w:after="120"/>
      </w:pPr>
      <w:r>
        <w:t>**Requisito legal → interpretação organizacional → objetivo de controle → atividade → responsável → gatilho/frequência → evidência → método de teste → exceção → remediação → decisão de risco residual**</w:t>
      </w:r>
    </w:p>
    <w:p>
      <w:pPr>
        <w:spacing w:after="120"/>
      </w:pPr>
      <w:r>
        <w:t>Manter rastreabilidade suficiente para desafio gerencial, auditoria interna e resposta regulatória.</w:t>
      </w:r>
    </w:p>
    <w:p>
      <w:pPr>
        <w:pStyle w:val="Heading2"/>
      </w:pPr>
      <w:r>
        <w:t>Módulo 20 — Roteiro de implementação</w:t>
      </w:r>
    </w:p>
    <w:p>
      <w:pPr>
        <w:pStyle w:val="ListNumber"/>
      </w:pPr>
      <w:r>
        <w:t>inventário e aplicabilidade;</w:t>
      </w:r>
    </w:p>
    <w:p>
      <w:pPr>
        <w:pStyle w:val="ListNumber"/>
      </w:pPr>
      <w:r>
        <w:t>mapeamento de papéis e classificação;</w:t>
      </w:r>
    </w:p>
    <w:p>
      <w:pPr>
        <w:pStyle w:val="ListNumber"/>
      </w:pPr>
      <w:r>
        <w:t>controles de práticas proibidas e alfabetização;</w:t>
      </w:r>
    </w:p>
    <w:p>
      <w:pPr>
        <w:pStyle w:val="ListNumber"/>
      </w:pPr>
      <w:r>
        <w:t>mapeamento de obrigações de alto risco, GPAI e transparência;</w:t>
      </w:r>
    </w:p>
    <w:p>
      <w:pPr>
        <w:pStyle w:val="ListNumber"/>
      </w:pPr>
      <w:r>
        <w:t>integração de controles do ciclo de vida;</w:t>
      </w:r>
    </w:p>
    <w:p>
      <w:pPr>
        <w:pStyle w:val="ListNumber"/>
      </w:pPr>
      <w:r>
        <w:t>governança de terceiros;</w:t>
      </w:r>
    </w:p>
    <w:p>
      <w:pPr>
        <w:pStyle w:val="ListNumber"/>
      </w:pPr>
      <w:r>
        <w:t>arquitetura de documentação e evidência;</w:t>
      </w:r>
    </w:p>
    <w:p>
      <w:pPr>
        <w:pStyle w:val="ListNumber"/>
      </w:pPr>
      <w:r>
        <w:t>monitoramento, incidentes e mudanças;</w:t>
      </w:r>
    </w:p>
    <w:p>
      <w:pPr>
        <w:pStyle w:val="ListNumber"/>
      </w:pPr>
      <w:r>
        <w:t>assurance e testes de prontidão;</w:t>
      </w:r>
    </w:p>
    <w:p>
      <w:pPr>
        <w:pStyle w:val="ListNumber"/>
      </w:pPr>
      <w:r>
        <w:t>gestão contínua de mudanças regulatórias.</w:t>
      </w:r>
    </w:p>
    <w:p>
      <w:pPr>
        <w:pStyle w:val="Heading2"/>
      </w:pPr>
      <w:r>
        <w:t>Cenários práticos</w:t>
      </w:r>
    </w:p>
    <w:p>
      <w:pPr>
        <w:pStyle w:val="ListBullet"/>
      </w:pPr>
      <w:r>
        <w:t>triagem de candidatos por IA;</w:t>
      </w:r>
    </w:p>
    <w:p>
      <w:pPr>
        <w:pStyle w:val="ListBullet"/>
      </w:pPr>
      <w:r>
        <w:t>chatbot de atendimento ao cliente;</w:t>
      </w:r>
    </w:p>
    <w:p>
      <w:pPr>
        <w:pStyle w:val="ListBullet"/>
      </w:pPr>
      <w:r>
        <w:t>aquisição de IA de alto risco de terceiro;</w:t>
      </w:r>
    </w:p>
    <w:p>
      <w:pPr>
        <w:pStyle w:val="ListBullet"/>
      </w:pPr>
      <w:r>
        <w:t>aplicação interna baseada em GPAI;</w:t>
      </w:r>
    </w:p>
    <w:p>
      <w:pPr>
        <w:pStyle w:val="ListBullet"/>
      </w:pPr>
      <w:r>
        <w:t>conteúdo sintético/deepfake sujeito a transparência;</w:t>
      </w:r>
    </w:p>
    <w:p>
      <w:pPr>
        <w:pStyle w:val="ListBullet"/>
      </w:pPr>
      <w:r>
        <w:t>mudança material de fornecedor ou modelo;</w:t>
      </w:r>
    </w:p>
    <w:p>
      <w:pPr>
        <w:pStyle w:val="ListBullet"/>
      </w:pPr>
      <w:r>
        <w:t>incidente de IA após implantação;</w:t>
      </w:r>
    </w:p>
    <w:p>
      <w:pPr>
        <w:pStyle w:val="ListBullet"/>
      </w:pPr>
      <w:r>
        <w:t>agente de IA com acesso a ferramentas capazes de gerar consequências.</w:t>
      </w:r>
    </w:p>
    <w:p>
      <w:pPr>
        <w:spacing w:after="120"/>
      </w:pPr>
      <w:r>
        <w:t>Para cada cenário documentar: escopo, papéis, triagem de proibições, classificação, obrigações, controles, evidência, autoridade de aprovação, monitoramento/mudança/incidente e decisão de risco residual.</w:t>
      </w:r>
    </w:p>
    <w:p>
      <w:pPr>
        <w:pStyle w:val="Heading2"/>
      </w:pPr>
      <w:r>
        <w:t>Domínios mínimos de controle</w:t>
      </w:r>
    </w:p>
    <w:p>
      <w:pPr>
        <w:pStyle w:val="ListBullet"/>
      </w:pPr>
      <w:r>
        <w:t>escopo e papel;</w:t>
      </w:r>
    </w:p>
    <w:p>
      <w:pPr>
        <w:pStyle w:val="ListBullet"/>
      </w:pPr>
      <w:r>
        <w:t>práticas proibidas;</w:t>
      </w:r>
    </w:p>
    <w:p>
      <w:pPr>
        <w:pStyle w:val="ListBullet"/>
      </w:pPr>
      <w:r>
        <w:t>alfabetização em IA;</w:t>
      </w:r>
    </w:p>
    <w:p>
      <w:pPr>
        <w:pStyle w:val="ListBullet"/>
      </w:pPr>
      <w:r>
        <w:t>classificação de alto risco;</w:t>
      </w:r>
    </w:p>
    <w:p>
      <w:pPr>
        <w:pStyle w:val="ListBullet"/>
      </w:pPr>
      <w:r>
        <w:t>gestão de riscos;</w:t>
      </w:r>
    </w:p>
    <w:p>
      <w:pPr>
        <w:pStyle w:val="ListBullet"/>
      </w:pPr>
      <w:r>
        <w:t>governança de dados;</w:t>
      </w:r>
    </w:p>
    <w:p>
      <w:pPr>
        <w:pStyle w:val="ListBullet"/>
      </w:pPr>
      <w:r>
        <w:t>documentação técnica;</w:t>
      </w:r>
    </w:p>
    <w:p>
      <w:pPr>
        <w:pStyle w:val="ListBullet"/>
      </w:pPr>
      <w:r>
        <w:t>logging e rastreabilidade;</w:t>
      </w:r>
    </w:p>
    <w:p>
      <w:pPr>
        <w:pStyle w:val="ListBullet"/>
      </w:pPr>
      <w:r>
        <w:t>transparência e instruções;</w:t>
      </w:r>
    </w:p>
    <w:p>
      <w:pPr>
        <w:pStyle w:val="ListBullet"/>
      </w:pPr>
      <w:r>
        <w:t>supervisão humana;</w:t>
      </w:r>
    </w:p>
    <w:p>
      <w:pPr>
        <w:pStyle w:val="ListBullet"/>
      </w:pPr>
      <w:r>
        <w:t>exatidão, robustez e cibersegurança;</w:t>
      </w:r>
    </w:p>
    <w:p>
      <w:pPr>
        <w:pStyle w:val="ListBullet"/>
      </w:pPr>
      <w:r>
        <w:t>GPAI;</w:t>
      </w:r>
    </w:p>
    <w:p>
      <w:pPr>
        <w:pStyle w:val="ListBullet"/>
      </w:pPr>
      <w:r>
        <w:t>FRIA;</w:t>
      </w:r>
    </w:p>
    <w:p>
      <w:pPr>
        <w:pStyle w:val="ListBullet"/>
      </w:pPr>
      <w:r>
        <w:t>monitoramento pós-mercado;</w:t>
      </w:r>
    </w:p>
    <w:p>
      <w:pPr>
        <w:pStyle w:val="ListBullet"/>
      </w:pPr>
      <w:r>
        <w:t>incidentes;</w:t>
      </w:r>
    </w:p>
    <w:p>
      <w:pPr>
        <w:pStyle w:val="ListBullet"/>
      </w:pPr>
      <w:r>
        <w:t>terceiros/cadeia de valor.</w:t>
      </w:r>
    </w:p>
    <w:p>
      <w:pPr>
        <w:pStyle w:val="Heading2"/>
      </w:pPr>
      <w:r>
        <w:t>Critério de conclusão</w:t>
      </w:r>
    </w:p>
    <w:p>
      <w:pPr>
        <w:spacing w:after="120"/>
      </w:pPr>
      <w:r>
        <w:t>A pessoa que concluir o Manual 47 deve conseguir levar um caso de uso desde o inventário até a determinação de escopo e papel, triagem de proibições, classificação, mapeamento de obrigações, projeto de controles/evidências, aprovação, monitoramento, incidentes, mudanças e revalidação, mantendo claramente separadas as obrigações jurídicas do alinhamento a estruturas voluntárias.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