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Evidence Collection and Audit Support Practical Manual</w:t>
      </w:r>
    </w:p>
    <w:p>
      <w:pPr>
        <w:pStyle w:val="Author"/>
      </w:pPr>
      <w:r>
        <w:t xml:space="preserve">Alberto Al Leiva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Xabc4380a6c5f1671177b112e15c924b351f7c9d"/>
    <w:p>
      <w:pPr>
        <w:pStyle w:val="Heading1"/>
      </w:pPr>
      <w:r>
        <w:t xml:space="preserve">Evidence Collection and Audit Support Practical Manual</w:t>
      </w:r>
    </w:p>
    <w:p>
      <w:pPr>
        <w:pStyle w:val="FirstParagraph"/>
      </w:pPr>
      <w:r>
        <w:rPr>
          <w:bCs/>
          <w:b/>
        </w:rPr>
        <w:t xml:space="preserve">Author:</w:t>
      </w:r>
      <w:r>
        <w:t xml:space="preserve"> </w:t>
      </w:r>
      <w:r>
        <w:t xml:space="preserve">Alberto</w:t>
      </w:r>
      <w:r>
        <w:t xml:space="preserve"> </w:t>
      </w:r>
      <w:r>
        <w:t xml:space="preserve">“</w:t>
      </w:r>
      <w:r>
        <w:t xml:space="preserve">Al</w:t>
      </w:r>
      <w:r>
        <w:t xml:space="preserve">”</w:t>
      </w:r>
      <w:r>
        <w:t xml:space="preserve"> </w:t>
      </w:r>
      <w:r>
        <w:t xml:space="preserve">Leiva</w:t>
      </w:r>
      <w:r>
        <w:br/>
      </w:r>
      <w:r>
        <w:rPr>
          <w:bCs/>
          <w:b/>
        </w:rPr>
        <w:t xml:space="preserve">Edition:</w:t>
      </w:r>
      <w:r>
        <w:t xml:space="preserve"> </w:t>
      </w:r>
      <w:r>
        <w:t xml:space="preserve">English v1.0</w:t>
      </w:r>
      <w:r>
        <w:br/>
      </w:r>
      <w:r>
        <w:rPr>
          <w:bCs/>
          <w:b/>
        </w:rPr>
        <w:t xml:space="preserve">Controlled build date:</w:t>
      </w:r>
      <w:r>
        <w:t xml:space="preserve"> </w:t>
      </w:r>
      <w:r>
        <w:t xml:space="preserve">2026-08-01</w:t>
      </w:r>
    </w:p>
    <w:p>
      <w:pPr>
        <w:pStyle w:val="BodyText"/>
      </w:pPr>
      <w:r>
        <w:t xml:space="preserve">ChatGPT assisted under the author’s direction. The author remains responsible for editorial and release decisions.</w:t>
      </w:r>
    </w:p>
    <w:p>
      <w:pPr>
        <w:pStyle w:val="BlockText"/>
      </w:pPr>
      <w:r>
        <w:rPr>
          <w:bCs/>
          <w:b/>
        </w:rPr>
        <w:t xml:space="preserve">Educational notice:</w:t>
      </w:r>
      <w:r>
        <w:t xml:space="preserve"> </w:t>
      </w:r>
      <w:r>
        <w:t xml:space="preserve">This manual provides general professional guidance. It does not constitute legal, regulatory, accounting, certification, or formal audit advice. Adapt it to applicable criteria, contracts, systems, data, risks, and retention obligations.</w:t>
      </w:r>
    </w:p>
    <w:p>
      <w:r>
        <w:pict>
          <v:rect style="width:0;height:1.5pt" o:hralign="center" o:hrstd="t" o:hr="t"/>
        </w:pict>
      </w:r>
    </w:p>
    <w:bookmarkEnd w:id="20"/>
    <w:bookmarkStart w:id="27" w:name="evidence-governance-and-principles"/>
    <w:p>
      <w:pPr>
        <w:pStyle w:val="Heading1"/>
      </w:pPr>
      <w:r>
        <w:t xml:space="preserve">1. Evidence Governance and Principles</w:t>
      </w:r>
    </w:p>
    <w:bookmarkStart w:id="21" w:name="purpose"/>
    <w:p>
      <w:pPr>
        <w:pStyle w:val="Heading2"/>
      </w:pPr>
      <w:r>
        <w:t xml:space="preserve">1.1 Purpose</w:t>
      </w:r>
    </w:p>
    <w:p>
      <w:pPr>
        <w:pStyle w:val="FirstParagraph"/>
      </w:pPr>
      <w:r>
        <w:t xml:space="preserve">Evidence supports decisions about whether a requirement, control, process, or commitment is designed appropriately, implemented, operating as intended, and producing the expected result. Evidence is not collected merely to fill a folder or satisfy a checklist. It must support a defined conclusion against identified criteria.</w:t>
      </w:r>
    </w:p>
    <w:bookmarkEnd w:id="21"/>
    <w:bookmarkStart w:id="22" w:name="evidence-governance"/>
    <w:p>
      <w:pPr>
        <w:pStyle w:val="Heading2"/>
      </w:pPr>
      <w:r>
        <w:t xml:space="preserve">1.2 Evidence governance</w:t>
      </w:r>
    </w:p>
    <w:p>
      <w:pPr>
        <w:pStyle w:val="FirstParagraph"/>
      </w:pPr>
      <w:r>
        <w:t xml:space="preserve">The organization should define:</w:t>
      </w:r>
    </w:p>
    <w:p>
      <w:pPr>
        <w:numPr>
          <w:ilvl w:val="0"/>
          <w:numId w:val="1001"/>
        </w:numPr>
        <w:pStyle w:val="Compact"/>
      </w:pPr>
      <w:r>
        <w:t xml:space="preserve">who may request evidence;</w:t>
      </w:r>
    </w:p>
    <w:p>
      <w:pPr>
        <w:numPr>
          <w:ilvl w:val="0"/>
          <w:numId w:val="1001"/>
        </w:numPr>
        <w:pStyle w:val="Compact"/>
      </w:pPr>
      <w:r>
        <w:t xml:space="preserve">who owns each evidence item;</w:t>
      </w:r>
    </w:p>
    <w:p>
      <w:pPr>
        <w:numPr>
          <w:ilvl w:val="0"/>
          <w:numId w:val="1001"/>
        </w:numPr>
        <w:pStyle w:val="Compact"/>
      </w:pPr>
      <w:r>
        <w:t xml:space="preserve">who may approve disclosure;</w:t>
      </w:r>
    </w:p>
    <w:p>
      <w:pPr>
        <w:numPr>
          <w:ilvl w:val="0"/>
          <w:numId w:val="1001"/>
        </w:numPr>
        <w:pStyle w:val="Compact"/>
      </w:pPr>
      <w:r>
        <w:t xml:space="preserve">where evidence may be stored;</w:t>
      </w:r>
    </w:p>
    <w:p>
      <w:pPr>
        <w:numPr>
          <w:ilvl w:val="0"/>
          <w:numId w:val="1001"/>
        </w:numPr>
        <w:pStyle w:val="Compact"/>
      </w:pPr>
      <w:r>
        <w:t xml:space="preserve">how sensitive material is classified and protected;</w:t>
      </w:r>
    </w:p>
    <w:p>
      <w:pPr>
        <w:numPr>
          <w:ilvl w:val="0"/>
          <w:numId w:val="1001"/>
        </w:numPr>
        <w:pStyle w:val="Compact"/>
      </w:pPr>
      <w:r>
        <w:t xml:space="preserve">how authenticity and integrity are preserved;</w:t>
      </w:r>
    </w:p>
    <w:p>
      <w:pPr>
        <w:numPr>
          <w:ilvl w:val="0"/>
          <w:numId w:val="1001"/>
        </w:numPr>
        <w:pStyle w:val="Compact"/>
      </w:pPr>
      <w:r>
        <w:t xml:space="preserve">how long evidence is retained;</w:t>
      </w:r>
    </w:p>
    <w:p>
      <w:pPr>
        <w:numPr>
          <w:ilvl w:val="0"/>
          <w:numId w:val="1001"/>
        </w:numPr>
        <w:pStyle w:val="Compact"/>
      </w:pPr>
      <w:r>
        <w:t xml:space="preserve">how exceptions and disputes are escalated; and</w:t>
      </w:r>
    </w:p>
    <w:p>
      <w:pPr>
        <w:numPr>
          <w:ilvl w:val="0"/>
          <w:numId w:val="1001"/>
        </w:numPr>
        <w:pStyle w:val="Compact"/>
      </w:pPr>
      <w:r>
        <w:t xml:space="preserve">who approves final audit responses.</w:t>
      </w:r>
    </w:p>
    <w:p>
      <w:pPr>
        <w:pStyle w:val="FirstParagraph"/>
      </w:pPr>
      <w:r>
        <w:t xml:space="preserve">The audit or assessment lead remains accountable for the evidence strategy. Control owners remain accountable for supplying accurate and complete records. Evidence custodians protect source systems and records. Legal, privacy, human-resources, security, and records-management specialists should be involved when evidence creates confidentiality, privilege, labor, cross-border, or retention concerns.</w:t>
      </w:r>
    </w:p>
    <w:bookmarkEnd w:id="22"/>
    <w:bookmarkStart w:id="23" w:name="core-evidence-qualities"/>
    <w:p>
      <w:pPr>
        <w:pStyle w:val="Heading2"/>
      </w:pPr>
      <w:r>
        <w:t xml:space="preserve">1.3 Core evidence qualities</w:t>
      </w:r>
    </w:p>
    <w:p>
      <w:pPr>
        <w:pStyle w:val="FirstParagraph"/>
      </w:pPr>
      <w:r>
        <w:t xml:space="preserve">Useful evidence is:</w:t>
      </w:r>
    </w:p>
    <w:p>
      <w:pPr>
        <w:numPr>
          <w:ilvl w:val="0"/>
          <w:numId w:val="1002"/>
        </w:numPr>
        <w:pStyle w:val="Compact"/>
      </w:pPr>
      <w:r>
        <w:rPr>
          <w:bCs/>
          <w:b/>
        </w:rPr>
        <w:t xml:space="preserve">relevant</w:t>
      </w:r>
      <w:r>
        <w:t xml:space="preserve"> </w:t>
      </w:r>
      <w:r>
        <w:t xml:space="preserve">— directly addresses the criterion and assessment objective;</w:t>
      </w:r>
    </w:p>
    <w:p>
      <w:pPr>
        <w:numPr>
          <w:ilvl w:val="0"/>
          <w:numId w:val="1002"/>
        </w:numPr>
        <w:pStyle w:val="Compact"/>
      </w:pPr>
      <w:r>
        <w:rPr>
          <w:bCs/>
          <w:b/>
        </w:rPr>
        <w:t xml:space="preserve">reliable</w:t>
      </w:r>
      <w:r>
        <w:t xml:space="preserve"> </w:t>
      </w:r>
      <w:r>
        <w:t xml:space="preserve">— originates from a trustworthy source and can be corroborated;</w:t>
      </w:r>
    </w:p>
    <w:p>
      <w:pPr>
        <w:numPr>
          <w:ilvl w:val="0"/>
          <w:numId w:val="1002"/>
        </w:numPr>
        <w:pStyle w:val="Compact"/>
      </w:pPr>
      <w:r>
        <w:rPr>
          <w:bCs/>
          <w:b/>
        </w:rPr>
        <w:t xml:space="preserve">sufficient</w:t>
      </w:r>
      <w:r>
        <w:t xml:space="preserve"> </w:t>
      </w:r>
      <w:r>
        <w:t xml:space="preserve">— enough evidence exists to support the conclusion and sampled period;</w:t>
      </w:r>
    </w:p>
    <w:p>
      <w:pPr>
        <w:numPr>
          <w:ilvl w:val="0"/>
          <w:numId w:val="1002"/>
        </w:numPr>
        <w:pStyle w:val="Compact"/>
      </w:pPr>
      <w:r>
        <w:rPr>
          <w:bCs/>
          <w:b/>
        </w:rPr>
        <w:t xml:space="preserve">appropriate</w:t>
      </w:r>
      <w:r>
        <w:t xml:space="preserve"> </w:t>
      </w:r>
      <w:r>
        <w:t xml:space="preserve">— the nature and quality of the evidence fit the risk and objective;</w:t>
      </w:r>
    </w:p>
    <w:p>
      <w:pPr>
        <w:numPr>
          <w:ilvl w:val="0"/>
          <w:numId w:val="1002"/>
        </w:numPr>
        <w:pStyle w:val="Compact"/>
      </w:pPr>
      <w:r>
        <w:rPr>
          <w:bCs/>
          <w:b/>
        </w:rPr>
        <w:t xml:space="preserve">authentic</w:t>
      </w:r>
      <w:r>
        <w:t xml:space="preserve"> </w:t>
      </w:r>
      <w:r>
        <w:t xml:space="preserve">— the evidence is what it claims to be;</w:t>
      </w:r>
    </w:p>
    <w:p>
      <w:pPr>
        <w:numPr>
          <w:ilvl w:val="0"/>
          <w:numId w:val="1002"/>
        </w:numPr>
        <w:pStyle w:val="Compact"/>
      </w:pPr>
      <w:r>
        <w:rPr>
          <w:bCs/>
          <w:b/>
        </w:rPr>
        <w:t xml:space="preserve">complete</w:t>
      </w:r>
      <w:r>
        <w:t xml:space="preserve"> </w:t>
      </w:r>
      <w:r>
        <w:t xml:space="preserve">— required context, scope, dates, populations, and limitations are present;</w:t>
      </w:r>
    </w:p>
    <w:p>
      <w:pPr>
        <w:numPr>
          <w:ilvl w:val="0"/>
          <w:numId w:val="1002"/>
        </w:numPr>
        <w:pStyle w:val="Compact"/>
      </w:pPr>
      <w:r>
        <w:rPr>
          <w:bCs/>
          <w:b/>
        </w:rPr>
        <w:t xml:space="preserve">current</w:t>
      </w:r>
      <w:r>
        <w:t xml:space="preserve"> </w:t>
      </w:r>
      <w:r>
        <w:t xml:space="preserve">— the evidence reflects the relevant period or point in time;</w:t>
      </w:r>
    </w:p>
    <w:p>
      <w:pPr>
        <w:numPr>
          <w:ilvl w:val="0"/>
          <w:numId w:val="1002"/>
        </w:numPr>
        <w:pStyle w:val="Compact"/>
      </w:pPr>
      <w:r>
        <w:rPr>
          <w:bCs/>
          <w:b/>
        </w:rPr>
        <w:t xml:space="preserve">traceable</w:t>
      </w:r>
      <w:r>
        <w:t xml:space="preserve"> </w:t>
      </w:r>
      <w:r>
        <w:t xml:space="preserve">— the reviewer can identify the request, source, owner, criterion, review, and conclusion;</w:t>
      </w:r>
    </w:p>
    <w:p>
      <w:pPr>
        <w:numPr>
          <w:ilvl w:val="0"/>
          <w:numId w:val="1002"/>
        </w:numPr>
        <w:pStyle w:val="Compact"/>
      </w:pPr>
      <w:r>
        <w:rPr>
          <w:bCs/>
          <w:b/>
        </w:rPr>
        <w:t xml:space="preserve">protected</w:t>
      </w:r>
      <w:r>
        <w:t xml:space="preserve"> </w:t>
      </w:r>
      <w:r>
        <w:t xml:space="preserve">— confidentiality, integrity, availability, privacy, and legal restrictions are maintained; and</w:t>
      </w:r>
    </w:p>
    <w:p>
      <w:pPr>
        <w:numPr>
          <w:ilvl w:val="0"/>
          <w:numId w:val="1002"/>
        </w:numPr>
        <w:pStyle w:val="Compact"/>
      </w:pPr>
      <w:r>
        <w:rPr>
          <w:bCs/>
          <w:b/>
        </w:rPr>
        <w:t xml:space="preserve">reproducible</w:t>
      </w:r>
      <w:r>
        <w:t xml:space="preserve"> </w:t>
      </w:r>
      <w:r>
        <w:t xml:space="preserve">— a qualified reviewer can understand how the evidence was produced and reach a supportable conclusion.</w:t>
      </w:r>
    </w:p>
    <w:bookmarkEnd w:id="23"/>
    <w:bookmarkStart w:id="24" w:name="evidence-hierarchy"/>
    <w:p>
      <w:pPr>
        <w:pStyle w:val="Heading2"/>
      </w:pPr>
      <w:r>
        <w:t xml:space="preserve">1.4 Evidence hierarchy</w:t>
      </w:r>
    </w:p>
    <w:p>
      <w:pPr>
        <w:pStyle w:val="FirstParagraph"/>
      </w:pPr>
      <w:r>
        <w:t xml:space="preserve">No universal hierarchy applies to every audit, but evidence generated directly from authoritative systems is generally stronger than self-attestation alone. A practical order of preference is:</w:t>
      </w:r>
    </w:p>
    <w:p>
      <w:pPr>
        <w:numPr>
          <w:ilvl w:val="0"/>
          <w:numId w:val="1003"/>
        </w:numPr>
        <w:pStyle w:val="Compact"/>
      </w:pPr>
      <w:r>
        <w:t xml:space="preserve">independently generated or externally corroborated records;</w:t>
      </w:r>
    </w:p>
    <w:p>
      <w:pPr>
        <w:numPr>
          <w:ilvl w:val="0"/>
          <w:numId w:val="1003"/>
        </w:numPr>
        <w:pStyle w:val="Compact"/>
      </w:pPr>
      <w:r>
        <w:t xml:space="preserve">system-generated exports with source, timestamp, scope, and query parameters;</w:t>
      </w:r>
    </w:p>
    <w:p>
      <w:pPr>
        <w:numPr>
          <w:ilvl w:val="0"/>
          <w:numId w:val="1003"/>
        </w:numPr>
        <w:pStyle w:val="Compact"/>
      </w:pPr>
      <w:r>
        <w:t xml:space="preserve">approved records created during normal operations;</w:t>
      </w:r>
    </w:p>
    <w:p>
      <w:pPr>
        <w:numPr>
          <w:ilvl w:val="0"/>
          <w:numId w:val="1003"/>
        </w:numPr>
        <w:pStyle w:val="Compact"/>
      </w:pPr>
      <w:r>
        <w:t xml:space="preserve">direct observation or reperformance documented by the assessor;</w:t>
      </w:r>
    </w:p>
    <w:p>
      <w:pPr>
        <w:numPr>
          <w:ilvl w:val="0"/>
          <w:numId w:val="1003"/>
        </w:numPr>
        <w:pStyle w:val="Compact"/>
      </w:pPr>
      <w:r>
        <w:t xml:space="preserve">interviews corroborated by records or observation;</w:t>
      </w:r>
    </w:p>
    <w:p>
      <w:pPr>
        <w:numPr>
          <w:ilvl w:val="0"/>
          <w:numId w:val="1003"/>
        </w:numPr>
        <w:pStyle w:val="Compact"/>
      </w:pPr>
      <w:r>
        <w:t xml:space="preserve">management representation or self-attestation.</w:t>
      </w:r>
    </w:p>
    <w:p>
      <w:pPr>
        <w:pStyle w:val="FirstParagraph"/>
      </w:pPr>
      <w:r>
        <w:t xml:space="preserve">Lower-ranked evidence is not automatically invalid. It requires stronger corroboration and clearer limitations.</w:t>
      </w:r>
    </w:p>
    <w:bookmarkEnd w:id="24"/>
    <w:bookmarkStart w:id="25" w:name="professional-judgment"/>
    <w:p>
      <w:pPr>
        <w:pStyle w:val="Heading2"/>
      </w:pPr>
      <w:r>
        <w:t xml:space="preserve">1.5 Professional judgment</w:t>
      </w:r>
    </w:p>
    <w:p>
      <w:pPr>
        <w:pStyle w:val="FirstParagraph"/>
      </w:pPr>
      <w:r>
        <w:t xml:space="preserve">Evidence evaluation requires professional judgment. The reviewer should consider risk, materiality, population size, control frequency, automation, change, prior findings, fraud risk, information-security risk, and the consequences of an incorrect conclusion. The workpaper must record significant judgments rather than leaving them implicit.</w:t>
      </w:r>
    </w:p>
    <w:bookmarkEnd w:id="25"/>
    <w:bookmarkStart w:id="26" w:name="prohibited-practices"/>
    <w:p>
      <w:pPr>
        <w:pStyle w:val="Heading2"/>
      </w:pPr>
      <w:r>
        <w:t xml:space="preserve">1.6 Prohibited practices</w:t>
      </w:r>
    </w:p>
    <w:p>
      <w:pPr>
        <w:pStyle w:val="FirstParagraph"/>
      </w:pPr>
      <w:r>
        <w:t xml:space="preserve">Do not:</w:t>
      </w:r>
    </w:p>
    <w:p>
      <w:pPr>
        <w:numPr>
          <w:ilvl w:val="0"/>
          <w:numId w:val="1004"/>
        </w:numPr>
        <w:pStyle w:val="Compact"/>
      </w:pPr>
      <w:r>
        <w:t xml:space="preserve">create or alter evidence after the fact without disclosure;</w:t>
      </w:r>
    </w:p>
    <w:p>
      <w:pPr>
        <w:numPr>
          <w:ilvl w:val="0"/>
          <w:numId w:val="1004"/>
        </w:numPr>
        <w:pStyle w:val="Compact"/>
      </w:pPr>
      <w:r>
        <w:t xml:space="preserve">remove unfavorable records from a population;</w:t>
      </w:r>
    </w:p>
    <w:p>
      <w:pPr>
        <w:numPr>
          <w:ilvl w:val="0"/>
          <w:numId w:val="1004"/>
        </w:numPr>
        <w:pStyle w:val="Compact"/>
      </w:pPr>
      <w:r>
        <w:t xml:space="preserve">represent screenshots as complete system evidence when underlying data is unavailable;</w:t>
      </w:r>
    </w:p>
    <w:p>
      <w:pPr>
        <w:numPr>
          <w:ilvl w:val="0"/>
          <w:numId w:val="1004"/>
        </w:numPr>
        <w:pStyle w:val="Compact"/>
      </w:pPr>
      <w:r>
        <w:t xml:space="preserve">share credentials or unrestricted production access with auditors;</w:t>
      </w:r>
    </w:p>
    <w:p>
      <w:pPr>
        <w:numPr>
          <w:ilvl w:val="0"/>
          <w:numId w:val="1004"/>
        </w:numPr>
        <w:pStyle w:val="Compact"/>
      </w:pPr>
      <w:r>
        <w:t xml:space="preserve">place regulated, privileged, or highly sensitive evidence in unapproved repositories;</w:t>
      </w:r>
    </w:p>
    <w:p>
      <w:pPr>
        <w:numPr>
          <w:ilvl w:val="0"/>
          <w:numId w:val="1004"/>
        </w:numPr>
        <w:pStyle w:val="Compact"/>
      </w:pPr>
      <w:r>
        <w:t xml:space="preserve">overwrite original evidence files;</w:t>
      </w:r>
    </w:p>
    <w:p>
      <w:pPr>
        <w:numPr>
          <w:ilvl w:val="0"/>
          <w:numId w:val="1004"/>
        </w:numPr>
        <w:pStyle w:val="Compact"/>
      </w:pPr>
      <w:r>
        <w:t xml:space="preserve">rely on verbal statements as the sole support for high-risk conclusions; or</w:t>
      </w:r>
    </w:p>
    <w:p>
      <w:pPr>
        <w:numPr>
          <w:ilvl w:val="0"/>
          <w:numId w:val="1004"/>
        </w:numPr>
        <w:pStyle w:val="Compact"/>
      </w:pPr>
      <w:r>
        <w:t xml:space="preserve">label automated checks as legal, regulatory, certification, or human audit approval.</w:t>
      </w:r>
    </w:p>
    <w:p>
      <w:r>
        <w:pict>
          <v:rect style="width:0;height:1.5pt" o:hralign="center" o:hrstd="t" o:hr="t"/>
        </w:pict>
      </w:r>
    </w:p>
    <w:bookmarkEnd w:id="26"/>
    <w:bookmarkEnd w:id="27"/>
    <w:bookmarkStart w:id="41" w:name="planning-requests-and-responsibilities"/>
    <w:p>
      <w:pPr>
        <w:pStyle w:val="Heading1"/>
      </w:pPr>
      <w:r>
        <w:t xml:space="preserve">2. Planning, Requests, and Responsibilities</w:t>
      </w:r>
    </w:p>
    <w:bookmarkStart w:id="28" w:name="start-with-the-assessment-objective"/>
    <w:p>
      <w:pPr>
        <w:pStyle w:val="Heading2"/>
      </w:pPr>
      <w:r>
        <w:t xml:space="preserve">2.1 Start with the assessment objective</w:t>
      </w:r>
    </w:p>
    <w:p>
      <w:pPr>
        <w:pStyle w:val="FirstParagraph"/>
      </w:pPr>
      <w:r>
        <w:t xml:space="preserve">Before requesting evidence, define:</w:t>
      </w:r>
    </w:p>
    <w:p>
      <w:pPr>
        <w:numPr>
          <w:ilvl w:val="0"/>
          <w:numId w:val="1005"/>
        </w:numPr>
        <w:pStyle w:val="Compact"/>
      </w:pPr>
      <w:r>
        <w:t xml:space="preserve">the audit, assessment, review, or certification objective;</w:t>
      </w:r>
    </w:p>
    <w:p>
      <w:pPr>
        <w:numPr>
          <w:ilvl w:val="0"/>
          <w:numId w:val="1005"/>
        </w:numPr>
        <w:pStyle w:val="Compact"/>
      </w:pPr>
      <w:r>
        <w:t xml:space="preserve">the authoritative criteria and version;</w:t>
      </w:r>
    </w:p>
    <w:p>
      <w:pPr>
        <w:numPr>
          <w:ilvl w:val="0"/>
          <w:numId w:val="1005"/>
        </w:numPr>
        <w:pStyle w:val="Compact"/>
      </w:pPr>
      <w:r>
        <w:t xml:space="preserve">the organizational, technical, geographic, and temporal scope;</w:t>
      </w:r>
    </w:p>
    <w:p>
      <w:pPr>
        <w:numPr>
          <w:ilvl w:val="0"/>
          <w:numId w:val="1005"/>
        </w:numPr>
        <w:pStyle w:val="Compact"/>
      </w:pPr>
      <w:r>
        <w:t xml:space="preserve">the systems, processes, entities, and populations in scope;</w:t>
      </w:r>
    </w:p>
    <w:p>
      <w:pPr>
        <w:numPr>
          <w:ilvl w:val="0"/>
          <w:numId w:val="1005"/>
        </w:numPr>
        <w:pStyle w:val="Compact"/>
      </w:pPr>
      <w:r>
        <w:t xml:space="preserve">the control or requirement being tested;</w:t>
      </w:r>
    </w:p>
    <w:p>
      <w:pPr>
        <w:numPr>
          <w:ilvl w:val="0"/>
          <w:numId w:val="1005"/>
        </w:numPr>
        <w:pStyle w:val="Compact"/>
      </w:pPr>
      <w:r>
        <w:t xml:space="preserve">the expected evidence type;</w:t>
      </w:r>
    </w:p>
    <w:p>
      <w:pPr>
        <w:numPr>
          <w:ilvl w:val="0"/>
          <w:numId w:val="1005"/>
        </w:numPr>
        <w:pStyle w:val="Compact"/>
      </w:pPr>
      <w:r>
        <w:t xml:space="preserve">the assessment method: examine, interview, test, observe, inspect, or reperform;</w:t>
      </w:r>
    </w:p>
    <w:p>
      <w:pPr>
        <w:numPr>
          <w:ilvl w:val="0"/>
          <w:numId w:val="1005"/>
        </w:numPr>
        <w:pStyle w:val="Compact"/>
      </w:pPr>
      <w:r>
        <w:t xml:space="preserve">the responsible requester, owner, reviewer, and approver; and</w:t>
      </w:r>
    </w:p>
    <w:p>
      <w:pPr>
        <w:numPr>
          <w:ilvl w:val="0"/>
          <w:numId w:val="1005"/>
        </w:numPr>
        <w:pStyle w:val="Compact"/>
      </w:pPr>
      <w:r>
        <w:t xml:space="preserve">the required completion date.</w:t>
      </w:r>
    </w:p>
    <w:p>
      <w:pPr>
        <w:pStyle w:val="FirstParagraph"/>
      </w:pPr>
      <w:r>
        <w:t xml:space="preserve">A request without a defined criterion or objective creates unnecessary burden and weakens traceability.</w:t>
      </w:r>
    </w:p>
    <w:bookmarkEnd w:id="28"/>
    <w:bookmarkStart w:id="29" w:name="evidence-request-structure"/>
    <w:p>
      <w:pPr>
        <w:pStyle w:val="Heading2"/>
      </w:pPr>
      <w:r>
        <w:t xml:space="preserve">2.2 Evidence request structure</w:t>
      </w:r>
    </w:p>
    <w:p>
      <w:pPr>
        <w:pStyle w:val="FirstParagraph"/>
      </w:pPr>
      <w:r>
        <w:t xml:space="preserve">Each request should include:</w:t>
      </w:r>
    </w:p>
    <w:p>
      <w:pPr>
        <w:numPr>
          <w:ilvl w:val="0"/>
          <w:numId w:val="1006"/>
        </w:numPr>
        <w:pStyle w:val="Compact"/>
      </w:pPr>
      <w:r>
        <w:t xml:space="preserve">unique request ID;</w:t>
      </w:r>
    </w:p>
    <w:p>
      <w:pPr>
        <w:numPr>
          <w:ilvl w:val="0"/>
          <w:numId w:val="1006"/>
        </w:numPr>
        <w:pStyle w:val="Compact"/>
      </w:pPr>
      <w:r>
        <w:t xml:space="preserve">audit or engagement ID;</w:t>
      </w:r>
    </w:p>
    <w:p>
      <w:pPr>
        <w:numPr>
          <w:ilvl w:val="0"/>
          <w:numId w:val="1006"/>
        </w:numPr>
        <w:pStyle w:val="Compact"/>
      </w:pPr>
      <w:r>
        <w:t xml:space="preserve">criterion or control reference;</w:t>
      </w:r>
    </w:p>
    <w:p>
      <w:pPr>
        <w:numPr>
          <w:ilvl w:val="0"/>
          <w:numId w:val="1006"/>
        </w:numPr>
        <w:pStyle w:val="Compact"/>
      </w:pPr>
      <w:r>
        <w:t xml:space="preserve">plain-language request description;</w:t>
      </w:r>
    </w:p>
    <w:p>
      <w:pPr>
        <w:numPr>
          <w:ilvl w:val="0"/>
          <w:numId w:val="1006"/>
        </w:numPr>
        <w:pStyle w:val="Compact"/>
      </w:pPr>
      <w:r>
        <w:t xml:space="preserve">reason the evidence is needed;</w:t>
      </w:r>
    </w:p>
    <w:p>
      <w:pPr>
        <w:numPr>
          <w:ilvl w:val="0"/>
          <w:numId w:val="1006"/>
        </w:numPr>
        <w:pStyle w:val="Compact"/>
      </w:pPr>
      <w:r>
        <w:t xml:space="preserve">requested period and population;</w:t>
      </w:r>
    </w:p>
    <w:p>
      <w:pPr>
        <w:numPr>
          <w:ilvl w:val="0"/>
          <w:numId w:val="1006"/>
        </w:numPr>
        <w:pStyle w:val="Compact"/>
      </w:pPr>
      <w:r>
        <w:t xml:space="preserve">acceptable formats;</w:t>
      </w:r>
    </w:p>
    <w:p>
      <w:pPr>
        <w:numPr>
          <w:ilvl w:val="0"/>
          <w:numId w:val="1006"/>
        </w:numPr>
        <w:pStyle w:val="Compact"/>
      </w:pPr>
      <w:r>
        <w:t xml:space="preserve">required metadata or context;</w:t>
      </w:r>
    </w:p>
    <w:p>
      <w:pPr>
        <w:numPr>
          <w:ilvl w:val="0"/>
          <w:numId w:val="1006"/>
        </w:numPr>
        <w:pStyle w:val="Compact"/>
      </w:pPr>
      <w:r>
        <w:t xml:space="preserve">secure submission channel;</w:t>
      </w:r>
    </w:p>
    <w:p>
      <w:pPr>
        <w:numPr>
          <w:ilvl w:val="0"/>
          <w:numId w:val="1006"/>
        </w:numPr>
        <w:pStyle w:val="Compact"/>
      </w:pPr>
      <w:r>
        <w:t xml:space="preserve">assigned owner and backup owner;</w:t>
      </w:r>
    </w:p>
    <w:p>
      <w:pPr>
        <w:numPr>
          <w:ilvl w:val="0"/>
          <w:numId w:val="1006"/>
        </w:numPr>
        <w:pStyle w:val="Compact"/>
      </w:pPr>
      <w:r>
        <w:t xml:space="preserve">due date and priority;</w:t>
      </w:r>
    </w:p>
    <w:p>
      <w:pPr>
        <w:numPr>
          <w:ilvl w:val="0"/>
          <w:numId w:val="1006"/>
        </w:numPr>
        <w:pStyle w:val="Compact"/>
      </w:pPr>
      <w:r>
        <w:t xml:space="preserve">confidentiality classification;</w:t>
      </w:r>
    </w:p>
    <w:p>
      <w:pPr>
        <w:numPr>
          <w:ilvl w:val="0"/>
          <w:numId w:val="1006"/>
        </w:numPr>
        <w:pStyle w:val="Compact"/>
      </w:pPr>
      <w:r>
        <w:t xml:space="preserve">reviewer acceptance criteria; and</w:t>
      </w:r>
    </w:p>
    <w:p>
      <w:pPr>
        <w:numPr>
          <w:ilvl w:val="0"/>
          <w:numId w:val="1006"/>
        </w:numPr>
        <w:pStyle w:val="Compact"/>
      </w:pPr>
      <w:r>
        <w:t xml:space="preserve">dependencies or prerequisite requests.</w:t>
      </w:r>
    </w:p>
    <w:p>
      <w:pPr>
        <w:pStyle w:val="FirstParagraph"/>
      </w:pPr>
      <w:r>
        <w:t xml:space="preserve">Avoid combining unrelated evidence into one request. Split large requests into manageable items with clear acceptance criteria.</w:t>
      </w:r>
    </w:p>
    <w:bookmarkEnd w:id="29"/>
    <w:bookmarkStart w:id="37" w:name="roles"/>
    <w:p>
      <w:pPr>
        <w:pStyle w:val="Heading2"/>
      </w:pPr>
      <w:r>
        <w:t xml:space="preserve">2.3 Roles</w:t>
      </w:r>
    </w:p>
    <w:bookmarkStart w:id="30" w:name="audit-sponsor"/>
    <w:p>
      <w:pPr>
        <w:pStyle w:val="Heading3"/>
      </w:pPr>
      <w:r>
        <w:t xml:space="preserve">Audit sponsor</w:t>
      </w:r>
    </w:p>
    <w:p>
      <w:pPr>
        <w:pStyle w:val="FirstParagraph"/>
      </w:pPr>
      <w:r>
        <w:t xml:space="preserve">Approves scope, resolves significant disputes, and supports timely cooperation.</w:t>
      </w:r>
    </w:p>
    <w:bookmarkEnd w:id="30"/>
    <w:bookmarkStart w:id="31" w:name="audit-or-assessment-lead"/>
    <w:p>
      <w:pPr>
        <w:pStyle w:val="Heading3"/>
      </w:pPr>
      <w:r>
        <w:t xml:space="preserve">Audit or assessment lead</w:t>
      </w:r>
    </w:p>
    <w:p>
      <w:pPr>
        <w:pStyle w:val="FirstParagraph"/>
      </w:pPr>
      <w:r>
        <w:t xml:space="preserve">Owns the evidence strategy, request list, sampling approach, reviewer assignments, conclusion quality, and escalation.</w:t>
      </w:r>
    </w:p>
    <w:bookmarkEnd w:id="31"/>
    <w:bookmarkStart w:id="32" w:name="evidence-coordinator"/>
    <w:p>
      <w:pPr>
        <w:pStyle w:val="Heading3"/>
      </w:pPr>
      <w:r>
        <w:t xml:space="preserve">Evidence coordinator</w:t>
      </w:r>
    </w:p>
    <w:p>
      <w:pPr>
        <w:pStyle w:val="FirstParagraph"/>
      </w:pPr>
      <w:r>
        <w:t xml:space="preserve">Maintains the request tracker, routes questions, monitors due dates, and prevents duplicate or conflicting requests.</w:t>
      </w:r>
    </w:p>
    <w:bookmarkEnd w:id="32"/>
    <w:bookmarkStart w:id="33" w:name="control-or-process-owner"/>
    <w:p>
      <w:pPr>
        <w:pStyle w:val="Heading3"/>
      </w:pPr>
      <w:r>
        <w:t xml:space="preserve">Control or process owner</w:t>
      </w:r>
    </w:p>
    <w:p>
      <w:pPr>
        <w:pStyle w:val="FirstParagraph"/>
      </w:pPr>
      <w:r>
        <w:t xml:space="preserve">Explains the process, validates scope, and ensures evidence accurately reflects normal operations.</w:t>
      </w:r>
    </w:p>
    <w:bookmarkEnd w:id="33"/>
    <w:bookmarkStart w:id="34" w:name="evidence-custodian"/>
    <w:p>
      <w:pPr>
        <w:pStyle w:val="Heading3"/>
      </w:pPr>
      <w:r>
        <w:t xml:space="preserve">Evidence custodian</w:t>
      </w:r>
    </w:p>
    <w:p>
      <w:pPr>
        <w:pStyle w:val="FirstParagraph"/>
      </w:pPr>
      <w:r>
        <w:t xml:space="preserve">Extracts or supplies records from the authoritative source while preserving integrity and metadata.</w:t>
      </w:r>
    </w:p>
    <w:bookmarkEnd w:id="34"/>
    <w:bookmarkStart w:id="35" w:name="reviewer-or-tester"/>
    <w:p>
      <w:pPr>
        <w:pStyle w:val="Heading3"/>
      </w:pPr>
      <w:r>
        <w:t xml:space="preserve">Reviewer or tester</w:t>
      </w:r>
    </w:p>
    <w:p>
      <w:pPr>
        <w:pStyle w:val="FirstParagraph"/>
      </w:pPr>
      <w:r>
        <w:t xml:space="preserve">Evaluates relevance, reliability, sufficiency, appropriateness, exceptions, and limitations and records the conclusion.</w:t>
      </w:r>
    </w:p>
    <w:bookmarkEnd w:id="35"/>
    <w:bookmarkStart w:id="36" w:name="X8a02113f051e507449b6539aa112261dda67f6b"/>
    <w:p>
      <w:pPr>
        <w:pStyle w:val="Heading3"/>
      </w:pPr>
      <w:r>
        <w:t xml:space="preserve">Legal, privacy, security, human-resources, and records specialists</w:t>
      </w:r>
    </w:p>
    <w:p>
      <w:pPr>
        <w:pStyle w:val="FirstParagraph"/>
      </w:pPr>
      <w:r>
        <w:t xml:space="preserve">Advise on privilege, personal data, sensitive investigations, employee information, export restrictions, contractual limits, litigation holds, and secure retention.</w:t>
      </w:r>
    </w:p>
    <w:bookmarkEnd w:id="36"/>
    <w:bookmarkEnd w:id="37"/>
    <w:bookmarkStart w:id="38" w:name="request-lifecycle"/>
    <w:p>
      <w:pPr>
        <w:pStyle w:val="Heading2"/>
      </w:pPr>
      <w:r>
        <w:t xml:space="preserve">2.4 Request lifecycle</w:t>
      </w:r>
    </w:p>
    <w:p>
      <w:pPr>
        <w:pStyle w:val="FirstParagraph"/>
      </w:pPr>
      <w:r>
        <w:t xml:space="preserve">Use the following states:</w:t>
      </w:r>
    </w:p>
    <w:p>
      <w:pPr>
        <w:numPr>
          <w:ilvl w:val="0"/>
          <w:numId w:val="1007"/>
        </w:numPr>
        <w:pStyle w:val="Compact"/>
      </w:pPr>
      <w:r>
        <w:t xml:space="preserve">Draft</w:t>
      </w:r>
    </w:p>
    <w:p>
      <w:pPr>
        <w:numPr>
          <w:ilvl w:val="0"/>
          <w:numId w:val="1007"/>
        </w:numPr>
        <w:pStyle w:val="Compact"/>
      </w:pPr>
      <w:r>
        <w:t xml:space="preserve">Approved for issue</w:t>
      </w:r>
    </w:p>
    <w:p>
      <w:pPr>
        <w:numPr>
          <w:ilvl w:val="0"/>
          <w:numId w:val="1007"/>
        </w:numPr>
        <w:pStyle w:val="Compact"/>
      </w:pPr>
      <w:r>
        <w:t xml:space="preserve">Issued</w:t>
      </w:r>
    </w:p>
    <w:p>
      <w:pPr>
        <w:numPr>
          <w:ilvl w:val="0"/>
          <w:numId w:val="1007"/>
        </w:numPr>
        <w:pStyle w:val="Compact"/>
      </w:pPr>
      <w:r>
        <w:t xml:space="preserve">Acknowledged</w:t>
      </w:r>
    </w:p>
    <w:p>
      <w:pPr>
        <w:numPr>
          <w:ilvl w:val="0"/>
          <w:numId w:val="1007"/>
        </w:numPr>
        <w:pStyle w:val="Compact"/>
      </w:pPr>
      <w:r>
        <w:t xml:space="preserve">In progress</w:t>
      </w:r>
    </w:p>
    <w:p>
      <w:pPr>
        <w:numPr>
          <w:ilvl w:val="0"/>
          <w:numId w:val="1007"/>
        </w:numPr>
        <w:pStyle w:val="Compact"/>
      </w:pPr>
      <w:r>
        <w:t xml:space="preserve">Submitted</w:t>
      </w:r>
    </w:p>
    <w:p>
      <w:pPr>
        <w:numPr>
          <w:ilvl w:val="0"/>
          <w:numId w:val="1007"/>
        </w:numPr>
        <w:pStyle w:val="Compact"/>
      </w:pPr>
      <w:r>
        <w:t xml:space="preserve">Under review</w:t>
      </w:r>
    </w:p>
    <w:p>
      <w:pPr>
        <w:numPr>
          <w:ilvl w:val="0"/>
          <w:numId w:val="1007"/>
        </w:numPr>
        <w:pStyle w:val="Compact"/>
      </w:pPr>
      <w:r>
        <w:t xml:space="preserve">Clarification required</w:t>
      </w:r>
    </w:p>
    <w:p>
      <w:pPr>
        <w:numPr>
          <w:ilvl w:val="0"/>
          <w:numId w:val="1007"/>
        </w:numPr>
        <w:pStyle w:val="Compact"/>
      </w:pPr>
      <w:r>
        <w:t xml:space="preserve">Accepted</w:t>
      </w:r>
    </w:p>
    <w:p>
      <w:pPr>
        <w:numPr>
          <w:ilvl w:val="0"/>
          <w:numId w:val="1007"/>
        </w:numPr>
        <w:pStyle w:val="Compact"/>
      </w:pPr>
      <w:r>
        <w:t xml:space="preserve">Rejected or replaced</w:t>
      </w:r>
    </w:p>
    <w:p>
      <w:pPr>
        <w:numPr>
          <w:ilvl w:val="0"/>
          <w:numId w:val="1007"/>
        </w:numPr>
        <w:pStyle w:val="Compact"/>
      </w:pPr>
      <w:r>
        <w:t xml:space="preserve">Closed</w:t>
      </w:r>
    </w:p>
    <w:p>
      <w:pPr>
        <w:numPr>
          <w:ilvl w:val="0"/>
          <w:numId w:val="1007"/>
        </w:numPr>
        <w:pStyle w:val="Compact"/>
      </w:pPr>
      <w:r>
        <w:t xml:space="preserve">Retained or disposed</w:t>
      </w:r>
    </w:p>
    <w:p>
      <w:pPr>
        <w:pStyle w:val="FirstParagraph"/>
      </w:pPr>
      <w:r>
        <w:t xml:space="preserve">Status changes should be dated and attributable. Reopened requests should preserve prior submissions and review history.</w:t>
      </w:r>
    </w:p>
    <w:bookmarkEnd w:id="38"/>
    <w:bookmarkStart w:id="39" w:name="due-dates-and-escalation"/>
    <w:p>
      <w:pPr>
        <w:pStyle w:val="Heading2"/>
      </w:pPr>
      <w:r>
        <w:t xml:space="preserve">2.5 Due dates and escalation</w:t>
      </w:r>
    </w:p>
    <w:p>
      <w:pPr>
        <w:pStyle w:val="FirstParagraph"/>
      </w:pPr>
      <w:r>
        <w:t xml:space="preserve">Set due dates based on complexity, risk, availability, and the engagement schedule. Escalation should be proportionate:</w:t>
      </w:r>
    </w:p>
    <w:p>
      <w:pPr>
        <w:numPr>
          <w:ilvl w:val="0"/>
          <w:numId w:val="1008"/>
        </w:numPr>
        <w:pStyle w:val="Compact"/>
      </w:pPr>
      <w:r>
        <w:t xml:space="preserve">reminder to owner;</w:t>
      </w:r>
    </w:p>
    <w:p>
      <w:pPr>
        <w:numPr>
          <w:ilvl w:val="0"/>
          <w:numId w:val="1008"/>
        </w:numPr>
        <w:pStyle w:val="Compact"/>
      </w:pPr>
      <w:r>
        <w:t xml:space="preserve">coordination with backup owner;</w:t>
      </w:r>
    </w:p>
    <w:p>
      <w:pPr>
        <w:numPr>
          <w:ilvl w:val="0"/>
          <w:numId w:val="1008"/>
        </w:numPr>
        <w:pStyle w:val="Compact"/>
      </w:pPr>
      <w:r>
        <w:t xml:space="preserve">notification to process manager;</w:t>
      </w:r>
    </w:p>
    <w:p>
      <w:pPr>
        <w:numPr>
          <w:ilvl w:val="0"/>
          <w:numId w:val="1008"/>
        </w:numPr>
        <w:pStyle w:val="Compact"/>
      </w:pPr>
      <w:r>
        <w:t xml:space="preserve">escalation to engagement lead;</w:t>
      </w:r>
    </w:p>
    <w:p>
      <w:pPr>
        <w:numPr>
          <w:ilvl w:val="0"/>
          <w:numId w:val="1008"/>
        </w:numPr>
        <w:pStyle w:val="Compact"/>
      </w:pPr>
      <w:r>
        <w:t xml:space="preserve">escalation to sponsor or governance body; and</w:t>
      </w:r>
    </w:p>
    <w:p>
      <w:pPr>
        <w:numPr>
          <w:ilvl w:val="0"/>
          <w:numId w:val="1008"/>
        </w:numPr>
        <w:pStyle w:val="Compact"/>
      </w:pPr>
      <w:r>
        <w:t xml:space="preserve">formal scope limitation when evidence cannot be obtained.</w:t>
      </w:r>
    </w:p>
    <w:p>
      <w:pPr>
        <w:pStyle w:val="FirstParagraph"/>
      </w:pPr>
      <w:r>
        <w:t xml:space="preserve">Late evidence should not be silently treated as satisfactory. Record the delay, impact, mitigation, and revised conclusion.</w:t>
      </w:r>
    </w:p>
    <w:bookmarkEnd w:id="39"/>
    <w:bookmarkStart w:id="40" w:name="duplicate-and-excessive-requests"/>
    <w:p>
      <w:pPr>
        <w:pStyle w:val="Heading2"/>
      </w:pPr>
      <w:r>
        <w:t xml:space="preserve">2.6 Duplicate and excessive requests</w:t>
      </w:r>
    </w:p>
    <w:p>
      <w:pPr>
        <w:pStyle w:val="FirstParagraph"/>
      </w:pPr>
      <w:r>
        <w:t xml:space="preserve">The evidence coordinator should compare requests across internal audit, external audit, compliance, customer assurance, security, privacy, and certification activities. Reuse evidence only when the period, scope, criterion, integrity, confidentiality, and freshness remain appropriate. Reuse must be documented; it must not conceal changes or new exceptions.</w:t>
      </w:r>
    </w:p>
    <w:p>
      <w:r>
        <w:pict>
          <v:rect style="width:0;height:1.5pt" o:hralign="center" o:hrstd="t" o:hr="t"/>
        </w:pict>
      </w:r>
    </w:p>
    <w:bookmarkEnd w:id="40"/>
    <w:bookmarkEnd w:id="41"/>
    <w:bookmarkStart w:id="52" w:name="collection-integrity-and-protection"/>
    <w:p>
      <w:pPr>
        <w:pStyle w:val="Heading1"/>
      </w:pPr>
      <w:r>
        <w:t xml:space="preserve">3. Collection, Integrity, and Protection</w:t>
      </w:r>
    </w:p>
    <w:bookmarkStart w:id="42" w:name="collect-from-authoritative-sources"/>
    <w:p>
      <w:pPr>
        <w:pStyle w:val="Heading2"/>
      </w:pPr>
      <w:r>
        <w:t xml:space="preserve">3.1 Collect from authoritative sources</w:t>
      </w:r>
    </w:p>
    <w:p>
      <w:pPr>
        <w:pStyle w:val="FirstParagraph"/>
      </w:pPr>
      <w:r>
        <w:t xml:space="preserve">Identify the system of record, record owner, extraction method, date and time, query or filter parameters, population size, and person performing the extraction. Preserve raw source files when practical and create working copies for review.</w:t>
      </w:r>
    </w:p>
    <w:bookmarkEnd w:id="42"/>
    <w:bookmarkStart w:id="43" w:name="system-exports"/>
    <w:p>
      <w:pPr>
        <w:pStyle w:val="Heading2"/>
      </w:pPr>
      <w:r>
        <w:t xml:space="preserve">3.2 System exports</w:t>
      </w:r>
    </w:p>
    <w:p>
      <w:pPr>
        <w:pStyle w:val="FirstParagraph"/>
      </w:pPr>
      <w:r>
        <w:t xml:space="preserve">A system export should include enough context to interpret the data:</w:t>
      </w:r>
    </w:p>
    <w:p>
      <w:pPr>
        <w:numPr>
          <w:ilvl w:val="0"/>
          <w:numId w:val="1009"/>
        </w:numPr>
        <w:pStyle w:val="Compact"/>
      </w:pPr>
      <w:r>
        <w:t xml:space="preserve">system and environment name;</w:t>
      </w:r>
    </w:p>
    <w:p>
      <w:pPr>
        <w:numPr>
          <w:ilvl w:val="0"/>
          <w:numId w:val="1009"/>
        </w:numPr>
        <w:pStyle w:val="Compact"/>
      </w:pPr>
      <w:r>
        <w:t xml:space="preserve">report or query name;</w:t>
      </w:r>
    </w:p>
    <w:p>
      <w:pPr>
        <w:numPr>
          <w:ilvl w:val="0"/>
          <w:numId w:val="1009"/>
        </w:numPr>
        <w:pStyle w:val="Compact"/>
      </w:pPr>
      <w:r>
        <w:t xml:space="preserve">extraction timestamp and time zone;</w:t>
      </w:r>
    </w:p>
    <w:p>
      <w:pPr>
        <w:numPr>
          <w:ilvl w:val="0"/>
          <w:numId w:val="1009"/>
        </w:numPr>
        <w:pStyle w:val="Compact"/>
      </w:pPr>
      <w:r>
        <w:t xml:space="preserve">reporting period;</w:t>
      </w:r>
    </w:p>
    <w:p>
      <w:pPr>
        <w:numPr>
          <w:ilvl w:val="0"/>
          <w:numId w:val="1009"/>
        </w:numPr>
        <w:pStyle w:val="Compact"/>
      </w:pPr>
      <w:r>
        <w:t xml:space="preserve">filters and exclusions;</w:t>
      </w:r>
    </w:p>
    <w:p>
      <w:pPr>
        <w:numPr>
          <w:ilvl w:val="0"/>
          <w:numId w:val="1009"/>
        </w:numPr>
        <w:pStyle w:val="Compact"/>
      </w:pPr>
      <w:r>
        <w:t xml:space="preserve">field definitions when unclear;</w:t>
      </w:r>
    </w:p>
    <w:p>
      <w:pPr>
        <w:numPr>
          <w:ilvl w:val="0"/>
          <w:numId w:val="1009"/>
        </w:numPr>
        <w:pStyle w:val="Compact"/>
      </w:pPr>
      <w:r>
        <w:t xml:space="preserve">total population and row count;</w:t>
      </w:r>
    </w:p>
    <w:p>
      <w:pPr>
        <w:numPr>
          <w:ilvl w:val="0"/>
          <w:numId w:val="1009"/>
        </w:numPr>
        <w:pStyle w:val="Compact"/>
      </w:pPr>
      <w:r>
        <w:t xml:space="preserve">user or service account that produced the export; and</w:t>
      </w:r>
    </w:p>
    <w:p>
      <w:pPr>
        <w:numPr>
          <w:ilvl w:val="0"/>
          <w:numId w:val="1009"/>
        </w:numPr>
        <w:pStyle w:val="Compact"/>
      </w:pPr>
      <w:r>
        <w:t xml:space="preserve">known limitations.</w:t>
      </w:r>
    </w:p>
    <w:p>
      <w:pPr>
        <w:pStyle w:val="FirstParagraph"/>
      </w:pPr>
      <w:r>
        <w:t xml:space="preserve">When an export is manually transformed, retain the original, record each transformation, and reconcile totals before and after processing.</w:t>
      </w:r>
    </w:p>
    <w:bookmarkEnd w:id="43"/>
    <w:bookmarkStart w:id="44" w:name="screenshots"/>
    <w:p>
      <w:pPr>
        <w:pStyle w:val="Heading2"/>
      </w:pPr>
      <w:r>
        <w:t xml:space="preserve">3.3 Screenshots</w:t>
      </w:r>
    </w:p>
    <w:p>
      <w:pPr>
        <w:pStyle w:val="FirstParagraph"/>
      </w:pPr>
      <w:r>
        <w:t xml:space="preserve">Screenshots are useful for point-in-time configuration, workflow, and interface evidence, but they are easily incomplete. Capture:</w:t>
      </w:r>
    </w:p>
    <w:p>
      <w:pPr>
        <w:numPr>
          <w:ilvl w:val="0"/>
          <w:numId w:val="1010"/>
        </w:numPr>
        <w:pStyle w:val="Compact"/>
      </w:pPr>
      <w:r>
        <w:t xml:space="preserve">application and environment;</w:t>
      </w:r>
    </w:p>
    <w:p>
      <w:pPr>
        <w:numPr>
          <w:ilvl w:val="0"/>
          <w:numId w:val="1010"/>
        </w:numPr>
        <w:pStyle w:val="Compact"/>
      </w:pPr>
      <w:r>
        <w:t xml:space="preserve">visible system date or a documented capture timestamp;</w:t>
      </w:r>
    </w:p>
    <w:p>
      <w:pPr>
        <w:numPr>
          <w:ilvl w:val="0"/>
          <w:numId w:val="1010"/>
        </w:numPr>
        <w:pStyle w:val="Compact"/>
      </w:pPr>
      <w:r>
        <w:t xml:space="preserve">relevant URL, object, tenant, account, or record identifier without exposing unnecessary secrets;</w:t>
      </w:r>
    </w:p>
    <w:p>
      <w:pPr>
        <w:numPr>
          <w:ilvl w:val="0"/>
          <w:numId w:val="1010"/>
        </w:numPr>
        <w:pStyle w:val="Compact"/>
      </w:pPr>
      <w:r>
        <w:t xml:space="preserve">the full setting and surrounding context;</w:t>
      </w:r>
    </w:p>
    <w:p>
      <w:pPr>
        <w:numPr>
          <w:ilvl w:val="0"/>
          <w:numId w:val="1010"/>
        </w:numPr>
        <w:pStyle w:val="Compact"/>
      </w:pPr>
      <w:r>
        <w:t xml:space="preserve">pagination, filters, and scope; and</w:t>
      </w:r>
    </w:p>
    <w:p>
      <w:pPr>
        <w:numPr>
          <w:ilvl w:val="0"/>
          <w:numId w:val="1010"/>
        </w:numPr>
        <w:pStyle w:val="Compact"/>
      </w:pPr>
      <w:r>
        <w:t xml:space="preserve">the operator and capture method.</w:t>
      </w:r>
    </w:p>
    <w:p>
      <w:pPr>
        <w:pStyle w:val="FirstParagraph"/>
      </w:pPr>
      <w:r>
        <w:t xml:space="preserve">Do not crop away context that affects interpretation. Redaction should use an approved method and must not alter the substantive evidence.</w:t>
      </w:r>
    </w:p>
    <w:bookmarkEnd w:id="44"/>
    <w:bookmarkStart w:id="45" w:name="documents-and-records"/>
    <w:p>
      <w:pPr>
        <w:pStyle w:val="Heading2"/>
      </w:pPr>
      <w:r>
        <w:t xml:space="preserve">3.4 Documents and records</w:t>
      </w:r>
    </w:p>
    <w:p>
      <w:pPr>
        <w:pStyle w:val="FirstParagraph"/>
      </w:pPr>
      <w:r>
        <w:t xml:space="preserve">Confirm approval status, owner, version, effective date, review date, change history, and applicability. A policy proves documented intent; it does not by itself prove implementation or operation.</w:t>
      </w:r>
    </w:p>
    <w:bookmarkEnd w:id="45"/>
    <w:bookmarkStart w:id="46" w:name="interviews-and-observations"/>
    <w:p>
      <w:pPr>
        <w:pStyle w:val="Heading2"/>
      </w:pPr>
      <w:r>
        <w:t xml:space="preserve">3.5 Interviews and observations</w:t>
      </w:r>
    </w:p>
    <w:p>
      <w:pPr>
        <w:pStyle w:val="FirstParagraph"/>
      </w:pPr>
      <w:r>
        <w:t xml:space="preserve">Document participant roles, date, questions, key statements, observed activities, limitations, and corroborating records. Provide the interviewee an opportunity to correct factual misunderstandings where appropriate. Interviews should not be presented as independent proof when stronger operational evidence should exist.</w:t>
      </w:r>
    </w:p>
    <w:bookmarkEnd w:id="46"/>
    <w:bookmarkStart w:id="47" w:name="reperformance-and-testing"/>
    <w:p>
      <w:pPr>
        <w:pStyle w:val="Heading2"/>
      </w:pPr>
      <w:r>
        <w:t xml:space="preserve">3.6 Reperformance and testing</w:t>
      </w:r>
    </w:p>
    <w:p>
      <w:pPr>
        <w:pStyle w:val="FirstParagraph"/>
      </w:pPr>
      <w:r>
        <w:t xml:space="preserve">Record the procedure, inputs, tools, tester, date, environment, expected result, actual result, exceptions, and retained output. Testing must be authorized and designed to avoid operational harm, privacy violations, or unauthorized access.</w:t>
      </w:r>
    </w:p>
    <w:bookmarkEnd w:id="47"/>
    <w:bookmarkStart w:id="48" w:name="authenticity-and-integrity"/>
    <w:p>
      <w:pPr>
        <w:pStyle w:val="Heading2"/>
      </w:pPr>
      <w:r>
        <w:t xml:space="preserve">3.7 Authenticity and integrity</w:t>
      </w:r>
    </w:p>
    <w:p>
      <w:pPr>
        <w:pStyle w:val="FirstParagraph"/>
      </w:pPr>
      <w:r>
        <w:t xml:space="preserve">Use proportionate controls such as:</w:t>
      </w:r>
    </w:p>
    <w:p>
      <w:pPr>
        <w:numPr>
          <w:ilvl w:val="0"/>
          <w:numId w:val="1011"/>
        </w:numPr>
        <w:pStyle w:val="Compact"/>
      </w:pPr>
      <w:r>
        <w:t xml:space="preserve">read-only retrieval;</w:t>
      </w:r>
    </w:p>
    <w:p>
      <w:pPr>
        <w:numPr>
          <w:ilvl w:val="0"/>
          <w:numId w:val="1011"/>
        </w:numPr>
        <w:pStyle w:val="Compact"/>
      </w:pPr>
      <w:r>
        <w:t xml:space="preserve">restricted evidence repositories;</w:t>
      </w:r>
    </w:p>
    <w:p>
      <w:pPr>
        <w:numPr>
          <w:ilvl w:val="0"/>
          <w:numId w:val="1011"/>
        </w:numPr>
        <w:pStyle w:val="Compact"/>
      </w:pPr>
      <w:r>
        <w:t xml:space="preserve">file hashes;</w:t>
      </w:r>
    </w:p>
    <w:p>
      <w:pPr>
        <w:numPr>
          <w:ilvl w:val="0"/>
          <w:numId w:val="1011"/>
        </w:numPr>
        <w:pStyle w:val="Compact"/>
      </w:pPr>
      <w:r>
        <w:t xml:space="preserve">digital signatures or trusted timestamps;</w:t>
      </w:r>
    </w:p>
    <w:p>
      <w:pPr>
        <w:numPr>
          <w:ilvl w:val="0"/>
          <w:numId w:val="1011"/>
        </w:numPr>
        <w:pStyle w:val="Compact"/>
      </w:pPr>
      <w:r>
        <w:t xml:space="preserve">immutable or versioned storage;</w:t>
      </w:r>
    </w:p>
    <w:p>
      <w:pPr>
        <w:numPr>
          <w:ilvl w:val="0"/>
          <w:numId w:val="1011"/>
        </w:numPr>
        <w:pStyle w:val="Compact"/>
      </w:pPr>
      <w:r>
        <w:t xml:space="preserve">access and download logs;</w:t>
      </w:r>
    </w:p>
    <w:p>
      <w:pPr>
        <w:numPr>
          <w:ilvl w:val="0"/>
          <w:numId w:val="1011"/>
        </w:numPr>
        <w:pStyle w:val="Compact"/>
      </w:pPr>
      <w:r>
        <w:t xml:space="preserve">source-system reconciliation;</w:t>
      </w:r>
    </w:p>
    <w:p>
      <w:pPr>
        <w:numPr>
          <w:ilvl w:val="0"/>
          <w:numId w:val="1011"/>
        </w:numPr>
        <w:pStyle w:val="Compact"/>
      </w:pPr>
      <w:r>
        <w:t xml:space="preserve">independent confirmation; and</w:t>
      </w:r>
    </w:p>
    <w:p>
      <w:pPr>
        <w:numPr>
          <w:ilvl w:val="0"/>
          <w:numId w:val="1011"/>
        </w:numPr>
        <w:pStyle w:val="Compact"/>
      </w:pPr>
      <w:r>
        <w:t xml:space="preserve">documented chain of custody.</w:t>
      </w:r>
    </w:p>
    <w:p>
      <w:pPr>
        <w:pStyle w:val="FirstParagraph"/>
      </w:pPr>
      <w:r>
        <w:t xml:space="preserve">A hash helps detect file changes after hashing; it does not prove the original content was accurate or complete.</w:t>
      </w:r>
    </w:p>
    <w:bookmarkEnd w:id="48"/>
    <w:bookmarkStart w:id="49" w:name="chain-of-custody"/>
    <w:p>
      <w:pPr>
        <w:pStyle w:val="Heading2"/>
      </w:pPr>
      <w:r>
        <w:t xml:space="preserve">3.8 Chain of custody</w:t>
      </w:r>
    </w:p>
    <w:p>
      <w:pPr>
        <w:pStyle w:val="FirstParagraph"/>
      </w:pPr>
      <w:r>
        <w:t xml:space="preserve">For high-risk, investigative, legal, or forensic material, record every transfer, handler, time, location, purpose, action, and integrity check. Use sealed or access-controlled storage and preserve originals. Escalate immediately if custody or integrity is uncertain.</w:t>
      </w:r>
    </w:p>
    <w:bookmarkEnd w:id="49"/>
    <w:bookmarkStart w:id="50" w:name="confidentiality-and-minimization"/>
    <w:p>
      <w:pPr>
        <w:pStyle w:val="Heading2"/>
      </w:pPr>
      <w:r>
        <w:t xml:space="preserve">3.9 Confidentiality and minimization</w:t>
      </w:r>
    </w:p>
    <w:p>
      <w:pPr>
        <w:pStyle w:val="FirstParagraph"/>
      </w:pPr>
      <w:r>
        <w:t xml:space="preserve">Collect the minimum evidence necessary. Redact or tokenize personal data, secrets, credentials, private keys, health information, payment data, legal advice, and unrelated employee information when the assessment objective does not require disclosure. Never email unrestricted credentials or place sensitive evidence in personal storage.</w:t>
      </w:r>
    </w:p>
    <w:bookmarkEnd w:id="50"/>
    <w:bookmarkStart w:id="51" w:name="cross-border-and-third-party-evidence"/>
    <w:p>
      <w:pPr>
        <w:pStyle w:val="Heading2"/>
      </w:pPr>
      <w:r>
        <w:t xml:space="preserve">3.10 Cross-border and third-party evidence</w:t>
      </w:r>
    </w:p>
    <w:p>
      <w:pPr>
        <w:pStyle w:val="FirstParagraph"/>
      </w:pPr>
      <w:r>
        <w:t xml:space="preserve">Confirm contractual rights, data residency, transfer restrictions, confidentiality obligations, regulator requirements, and third-party consent before collection or disclosure. Record any limitation that prevents direct access and the alternative assurance obtained.</w:t>
      </w:r>
    </w:p>
    <w:p>
      <w:r>
        <w:pict>
          <v:rect style="width:0;height:1.5pt" o:hralign="center" o:hrstd="t" o:hr="t"/>
        </w:pict>
      </w:r>
    </w:p>
    <w:bookmarkEnd w:id="51"/>
    <w:bookmarkEnd w:id="52"/>
    <w:bookmarkStart w:id="61" w:name="review-sampling-and-conclusions"/>
    <w:p>
      <w:pPr>
        <w:pStyle w:val="Heading1"/>
      </w:pPr>
      <w:r>
        <w:t xml:space="preserve">4. Review, Sampling, and Conclusions</w:t>
      </w:r>
    </w:p>
    <w:bookmarkStart w:id="53" w:name="review-sequence"/>
    <w:p>
      <w:pPr>
        <w:pStyle w:val="Heading2"/>
      </w:pPr>
      <w:r>
        <w:t xml:space="preserve">4.1 Review sequence</w:t>
      </w:r>
    </w:p>
    <w:p>
      <w:pPr>
        <w:pStyle w:val="FirstParagraph"/>
      </w:pPr>
      <w:r>
        <w:t xml:space="preserve">For each submission, the reviewer should determine:</w:t>
      </w:r>
    </w:p>
    <w:p>
      <w:pPr>
        <w:numPr>
          <w:ilvl w:val="0"/>
          <w:numId w:val="1012"/>
        </w:numPr>
        <w:pStyle w:val="Compact"/>
      </w:pPr>
      <w:r>
        <w:t xml:space="preserve">Does it answer the request and criterion?</w:t>
      </w:r>
    </w:p>
    <w:p>
      <w:pPr>
        <w:numPr>
          <w:ilvl w:val="0"/>
          <w:numId w:val="1012"/>
        </w:numPr>
        <w:pStyle w:val="Compact"/>
      </w:pPr>
      <w:r>
        <w:t xml:space="preserve">Is the source authoritative and identifiable?</w:t>
      </w:r>
    </w:p>
    <w:p>
      <w:pPr>
        <w:numPr>
          <w:ilvl w:val="0"/>
          <w:numId w:val="1012"/>
        </w:numPr>
        <w:pStyle w:val="Compact"/>
      </w:pPr>
      <w:r>
        <w:t xml:space="preserve">Does it cover the correct entity, system, period, population, and control frequency?</w:t>
      </w:r>
    </w:p>
    <w:p>
      <w:pPr>
        <w:numPr>
          <w:ilvl w:val="0"/>
          <w:numId w:val="1012"/>
        </w:numPr>
        <w:pStyle w:val="Compact"/>
      </w:pPr>
      <w:r>
        <w:t xml:space="preserve">Is the evidence complete, authentic, protected, and internally consistent?</w:t>
      </w:r>
    </w:p>
    <w:p>
      <w:pPr>
        <w:numPr>
          <w:ilvl w:val="0"/>
          <w:numId w:val="1012"/>
        </w:numPr>
        <w:pStyle w:val="Compact"/>
      </w:pPr>
      <w:r>
        <w:t xml:space="preserve">Can the result be corroborated or reproduced?</w:t>
      </w:r>
    </w:p>
    <w:p>
      <w:pPr>
        <w:numPr>
          <w:ilvl w:val="0"/>
          <w:numId w:val="1012"/>
        </w:numPr>
        <w:pStyle w:val="Compact"/>
      </w:pPr>
      <w:r>
        <w:t xml:space="preserve">Are exceptions, gaps, assumptions, and limitations recorded?</w:t>
      </w:r>
    </w:p>
    <w:p>
      <w:pPr>
        <w:numPr>
          <w:ilvl w:val="0"/>
          <w:numId w:val="1012"/>
        </w:numPr>
        <w:pStyle w:val="Compact"/>
      </w:pPr>
      <w:r>
        <w:t xml:space="preserve">Is additional evidence required before a conclusion can be reached?</w:t>
      </w:r>
    </w:p>
    <w:bookmarkEnd w:id="53"/>
    <w:bookmarkStart w:id="54" w:name="evidence-review-outcomes"/>
    <w:p>
      <w:pPr>
        <w:pStyle w:val="Heading2"/>
      </w:pPr>
      <w:r>
        <w:t xml:space="preserve">4.2 Evidence review outcomes</w:t>
      </w:r>
    </w:p>
    <w:p>
      <w:pPr>
        <w:pStyle w:val="FirstParagraph"/>
      </w:pPr>
      <w:r>
        <w:t xml:space="preserve">Use controlled outcomes such as:</w:t>
      </w:r>
    </w:p>
    <w:p>
      <w:pPr>
        <w:numPr>
          <w:ilvl w:val="0"/>
          <w:numId w:val="1013"/>
        </w:numPr>
        <w:pStyle w:val="Compact"/>
      </w:pPr>
      <w:r>
        <w:t xml:space="preserve">accepted;</w:t>
      </w:r>
    </w:p>
    <w:p>
      <w:pPr>
        <w:numPr>
          <w:ilvl w:val="0"/>
          <w:numId w:val="1013"/>
        </w:numPr>
        <w:pStyle w:val="Compact"/>
      </w:pPr>
      <w:r>
        <w:t xml:space="preserve">accepted with limitation;</w:t>
      </w:r>
    </w:p>
    <w:p>
      <w:pPr>
        <w:numPr>
          <w:ilvl w:val="0"/>
          <w:numId w:val="1013"/>
        </w:numPr>
        <w:pStyle w:val="Compact"/>
      </w:pPr>
      <w:r>
        <w:t xml:space="preserve">clarification required;</w:t>
      </w:r>
    </w:p>
    <w:p>
      <w:pPr>
        <w:numPr>
          <w:ilvl w:val="0"/>
          <w:numId w:val="1013"/>
        </w:numPr>
        <w:pStyle w:val="Compact"/>
      </w:pPr>
      <w:r>
        <w:t xml:space="preserve">additional evidence required;</w:t>
      </w:r>
    </w:p>
    <w:p>
      <w:pPr>
        <w:numPr>
          <w:ilvl w:val="0"/>
          <w:numId w:val="1013"/>
        </w:numPr>
        <w:pStyle w:val="Compact"/>
      </w:pPr>
      <w:r>
        <w:t xml:space="preserve">replacement required;</w:t>
      </w:r>
    </w:p>
    <w:p>
      <w:pPr>
        <w:numPr>
          <w:ilvl w:val="0"/>
          <w:numId w:val="1013"/>
        </w:numPr>
        <w:pStyle w:val="Compact"/>
      </w:pPr>
      <w:r>
        <w:t xml:space="preserve">not applicable with approved rationale;</w:t>
      </w:r>
    </w:p>
    <w:p>
      <w:pPr>
        <w:numPr>
          <w:ilvl w:val="0"/>
          <w:numId w:val="1013"/>
        </w:numPr>
        <w:pStyle w:val="Compact"/>
      </w:pPr>
      <w:r>
        <w:t xml:space="preserve">rejected; and</w:t>
      </w:r>
    </w:p>
    <w:p>
      <w:pPr>
        <w:numPr>
          <w:ilvl w:val="0"/>
          <w:numId w:val="1013"/>
        </w:numPr>
        <w:pStyle w:val="Compact"/>
      </w:pPr>
      <w:r>
        <w:t xml:space="preserve">scope limitation.</w:t>
      </w:r>
    </w:p>
    <w:p>
      <w:pPr>
        <w:pStyle w:val="FirstParagraph"/>
      </w:pPr>
      <w:r>
        <w:t xml:space="preserve">The reviewer should record the basis for the outcome, not only the status.</w:t>
      </w:r>
    </w:p>
    <w:bookmarkEnd w:id="54"/>
    <w:bookmarkStart w:id="55" w:name="population-and-sampling"/>
    <w:p>
      <w:pPr>
        <w:pStyle w:val="Heading2"/>
      </w:pPr>
      <w:r>
        <w:t xml:space="preserve">4.3 Population and sampling</w:t>
      </w:r>
    </w:p>
    <w:p>
      <w:pPr>
        <w:pStyle w:val="FirstParagraph"/>
      </w:pPr>
      <w:r>
        <w:t xml:space="preserve">Define the population before selecting samples. Document:</w:t>
      </w:r>
    </w:p>
    <w:p>
      <w:pPr>
        <w:numPr>
          <w:ilvl w:val="0"/>
          <w:numId w:val="1014"/>
        </w:numPr>
        <w:pStyle w:val="Compact"/>
      </w:pPr>
      <w:r>
        <w:t xml:space="preserve">population source and owner;</w:t>
      </w:r>
    </w:p>
    <w:p>
      <w:pPr>
        <w:numPr>
          <w:ilvl w:val="0"/>
          <w:numId w:val="1014"/>
        </w:numPr>
        <w:pStyle w:val="Compact"/>
      </w:pPr>
      <w:r>
        <w:t xml:space="preserve">period covered;</w:t>
      </w:r>
    </w:p>
    <w:p>
      <w:pPr>
        <w:numPr>
          <w:ilvl w:val="0"/>
          <w:numId w:val="1014"/>
        </w:numPr>
        <w:pStyle w:val="Compact"/>
      </w:pPr>
      <w:r>
        <w:t xml:space="preserve">population count;</w:t>
      </w:r>
    </w:p>
    <w:p>
      <w:pPr>
        <w:numPr>
          <w:ilvl w:val="0"/>
          <w:numId w:val="1014"/>
        </w:numPr>
        <w:pStyle w:val="Compact"/>
      </w:pPr>
      <w:r>
        <w:t xml:space="preserve">inclusion and exclusion rules;</w:t>
      </w:r>
    </w:p>
    <w:p>
      <w:pPr>
        <w:numPr>
          <w:ilvl w:val="0"/>
          <w:numId w:val="1014"/>
        </w:numPr>
        <w:pStyle w:val="Compact"/>
      </w:pPr>
      <w:r>
        <w:t xml:space="preserve">stratification or risk factors;</w:t>
      </w:r>
    </w:p>
    <w:p>
      <w:pPr>
        <w:numPr>
          <w:ilvl w:val="0"/>
          <w:numId w:val="1014"/>
        </w:numPr>
        <w:pStyle w:val="Compact"/>
      </w:pPr>
      <w:r>
        <w:t xml:space="preserve">sampling method;</w:t>
      </w:r>
    </w:p>
    <w:p>
      <w:pPr>
        <w:numPr>
          <w:ilvl w:val="0"/>
          <w:numId w:val="1014"/>
        </w:numPr>
        <w:pStyle w:val="Compact"/>
      </w:pPr>
      <w:r>
        <w:t xml:space="preserve">sample size and rationale;</w:t>
      </w:r>
    </w:p>
    <w:p>
      <w:pPr>
        <w:numPr>
          <w:ilvl w:val="0"/>
          <w:numId w:val="1014"/>
        </w:numPr>
        <w:pStyle w:val="Compact"/>
      </w:pPr>
      <w:r>
        <w:t xml:space="preserve">random seed or selection procedure when applicable;</w:t>
      </w:r>
    </w:p>
    <w:p>
      <w:pPr>
        <w:numPr>
          <w:ilvl w:val="0"/>
          <w:numId w:val="1014"/>
        </w:numPr>
        <w:pStyle w:val="Compact"/>
      </w:pPr>
      <w:r>
        <w:t xml:space="preserve">replacements and reasons; and</w:t>
      </w:r>
    </w:p>
    <w:p>
      <w:pPr>
        <w:numPr>
          <w:ilvl w:val="0"/>
          <w:numId w:val="1014"/>
        </w:numPr>
        <w:pStyle w:val="Compact"/>
      </w:pPr>
      <w:r>
        <w:t xml:space="preserve">limitations affecting representativeness.</w:t>
      </w:r>
    </w:p>
    <w:p>
      <w:pPr>
        <w:pStyle w:val="FirstParagraph"/>
      </w:pPr>
      <w:r>
        <w:t xml:space="preserve">Sampling may be statistical or judgmental. Do not imply statistical confidence when a judgmental sample was used.</w:t>
      </w:r>
    </w:p>
    <w:bookmarkEnd w:id="55"/>
    <w:bookmarkStart w:id="56" w:name="sample-design-considerations"/>
    <w:p>
      <w:pPr>
        <w:pStyle w:val="Heading2"/>
      </w:pPr>
      <w:r>
        <w:t xml:space="preserve">4.4 Sample design considerations</w:t>
      </w:r>
    </w:p>
    <w:p>
      <w:pPr>
        <w:pStyle w:val="FirstParagraph"/>
      </w:pPr>
      <w:r>
        <w:t xml:space="preserve">Increase coverage when risk, materiality, control frequency, transaction volume, change, automation failure, prior findings, fraud exposure, or population variability is high. Consider selecting:</w:t>
      </w:r>
    </w:p>
    <w:p>
      <w:pPr>
        <w:numPr>
          <w:ilvl w:val="0"/>
          <w:numId w:val="1015"/>
        </w:numPr>
        <w:pStyle w:val="Compact"/>
      </w:pPr>
      <w:r>
        <w:t xml:space="preserve">high-value or high-risk items;</w:t>
      </w:r>
    </w:p>
    <w:p>
      <w:pPr>
        <w:numPr>
          <w:ilvl w:val="0"/>
          <w:numId w:val="1015"/>
        </w:numPr>
        <w:pStyle w:val="Compact"/>
      </w:pPr>
      <w:r>
        <w:t xml:space="preserve">unusual or failed transactions;</w:t>
      </w:r>
    </w:p>
    <w:p>
      <w:pPr>
        <w:numPr>
          <w:ilvl w:val="0"/>
          <w:numId w:val="1015"/>
        </w:numPr>
        <w:pStyle w:val="Compact"/>
      </w:pPr>
      <w:r>
        <w:t xml:space="preserve">new systems or processes;</w:t>
      </w:r>
    </w:p>
    <w:p>
      <w:pPr>
        <w:numPr>
          <w:ilvl w:val="0"/>
          <w:numId w:val="1015"/>
        </w:numPr>
        <w:pStyle w:val="Compact"/>
      </w:pPr>
      <w:r>
        <w:t xml:space="preserve">different locations, business units, administrators, and time periods;</w:t>
      </w:r>
    </w:p>
    <w:p>
      <w:pPr>
        <w:numPr>
          <w:ilvl w:val="0"/>
          <w:numId w:val="1015"/>
        </w:numPr>
        <w:pStyle w:val="Compact"/>
      </w:pPr>
      <w:r>
        <w:t xml:space="preserve">items before and after major changes; and</w:t>
      </w:r>
    </w:p>
    <w:p>
      <w:pPr>
        <w:numPr>
          <w:ilvl w:val="0"/>
          <w:numId w:val="1015"/>
        </w:numPr>
        <w:pStyle w:val="Compact"/>
      </w:pPr>
      <w:r>
        <w:t xml:space="preserve">randomly selected ordinary items.</w:t>
      </w:r>
    </w:p>
    <w:bookmarkEnd w:id="56"/>
    <w:bookmarkStart w:id="57" w:name="exceptions"/>
    <w:p>
      <w:pPr>
        <w:pStyle w:val="Heading2"/>
      </w:pPr>
      <w:r>
        <w:t xml:space="preserve">4.5 Exceptions</w:t>
      </w:r>
    </w:p>
    <w:p>
      <w:pPr>
        <w:pStyle w:val="FirstParagraph"/>
      </w:pPr>
      <w:r>
        <w:t xml:space="preserve">An exception is a difference between the criterion and observed condition. Record:</w:t>
      </w:r>
    </w:p>
    <w:p>
      <w:pPr>
        <w:numPr>
          <w:ilvl w:val="0"/>
          <w:numId w:val="1016"/>
        </w:numPr>
        <w:pStyle w:val="Compact"/>
      </w:pPr>
      <w:r>
        <w:t xml:space="preserve">sample or population identifier;</w:t>
      </w:r>
    </w:p>
    <w:p>
      <w:pPr>
        <w:numPr>
          <w:ilvl w:val="0"/>
          <w:numId w:val="1016"/>
        </w:numPr>
        <w:pStyle w:val="Compact"/>
      </w:pPr>
      <w:r>
        <w:t xml:space="preserve">criterion;</w:t>
      </w:r>
    </w:p>
    <w:p>
      <w:pPr>
        <w:numPr>
          <w:ilvl w:val="0"/>
          <w:numId w:val="1016"/>
        </w:numPr>
        <w:pStyle w:val="Compact"/>
      </w:pPr>
      <w:r>
        <w:t xml:space="preserve">expected condition;</w:t>
      </w:r>
    </w:p>
    <w:p>
      <w:pPr>
        <w:numPr>
          <w:ilvl w:val="0"/>
          <w:numId w:val="1016"/>
        </w:numPr>
        <w:pStyle w:val="Compact"/>
      </w:pPr>
      <w:r>
        <w:t xml:space="preserve">observed condition;</w:t>
      </w:r>
    </w:p>
    <w:p>
      <w:pPr>
        <w:numPr>
          <w:ilvl w:val="0"/>
          <w:numId w:val="1016"/>
        </w:numPr>
        <w:pStyle w:val="Compact"/>
      </w:pPr>
      <w:r>
        <w:t xml:space="preserve">evidence reference;</w:t>
      </w:r>
    </w:p>
    <w:p>
      <w:pPr>
        <w:numPr>
          <w:ilvl w:val="0"/>
          <w:numId w:val="1016"/>
        </w:numPr>
        <w:pStyle w:val="Compact"/>
      </w:pPr>
      <w:r>
        <w:t xml:space="preserve">cause, when known;</w:t>
      </w:r>
    </w:p>
    <w:p>
      <w:pPr>
        <w:numPr>
          <w:ilvl w:val="0"/>
          <w:numId w:val="1016"/>
        </w:numPr>
        <w:pStyle w:val="Compact"/>
      </w:pPr>
      <w:r>
        <w:t xml:space="preserve">consequence or risk;</w:t>
      </w:r>
    </w:p>
    <w:p>
      <w:pPr>
        <w:numPr>
          <w:ilvl w:val="0"/>
          <w:numId w:val="1016"/>
        </w:numPr>
        <w:pStyle w:val="Compact"/>
      </w:pPr>
      <w:r>
        <w:t xml:space="preserve">whether the exception is isolated or systemic;</w:t>
      </w:r>
    </w:p>
    <w:p>
      <w:pPr>
        <w:numPr>
          <w:ilvl w:val="0"/>
          <w:numId w:val="1016"/>
        </w:numPr>
        <w:pStyle w:val="Compact"/>
      </w:pPr>
      <w:r>
        <w:t xml:space="preserve">compensating controls;</w:t>
      </w:r>
    </w:p>
    <w:p>
      <w:pPr>
        <w:numPr>
          <w:ilvl w:val="0"/>
          <w:numId w:val="1016"/>
        </w:numPr>
        <w:pStyle w:val="Compact"/>
      </w:pPr>
      <w:r>
        <w:t xml:space="preserve">owner response; and</w:t>
      </w:r>
    </w:p>
    <w:p>
      <w:pPr>
        <w:numPr>
          <w:ilvl w:val="0"/>
          <w:numId w:val="1016"/>
        </w:numPr>
        <w:pStyle w:val="Compact"/>
      </w:pPr>
      <w:r>
        <w:t xml:space="preserve">required follow-up.</w:t>
      </w:r>
    </w:p>
    <w:p>
      <w:pPr>
        <w:pStyle w:val="FirstParagraph"/>
      </w:pPr>
      <w:r>
        <w:t xml:space="preserve">Do not remove an exception from the record merely because it is corrected during the audit. Record the original condition and the verified remediation separately.</w:t>
      </w:r>
    </w:p>
    <w:bookmarkEnd w:id="57"/>
    <w:bookmarkStart w:id="58" w:name="corroboration"/>
    <w:p>
      <w:pPr>
        <w:pStyle w:val="Heading2"/>
      </w:pPr>
      <w:r>
        <w:t xml:space="preserve">4.6 Corroboration</w:t>
      </w:r>
    </w:p>
    <w:p>
      <w:pPr>
        <w:pStyle w:val="FirstParagraph"/>
      </w:pPr>
      <w:r>
        <w:t xml:space="preserve">Corroborate weak or high-risk evidence using another source, method, time period, or independent party. Examples include comparing policy requirements to system configuration, reconciling exports to source totals, observing a process described in an interview, or tracing a sample through initiation, approval, execution, and monitoring.</w:t>
      </w:r>
    </w:p>
    <w:bookmarkEnd w:id="58"/>
    <w:bookmarkStart w:id="59" w:name="conclusions"/>
    <w:p>
      <w:pPr>
        <w:pStyle w:val="Heading2"/>
      </w:pPr>
      <w:r>
        <w:t xml:space="preserve">4.7 Conclusions</w:t>
      </w:r>
    </w:p>
    <w:p>
      <w:pPr>
        <w:pStyle w:val="FirstParagraph"/>
      </w:pPr>
      <w:r>
        <w:t xml:space="preserve">Conclusions should state:</w:t>
      </w:r>
    </w:p>
    <w:p>
      <w:pPr>
        <w:numPr>
          <w:ilvl w:val="0"/>
          <w:numId w:val="1017"/>
        </w:numPr>
        <w:pStyle w:val="Compact"/>
      </w:pPr>
      <w:r>
        <w:t xml:space="preserve">the criterion and objective;</w:t>
      </w:r>
    </w:p>
    <w:p>
      <w:pPr>
        <w:numPr>
          <w:ilvl w:val="0"/>
          <w:numId w:val="1017"/>
        </w:numPr>
        <w:pStyle w:val="Compact"/>
      </w:pPr>
      <w:r>
        <w:t xml:space="preserve">scope and period;</w:t>
      </w:r>
    </w:p>
    <w:p>
      <w:pPr>
        <w:numPr>
          <w:ilvl w:val="0"/>
          <w:numId w:val="1017"/>
        </w:numPr>
        <w:pStyle w:val="Compact"/>
      </w:pPr>
      <w:r>
        <w:t xml:space="preserve">procedures performed;</w:t>
      </w:r>
    </w:p>
    <w:p>
      <w:pPr>
        <w:numPr>
          <w:ilvl w:val="0"/>
          <w:numId w:val="1017"/>
        </w:numPr>
        <w:pStyle w:val="Compact"/>
      </w:pPr>
      <w:r>
        <w:t xml:space="preserve">evidence reviewed;</w:t>
      </w:r>
    </w:p>
    <w:p>
      <w:pPr>
        <w:numPr>
          <w:ilvl w:val="0"/>
          <w:numId w:val="1017"/>
        </w:numPr>
        <w:pStyle w:val="Compact"/>
      </w:pPr>
      <w:r>
        <w:t xml:space="preserve">sample and population limitations;</w:t>
      </w:r>
    </w:p>
    <w:p>
      <w:pPr>
        <w:numPr>
          <w:ilvl w:val="0"/>
          <w:numId w:val="1017"/>
        </w:numPr>
        <w:pStyle w:val="Compact"/>
      </w:pPr>
      <w:r>
        <w:t xml:space="preserve">exceptions and their significance;</w:t>
      </w:r>
    </w:p>
    <w:p>
      <w:pPr>
        <w:numPr>
          <w:ilvl w:val="0"/>
          <w:numId w:val="1017"/>
        </w:numPr>
        <w:pStyle w:val="Compact"/>
      </w:pPr>
      <w:r>
        <w:t xml:space="preserve">compensating controls;</w:t>
      </w:r>
    </w:p>
    <w:p>
      <w:pPr>
        <w:numPr>
          <w:ilvl w:val="0"/>
          <w:numId w:val="1017"/>
        </w:numPr>
        <w:pStyle w:val="Compact"/>
      </w:pPr>
      <w:r>
        <w:t xml:space="preserve">unresolved disagreements;</w:t>
      </w:r>
    </w:p>
    <w:p>
      <w:pPr>
        <w:numPr>
          <w:ilvl w:val="0"/>
          <w:numId w:val="1017"/>
        </w:numPr>
        <w:pStyle w:val="Compact"/>
      </w:pPr>
      <w:r>
        <w:t xml:space="preserve">the reviewer’s conclusion; and</w:t>
      </w:r>
    </w:p>
    <w:p>
      <w:pPr>
        <w:numPr>
          <w:ilvl w:val="0"/>
          <w:numId w:val="1017"/>
        </w:numPr>
        <w:pStyle w:val="Compact"/>
      </w:pPr>
      <w:r>
        <w:t xml:space="preserve">required action or escalation.</w:t>
      </w:r>
    </w:p>
    <w:p>
      <w:pPr>
        <w:pStyle w:val="FirstParagraph"/>
      </w:pPr>
      <w:r>
        <w:t xml:space="preserve">Avoid absolute claims such as</w:t>
      </w:r>
      <w:r>
        <w:t xml:space="preserve"> </w:t>
      </w:r>
      <w:r>
        <w:t xml:space="preserve">“</w:t>
      </w:r>
      <w:r>
        <w:t xml:space="preserve">fully compliant</w:t>
      </w:r>
      <w:r>
        <w:t xml:space="preserve">”</w:t>
      </w:r>
      <w:r>
        <w:t xml:space="preserve"> </w:t>
      </w:r>
      <w:r>
        <w:t xml:space="preserve">or</w:t>
      </w:r>
      <w:r>
        <w:t xml:space="preserve"> </w:t>
      </w:r>
      <w:r>
        <w:t xml:space="preserve">“</w:t>
      </w:r>
      <w:r>
        <w:t xml:space="preserve">secure</w:t>
      </w:r>
      <w:r>
        <w:t xml:space="preserve">”</w:t>
      </w:r>
      <w:r>
        <w:t xml:space="preserve"> </w:t>
      </w:r>
      <w:r>
        <w:t xml:space="preserve">when the procedures and evidence support only a narrower conclusion.</w:t>
      </w:r>
    </w:p>
    <w:bookmarkEnd w:id="59"/>
    <w:bookmarkStart w:id="60" w:name="review-and-quality-control"/>
    <w:p>
      <w:pPr>
        <w:pStyle w:val="Heading2"/>
      </w:pPr>
      <w:r>
        <w:t xml:space="preserve">4.8 Review and quality control</w:t>
      </w:r>
    </w:p>
    <w:p>
      <w:pPr>
        <w:pStyle w:val="FirstParagraph"/>
      </w:pPr>
      <w:r>
        <w:t xml:space="preserve">Significant conclusions should receive supervisory review. The reviewer should confirm that workpapers are understandable without oral explanation, references resolve to retained evidence, calculations are correct, exceptions are traceable, and the conclusion follows from the evidence.</w:t>
      </w:r>
    </w:p>
    <w:p>
      <w:r>
        <w:pict>
          <v:rect style="width:0;height:1.5pt" o:hralign="center" o:hrstd="t" o:hr="t"/>
        </w:pict>
      </w:r>
    </w:p>
    <w:bookmarkEnd w:id="60"/>
    <w:bookmarkEnd w:id="61"/>
    <w:bookmarkStart w:id="71" w:name="auditor-coordination-and-remediation"/>
    <w:p>
      <w:pPr>
        <w:pStyle w:val="Heading1"/>
      </w:pPr>
      <w:r>
        <w:t xml:space="preserve">5. Auditor Coordination and Remediation</w:t>
      </w:r>
    </w:p>
    <w:bookmarkStart w:id="62" w:name="single-coordination-channel"/>
    <w:p>
      <w:pPr>
        <w:pStyle w:val="Heading2"/>
      </w:pPr>
      <w:r>
        <w:t xml:space="preserve">5.1 Single coordination channel</w:t>
      </w:r>
    </w:p>
    <w:p>
      <w:pPr>
        <w:pStyle w:val="FirstParagraph"/>
      </w:pPr>
      <w:r>
        <w:t xml:space="preserve">Use an evidence coordinator or controlled portal to route requests, submissions, questions, and status updates. This reduces duplicate requests, inconsistent answers, uncontrolled disclosure, and loss of audit history.</w:t>
      </w:r>
    </w:p>
    <w:bookmarkEnd w:id="62"/>
    <w:bookmarkStart w:id="63" w:name="opening-alignment"/>
    <w:p>
      <w:pPr>
        <w:pStyle w:val="Heading2"/>
      </w:pPr>
      <w:r>
        <w:t xml:space="preserve">5.2 Opening alignment</w:t>
      </w:r>
    </w:p>
    <w:p>
      <w:pPr>
        <w:pStyle w:val="FirstParagraph"/>
      </w:pPr>
      <w:r>
        <w:t xml:space="preserve">At the start of the engagement, confirm:</w:t>
      </w:r>
    </w:p>
    <w:p>
      <w:pPr>
        <w:numPr>
          <w:ilvl w:val="0"/>
          <w:numId w:val="1018"/>
        </w:numPr>
        <w:pStyle w:val="Compact"/>
      </w:pPr>
      <w:r>
        <w:t xml:space="preserve">scope and criteria;</w:t>
      </w:r>
    </w:p>
    <w:p>
      <w:pPr>
        <w:numPr>
          <w:ilvl w:val="0"/>
          <w:numId w:val="1018"/>
        </w:numPr>
        <w:pStyle w:val="Compact"/>
      </w:pPr>
      <w:r>
        <w:t xml:space="preserve">audit period and milestones;</w:t>
      </w:r>
    </w:p>
    <w:p>
      <w:pPr>
        <w:numPr>
          <w:ilvl w:val="0"/>
          <w:numId w:val="1018"/>
        </w:numPr>
        <w:pStyle w:val="Compact"/>
      </w:pPr>
      <w:r>
        <w:t xml:space="preserve">request and escalation process;</w:t>
      </w:r>
    </w:p>
    <w:p>
      <w:pPr>
        <w:numPr>
          <w:ilvl w:val="0"/>
          <w:numId w:val="1018"/>
        </w:numPr>
        <w:pStyle w:val="Compact"/>
      </w:pPr>
      <w:r>
        <w:t xml:space="preserve">secure evidence exchange method;</w:t>
      </w:r>
    </w:p>
    <w:p>
      <w:pPr>
        <w:numPr>
          <w:ilvl w:val="0"/>
          <w:numId w:val="1018"/>
        </w:numPr>
        <w:pStyle w:val="Compact"/>
      </w:pPr>
      <w:r>
        <w:t xml:space="preserve">expected response times;</w:t>
      </w:r>
    </w:p>
    <w:p>
      <w:pPr>
        <w:numPr>
          <w:ilvl w:val="0"/>
          <w:numId w:val="1018"/>
        </w:numPr>
        <w:pStyle w:val="Compact"/>
      </w:pPr>
      <w:r>
        <w:t xml:space="preserve">permitted evidence formats;</w:t>
      </w:r>
    </w:p>
    <w:p>
      <w:pPr>
        <w:numPr>
          <w:ilvl w:val="0"/>
          <w:numId w:val="1018"/>
        </w:numPr>
        <w:pStyle w:val="Compact"/>
      </w:pPr>
      <w:r>
        <w:t xml:space="preserve">sampling and walkthrough expectations;</w:t>
      </w:r>
    </w:p>
    <w:p>
      <w:pPr>
        <w:numPr>
          <w:ilvl w:val="0"/>
          <w:numId w:val="1018"/>
        </w:numPr>
        <w:pStyle w:val="Compact"/>
      </w:pPr>
      <w:r>
        <w:t xml:space="preserve">rules for privileged, regulated, personal, or restricted material;</w:t>
      </w:r>
    </w:p>
    <w:p>
      <w:pPr>
        <w:numPr>
          <w:ilvl w:val="0"/>
          <w:numId w:val="1018"/>
        </w:numPr>
        <w:pStyle w:val="Compact"/>
      </w:pPr>
      <w:r>
        <w:t xml:space="preserve">meeting cadence; and</w:t>
      </w:r>
    </w:p>
    <w:p>
      <w:pPr>
        <w:numPr>
          <w:ilvl w:val="0"/>
          <w:numId w:val="1018"/>
        </w:numPr>
        <w:pStyle w:val="Compact"/>
      </w:pPr>
      <w:r>
        <w:t xml:space="preserve">process for preliminary observations and factual corrections.</w:t>
      </w:r>
    </w:p>
    <w:bookmarkEnd w:id="63"/>
    <w:bookmarkStart w:id="64" w:name="clarifications"/>
    <w:p>
      <w:pPr>
        <w:pStyle w:val="Heading2"/>
      </w:pPr>
      <w:r>
        <w:t xml:space="preserve">5.3 Clarifications</w:t>
      </w:r>
    </w:p>
    <w:p>
      <w:pPr>
        <w:pStyle w:val="FirstParagraph"/>
      </w:pPr>
      <w:r>
        <w:t xml:space="preserve">When a request is ambiguous, ask the requester to clarify the criterion, period, population, system, and expected evidence. Do not guess and provide excessive data. Record agreed interpretations in the request log.</w:t>
      </w:r>
    </w:p>
    <w:bookmarkEnd w:id="64"/>
    <w:bookmarkStart w:id="65" w:name="auditor-access"/>
    <w:p>
      <w:pPr>
        <w:pStyle w:val="Heading2"/>
      </w:pPr>
      <w:r>
        <w:t xml:space="preserve">5.4 Auditor access</w:t>
      </w:r>
    </w:p>
    <w:p>
      <w:pPr>
        <w:pStyle w:val="FirstParagraph"/>
      </w:pPr>
      <w:r>
        <w:t xml:space="preserve">Prefer supervised demonstrations, read-only accounts, time-limited access, masked data, controlled exports, or secure virtual data rooms. Apply least privilege and monitor access. Never provide shared administrator credentials, personal credentials, private keys, or unrestricted production access.</w:t>
      </w:r>
    </w:p>
    <w:bookmarkEnd w:id="65"/>
    <w:bookmarkStart w:id="66" w:name="preliminary-observations"/>
    <w:p>
      <w:pPr>
        <w:pStyle w:val="Heading2"/>
      </w:pPr>
      <w:r>
        <w:t xml:space="preserve">5.5 Preliminary observations</w:t>
      </w:r>
    </w:p>
    <w:p>
      <w:pPr>
        <w:pStyle w:val="FirstParagraph"/>
      </w:pPr>
      <w:r>
        <w:t xml:space="preserve">A preliminary observation should identify the criterion, condition, evidence, risk, and affected scope. Management should distinguish factual corrections from disagreement with the auditor’s judgment. Corrections must be supported by evidence and must not rewrite history.</w:t>
      </w:r>
    </w:p>
    <w:bookmarkEnd w:id="66"/>
    <w:bookmarkStart w:id="67" w:name="management-responses"/>
    <w:p>
      <w:pPr>
        <w:pStyle w:val="Heading2"/>
      </w:pPr>
      <w:r>
        <w:t xml:space="preserve">5.6 Management responses</w:t>
      </w:r>
    </w:p>
    <w:p>
      <w:pPr>
        <w:pStyle w:val="FirstParagraph"/>
      </w:pPr>
      <w:r>
        <w:t xml:space="preserve">A complete response includes:</w:t>
      </w:r>
    </w:p>
    <w:p>
      <w:pPr>
        <w:numPr>
          <w:ilvl w:val="0"/>
          <w:numId w:val="1019"/>
        </w:numPr>
        <w:pStyle w:val="Compact"/>
      </w:pPr>
      <w:r>
        <w:t xml:space="preserve">agreement, partial agreement, or disagreement;</w:t>
      </w:r>
    </w:p>
    <w:p>
      <w:pPr>
        <w:numPr>
          <w:ilvl w:val="0"/>
          <w:numId w:val="1019"/>
        </w:numPr>
        <w:pStyle w:val="Compact"/>
      </w:pPr>
      <w:r>
        <w:t xml:space="preserve">factual context;</w:t>
      </w:r>
    </w:p>
    <w:p>
      <w:pPr>
        <w:numPr>
          <w:ilvl w:val="0"/>
          <w:numId w:val="1019"/>
        </w:numPr>
        <w:pStyle w:val="Compact"/>
      </w:pPr>
      <w:r>
        <w:t xml:space="preserve">root cause;</w:t>
      </w:r>
    </w:p>
    <w:p>
      <w:pPr>
        <w:numPr>
          <w:ilvl w:val="0"/>
          <w:numId w:val="1019"/>
        </w:numPr>
        <w:pStyle w:val="Compact"/>
      </w:pPr>
      <w:r>
        <w:t xml:space="preserve">risk assessment;</w:t>
      </w:r>
    </w:p>
    <w:p>
      <w:pPr>
        <w:numPr>
          <w:ilvl w:val="0"/>
          <w:numId w:val="1019"/>
        </w:numPr>
        <w:pStyle w:val="Compact"/>
      </w:pPr>
      <w:r>
        <w:t xml:space="preserve">immediate containment;</w:t>
      </w:r>
    </w:p>
    <w:p>
      <w:pPr>
        <w:numPr>
          <w:ilvl w:val="0"/>
          <w:numId w:val="1019"/>
        </w:numPr>
        <w:pStyle w:val="Compact"/>
      </w:pPr>
      <w:r>
        <w:t xml:space="preserve">corrective action;</w:t>
      </w:r>
    </w:p>
    <w:p>
      <w:pPr>
        <w:numPr>
          <w:ilvl w:val="0"/>
          <w:numId w:val="1019"/>
        </w:numPr>
        <w:pStyle w:val="Compact"/>
      </w:pPr>
      <w:r>
        <w:t xml:space="preserve">accountable owner;</w:t>
      </w:r>
    </w:p>
    <w:p>
      <w:pPr>
        <w:numPr>
          <w:ilvl w:val="0"/>
          <w:numId w:val="1019"/>
        </w:numPr>
        <w:pStyle w:val="Compact"/>
      </w:pPr>
      <w:r>
        <w:t xml:space="preserve">target date;</w:t>
      </w:r>
    </w:p>
    <w:p>
      <w:pPr>
        <w:numPr>
          <w:ilvl w:val="0"/>
          <w:numId w:val="1019"/>
        </w:numPr>
        <w:pStyle w:val="Compact"/>
      </w:pPr>
      <w:r>
        <w:t xml:space="preserve">resources and dependencies;</w:t>
      </w:r>
    </w:p>
    <w:p>
      <w:pPr>
        <w:numPr>
          <w:ilvl w:val="0"/>
          <w:numId w:val="1019"/>
        </w:numPr>
        <w:pStyle w:val="Compact"/>
      </w:pPr>
      <w:r>
        <w:t xml:space="preserve">interim controls;</w:t>
      </w:r>
    </w:p>
    <w:p>
      <w:pPr>
        <w:numPr>
          <w:ilvl w:val="0"/>
          <w:numId w:val="1019"/>
        </w:numPr>
        <w:pStyle w:val="Compact"/>
      </w:pPr>
      <w:r>
        <w:t xml:space="preserve">validation method; and</w:t>
      </w:r>
    </w:p>
    <w:p>
      <w:pPr>
        <w:numPr>
          <w:ilvl w:val="0"/>
          <w:numId w:val="1019"/>
        </w:numPr>
        <w:pStyle w:val="Compact"/>
      </w:pPr>
      <w:r>
        <w:t xml:space="preserve">evidence that will demonstrate closure.</w:t>
      </w:r>
    </w:p>
    <w:p>
      <w:pPr>
        <w:pStyle w:val="FirstParagraph"/>
      </w:pPr>
      <w:r>
        <w:t xml:space="preserve">Avoid responses that merely promise to</w:t>
      </w:r>
      <w:r>
        <w:t xml:space="preserve"> </w:t>
      </w:r>
      <w:r>
        <w:t xml:space="preserve">“</w:t>
      </w:r>
      <w:r>
        <w:t xml:space="preserve">review,</w:t>
      </w:r>
      <w:r>
        <w:t xml:space="preserve">”</w:t>
      </w:r>
      <w:r>
        <w:t xml:space="preserve"> </w:t>
      </w:r>
      <w:r>
        <w:t xml:space="preserve">“</w:t>
      </w:r>
      <w:r>
        <w:t xml:space="preserve">consider,</w:t>
      </w:r>
      <w:r>
        <w:t xml:space="preserve">”</w:t>
      </w:r>
      <w:r>
        <w:t xml:space="preserve"> </w:t>
      </w:r>
      <w:r>
        <w:t xml:space="preserve">or</w:t>
      </w:r>
      <w:r>
        <w:t xml:space="preserve"> </w:t>
      </w:r>
      <w:r>
        <w:t xml:space="preserve">“</w:t>
      </w:r>
      <w:r>
        <w:t xml:space="preserve">remind staff.</w:t>
      </w:r>
      <w:r>
        <w:t xml:space="preserve">”</w:t>
      </w:r>
    </w:p>
    <w:bookmarkEnd w:id="67"/>
    <w:bookmarkStart w:id="68" w:name="corrective-action-tracking"/>
    <w:p>
      <w:pPr>
        <w:pStyle w:val="Heading2"/>
      </w:pPr>
      <w:r>
        <w:t xml:space="preserve">5.7 Corrective-action tracking</w:t>
      </w:r>
    </w:p>
    <w:p>
      <w:pPr>
        <w:pStyle w:val="FirstParagraph"/>
      </w:pPr>
      <w:r>
        <w:t xml:space="preserve">Track each finding through:</w:t>
      </w:r>
    </w:p>
    <w:p>
      <w:pPr>
        <w:numPr>
          <w:ilvl w:val="0"/>
          <w:numId w:val="1020"/>
        </w:numPr>
        <w:pStyle w:val="Compact"/>
      </w:pPr>
      <w:r>
        <w:t xml:space="preserve">observation recorded;</w:t>
      </w:r>
    </w:p>
    <w:p>
      <w:pPr>
        <w:numPr>
          <w:ilvl w:val="0"/>
          <w:numId w:val="1020"/>
        </w:numPr>
        <w:pStyle w:val="Compact"/>
      </w:pPr>
      <w:r>
        <w:t xml:space="preserve">factual validation;</w:t>
      </w:r>
    </w:p>
    <w:p>
      <w:pPr>
        <w:numPr>
          <w:ilvl w:val="0"/>
          <w:numId w:val="1020"/>
        </w:numPr>
        <w:pStyle w:val="Compact"/>
      </w:pPr>
      <w:r>
        <w:t xml:space="preserve">risk rating agreed or formally disputed;</w:t>
      </w:r>
    </w:p>
    <w:p>
      <w:pPr>
        <w:numPr>
          <w:ilvl w:val="0"/>
          <w:numId w:val="1020"/>
        </w:numPr>
        <w:pStyle w:val="Compact"/>
      </w:pPr>
      <w:r>
        <w:t xml:space="preserve">action plan approved;</w:t>
      </w:r>
    </w:p>
    <w:p>
      <w:pPr>
        <w:numPr>
          <w:ilvl w:val="0"/>
          <w:numId w:val="1020"/>
        </w:numPr>
        <w:pStyle w:val="Compact"/>
      </w:pPr>
      <w:r>
        <w:t xml:space="preserve">implementation in progress;</w:t>
      </w:r>
    </w:p>
    <w:p>
      <w:pPr>
        <w:numPr>
          <w:ilvl w:val="0"/>
          <w:numId w:val="1020"/>
        </w:numPr>
        <w:pStyle w:val="Compact"/>
      </w:pPr>
      <w:r>
        <w:t xml:space="preserve">management evidence submitted;</w:t>
      </w:r>
    </w:p>
    <w:p>
      <w:pPr>
        <w:numPr>
          <w:ilvl w:val="0"/>
          <w:numId w:val="1020"/>
        </w:numPr>
        <w:pStyle w:val="Compact"/>
      </w:pPr>
      <w:r>
        <w:t xml:space="preserve">independent validation performed;</w:t>
      </w:r>
    </w:p>
    <w:p>
      <w:pPr>
        <w:numPr>
          <w:ilvl w:val="0"/>
          <w:numId w:val="1020"/>
        </w:numPr>
        <w:pStyle w:val="Compact"/>
      </w:pPr>
      <w:r>
        <w:t xml:space="preserve">closure approved; or</w:t>
      </w:r>
    </w:p>
    <w:p>
      <w:pPr>
        <w:numPr>
          <w:ilvl w:val="0"/>
          <w:numId w:val="1020"/>
        </w:numPr>
        <w:pStyle w:val="Compact"/>
      </w:pPr>
      <w:r>
        <w:t xml:space="preserve">risk formally accepted or escalated.</w:t>
      </w:r>
    </w:p>
    <w:p>
      <w:pPr>
        <w:pStyle w:val="FirstParagraph"/>
      </w:pPr>
      <w:r>
        <w:t xml:space="preserve">Revised dates and scope changes should preserve the original commitment and approval history.</w:t>
      </w:r>
    </w:p>
    <w:bookmarkEnd w:id="68"/>
    <w:bookmarkStart w:id="69" w:name="closure-evidence"/>
    <w:p>
      <w:pPr>
        <w:pStyle w:val="Heading2"/>
      </w:pPr>
      <w:r>
        <w:t xml:space="preserve">5.8 Closure evidence</w:t>
      </w:r>
    </w:p>
    <w:p>
      <w:pPr>
        <w:pStyle w:val="FirstParagraph"/>
      </w:pPr>
      <w:r>
        <w:t xml:space="preserve">Closure requires evidence that the agreed action was implemented and is operating effectively. Depending on the finding, this may require updated documentation, configuration evidence, completed populations, test results, training records, monitoring reports, or a period of sustained operation.</w:t>
      </w:r>
    </w:p>
    <w:p>
      <w:pPr>
        <w:pStyle w:val="BodyText"/>
      </w:pPr>
      <w:r>
        <w:t xml:space="preserve">A completed task does not automatically mean the underlying risk is reduced.</w:t>
      </w:r>
    </w:p>
    <w:bookmarkEnd w:id="69"/>
    <w:bookmarkStart w:id="70" w:name="disagreements-and-scope-limitations"/>
    <w:p>
      <w:pPr>
        <w:pStyle w:val="Heading2"/>
      </w:pPr>
      <w:r>
        <w:t xml:space="preserve">5.9 Disagreements and scope limitations</w:t>
      </w:r>
    </w:p>
    <w:p>
      <w:pPr>
        <w:pStyle w:val="FirstParagraph"/>
      </w:pPr>
      <w:r>
        <w:t xml:space="preserve">Document unresolved disagreements, unavailable evidence, access restrictions, management refusals, and timing constraints. Escalate them to the engagement sponsor or governance body. The final report should explain how the limitation affected procedures and confidence in the conclusion.</w:t>
      </w:r>
    </w:p>
    <w:p>
      <w:r>
        <w:pict>
          <v:rect style="width:0;height:1.5pt" o:hralign="center" o:hrstd="t" o:hr="t"/>
        </w:pict>
      </w:r>
    </w:p>
    <w:bookmarkEnd w:id="70"/>
    <w:bookmarkEnd w:id="71"/>
    <w:bookmarkStart w:id="81" w:name="X1e61d6d5521616ef37453506a99601e078f6f2f"/>
    <w:p>
      <w:pPr>
        <w:pStyle w:val="Heading1"/>
      </w:pPr>
      <w:r>
        <w:t xml:space="preserve">6. Retention, Closeout, and Continuous Improvement</w:t>
      </w:r>
    </w:p>
    <w:bookmarkStart w:id="72" w:name="evidence-repository"/>
    <w:p>
      <w:pPr>
        <w:pStyle w:val="Heading2"/>
      </w:pPr>
      <w:r>
        <w:t xml:space="preserve">6.1 Evidence repository</w:t>
      </w:r>
    </w:p>
    <w:p>
      <w:pPr>
        <w:pStyle w:val="FirstParagraph"/>
      </w:pPr>
      <w:r>
        <w:t xml:space="preserve">Use an approved repository with role-based access, encryption, version history, backup, logging, and retention controls. Organize evidence by engagement, criterion, request ID, and submission version. Do not depend on personal mailboxes, local downloads, chat attachments, or temporary links as the official record.</w:t>
      </w:r>
    </w:p>
    <w:bookmarkEnd w:id="72"/>
    <w:bookmarkStart w:id="73" w:name="file-naming-and-indexing"/>
    <w:p>
      <w:pPr>
        <w:pStyle w:val="Heading2"/>
      </w:pPr>
      <w:r>
        <w:t xml:space="preserve">6.2 File naming and indexing</w:t>
      </w:r>
    </w:p>
    <w:p>
      <w:pPr>
        <w:pStyle w:val="FirstParagraph"/>
      </w:pPr>
      <w:r>
        <w:t xml:space="preserve">A practical naming convention includes:</w:t>
      </w:r>
    </w:p>
    <w:p>
      <w:pPr>
        <w:pStyle w:val="BodyText"/>
      </w:pPr>
      <w:r>
        <w:rPr>
          <w:rStyle w:val="VerbatimChar"/>
        </w:rPr>
        <w:t xml:space="preserve">Engagement_RequestID_Criterion_Period_Source_Version</w:t>
      </w:r>
    </w:p>
    <w:p>
      <w:pPr>
        <w:pStyle w:val="BodyText"/>
      </w:pPr>
      <w:r>
        <w:t xml:space="preserve">The index should map each file to:</w:t>
      </w:r>
    </w:p>
    <w:p>
      <w:pPr>
        <w:numPr>
          <w:ilvl w:val="0"/>
          <w:numId w:val="1021"/>
        </w:numPr>
        <w:pStyle w:val="Compact"/>
      </w:pPr>
      <w:r>
        <w:t xml:space="preserve">request ID;</w:t>
      </w:r>
    </w:p>
    <w:p>
      <w:pPr>
        <w:numPr>
          <w:ilvl w:val="0"/>
          <w:numId w:val="1021"/>
        </w:numPr>
        <w:pStyle w:val="Compact"/>
      </w:pPr>
      <w:r>
        <w:t xml:space="preserve">criterion;</w:t>
      </w:r>
    </w:p>
    <w:p>
      <w:pPr>
        <w:numPr>
          <w:ilvl w:val="0"/>
          <w:numId w:val="1021"/>
        </w:numPr>
        <w:pStyle w:val="Compact"/>
      </w:pPr>
      <w:r>
        <w:t xml:space="preserve">evidence owner;</w:t>
      </w:r>
    </w:p>
    <w:p>
      <w:pPr>
        <w:numPr>
          <w:ilvl w:val="0"/>
          <w:numId w:val="1021"/>
        </w:numPr>
        <w:pStyle w:val="Compact"/>
      </w:pPr>
      <w:r>
        <w:t xml:space="preserve">source system;</w:t>
      </w:r>
    </w:p>
    <w:p>
      <w:pPr>
        <w:numPr>
          <w:ilvl w:val="0"/>
          <w:numId w:val="1021"/>
        </w:numPr>
        <w:pStyle w:val="Compact"/>
      </w:pPr>
      <w:r>
        <w:t xml:space="preserve">period;</w:t>
      </w:r>
    </w:p>
    <w:p>
      <w:pPr>
        <w:numPr>
          <w:ilvl w:val="0"/>
          <w:numId w:val="1021"/>
        </w:numPr>
        <w:pStyle w:val="Compact"/>
      </w:pPr>
      <w:r>
        <w:t xml:space="preserve">submission date;</w:t>
      </w:r>
    </w:p>
    <w:p>
      <w:pPr>
        <w:numPr>
          <w:ilvl w:val="0"/>
          <w:numId w:val="1021"/>
        </w:numPr>
        <w:pStyle w:val="Compact"/>
      </w:pPr>
      <w:r>
        <w:t xml:space="preserve">classification;</w:t>
      </w:r>
    </w:p>
    <w:p>
      <w:pPr>
        <w:numPr>
          <w:ilvl w:val="0"/>
          <w:numId w:val="1021"/>
        </w:numPr>
        <w:pStyle w:val="Compact"/>
      </w:pPr>
      <w:r>
        <w:t xml:space="preserve">reviewer;</w:t>
      </w:r>
    </w:p>
    <w:p>
      <w:pPr>
        <w:numPr>
          <w:ilvl w:val="0"/>
          <w:numId w:val="1021"/>
        </w:numPr>
        <w:pStyle w:val="Compact"/>
      </w:pPr>
      <w:r>
        <w:t xml:space="preserve">review outcome;</w:t>
      </w:r>
    </w:p>
    <w:p>
      <w:pPr>
        <w:numPr>
          <w:ilvl w:val="0"/>
          <w:numId w:val="1021"/>
        </w:numPr>
        <w:pStyle w:val="Compact"/>
      </w:pPr>
      <w:r>
        <w:t xml:space="preserve">finding or workpaper reference; and</w:t>
      </w:r>
    </w:p>
    <w:p>
      <w:pPr>
        <w:numPr>
          <w:ilvl w:val="0"/>
          <w:numId w:val="1021"/>
        </w:numPr>
        <w:pStyle w:val="Compact"/>
      </w:pPr>
      <w:r>
        <w:t xml:space="preserve">retention or disposal date.</w:t>
      </w:r>
    </w:p>
    <w:bookmarkEnd w:id="73"/>
    <w:bookmarkStart w:id="74" w:name="retention-schedule"/>
    <w:p>
      <w:pPr>
        <w:pStyle w:val="Heading2"/>
      </w:pPr>
      <w:r>
        <w:t xml:space="preserve">6.3 Retention schedule</w:t>
      </w:r>
    </w:p>
    <w:p>
      <w:pPr>
        <w:pStyle w:val="FirstParagraph"/>
      </w:pPr>
      <w:r>
        <w:t xml:space="preserve">Apply the organization’s records schedule, contractual obligations, regulator requirements, litigation holds, investigation needs, and audit methodology. Retain evidence no longer than justified, but do not destroy records subject to a legal hold, open investigation, regulatory preservation request, unresolved finding, or active appeal.</w:t>
      </w:r>
    </w:p>
    <w:p>
      <w:pPr>
        <w:pStyle w:val="BodyText"/>
      </w:pPr>
      <w:r>
        <w:t xml:space="preserve">The engagement record should identify the controlling retention rule and disposal authority.</w:t>
      </w:r>
    </w:p>
    <w:bookmarkEnd w:id="74"/>
    <w:bookmarkStart w:id="75" w:name="secure-disposal"/>
    <w:p>
      <w:pPr>
        <w:pStyle w:val="Heading2"/>
      </w:pPr>
      <w:r>
        <w:t xml:space="preserve">6.4 Secure disposal</w:t>
      </w:r>
    </w:p>
    <w:p>
      <w:pPr>
        <w:pStyle w:val="FirstParagraph"/>
      </w:pPr>
      <w:r>
        <w:t xml:space="preserve">When authorized retention expires:</w:t>
      </w:r>
    </w:p>
    <w:p>
      <w:pPr>
        <w:numPr>
          <w:ilvl w:val="0"/>
          <w:numId w:val="1022"/>
        </w:numPr>
        <w:pStyle w:val="Compact"/>
      </w:pPr>
      <w:r>
        <w:t xml:space="preserve">confirm no hold or unresolved dependency applies;</w:t>
      </w:r>
    </w:p>
    <w:p>
      <w:pPr>
        <w:numPr>
          <w:ilvl w:val="0"/>
          <w:numId w:val="1022"/>
        </w:numPr>
        <w:pStyle w:val="Compact"/>
      </w:pPr>
      <w:r>
        <w:t xml:space="preserve">obtain required approval;</w:t>
      </w:r>
    </w:p>
    <w:p>
      <w:pPr>
        <w:numPr>
          <w:ilvl w:val="0"/>
          <w:numId w:val="1022"/>
        </w:numPr>
        <w:pStyle w:val="Compact"/>
      </w:pPr>
      <w:r>
        <w:t xml:space="preserve">remove working copies and exported datasets;</w:t>
      </w:r>
    </w:p>
    <w:p>
      <w:pPr>
        <w:numPr>
          <w:ilvl w:val="0"/>
          <w:numId w:val="1022"/>
        </w:numPr>
        <w:pStyle w:val="Compact"/>
      </w:pPr>
      <w:r>
        <w:t xml:space="preserve">use an approved destruction method;</w:t>
      </w:r>
    </w:p>
    <w:p>
      <w:pPr>
        <w:numPr>
          <w:ilvl w:val="0"/>
          <w:numId w:val="1022"/>
        </w:numPr>
        <w:pStyle w:val="Compact"/>
      </w:pPr>
      <w:r>
        <w:t xml:space="preserve">preserve a disposal log; and</w:t>
      </w:r>
    </w:p>
    <w:p>
      <w:pPr>
        <w:numPr>
          <w:ilvl w:val="0"/>
          <w:numId w:val="1022"/>
        </w:numPr>
        <w:pStyle w:val="Compact"/>
      </w:pPr>
      <w:r>
        <w:t xml:space="preserve">verify deletion from collaboration sites and temporary transfer locations where feasible.</w:t>
      </w:r>
    </w:p>
    <w:bookmarkEnd w:id="75"/>
    <w:bookmarkStart w:id="76" w:name="engagement-closeout"/>
    <w:p>
      <w:pPr>
        <w:pStyle w:val="Heading2"/>
      </w:pPr>
      <w:r>
        <w:t xml:space="preserve">6.5 Engagement closeout</w:t>
      </w:r>
    </w:p>
    <w:p>
      <w:pPr>
        <w:pStyle w:val="FirstParagraph"/>
      </w:pPr>
      <w:r>
        <w:t xml:space="preserve">Before closing, confirm:</w:t>
      </w:r>
    </w:p>
    <w:p>
      <w:pPr>
        <w:numPr>
          <w:ilvl w:val="0"/>
          <w:numId w:val="1023"/>
        </w:numPr>
        <w:pStyle w:val="Compact"/>
      </w:pPr>
      <w:r>
        <w:t xml:space="preserve">all requests have a final status;</w:t>
      </w:r>
    </w:p>
    <w:p>
      <w:pPr>
        <w:numPr>
          <w:ilvl w:val="0"/>
          <w:numId w:val="1023"/>
        </w:numPr>
        <w:pStyle w:val="Compact"/>
      </w:pPr>
      <w:r>
        <w:t xml:space="preserve">accepted evidence is indexed and accessible;</w:t>
      </w:r>
    </w:p>
    <w:p>
      <w:pPr>
        <w:numPr>
          <w:ilvl w:val="0"/>
          <w:numId w:val="1023"/>
        </w:numPr>
        <w:pStyle w:val="Compact"/>
      </w:pPr>
      <w:r>
        <w:t xml:space="preserve">rejected and replaced submissions remain traceable when required;</w:t>
      </w:r>
    </w:p>
    <w:p>
      <w:pPr>
        <w:numPr>
          <w:ilvl w:val="0"/>
          <w:numId w:val="1023"/>
        </w:numPr>
        <w:pStyle w:val="Compact"/>
      </w:pPr>
      <w:r>
        <w:t xml:space="preserve">workpapers reference the correct evidence versions;</w:t>
      </w:r>
    </w:p>
    <w:p>
      <w:pPr>
        <w:numPr>
          <w:ilvl w:val="0"/>
          <w:numId w:val="1023"/>
        </w:numPr>
        <w:pStyle w:val="Compact"/>
      </w:pPr>
      <w:r>
        <w:t xml:space="preserve">findings and management responses are finalized;</w:t>
      </w:r>
    </w:p>
    <w:p>
      <w:pPr>
        <w:numPr>
          <w:ilvl w:val="0"/>
          <w:numId w:val="1023"/>
        </w:numPr>
        <w:pStyle w:val="Compact"/>
      </w:pPr>
      <w:r>
        <w:t xml:space="preserve">unresolved limitations are reported;</w:t>
      </w:r>
    </w:p>
    <w:p>
      <w:pPr>
        <w:numPr>
          <w:ilvl w:val="0"/>
          <w:numId w:val="1023"/>
        </w:numPr>
        <w:pStyle w:val="Compact"/>
      </w:pPr>
      <w:r>
        <w:t xml:space="preserve">corrective actions are transferred to the official tracker;</w:t>
      </w:r>
    </w:p>
    <w:p>
      <w:pPr>
        <w:numPr>
          <w:ilvl w:val="0"/>
          <w:numId w:val="1023"/>
        </w:numPr>
        <w:pStyle w:val="Compact"/>
      </w:pPr>
      <w:r>
        <w:t xml:space="preserve">access rights are removed or reduced;</w:t>
      </w:r>
    </w:p>
    <w:p>
      <w:pPr>
        <w:numPr>
          <w:ilvl w:val="0"/>
          <w:numId w:val="1023"/>
        </w:numPr>
        <w:pStyle w:val="Compact"/>
      </w:pPr>
      <w:r>
        <w:t xml:space="preserve">temporary sharing links expire;</w:t>
      </w:r>
    </w:p>
    <w:p>
      <w:pPr>
        <w:numPr>
          <w:ilvl w:val="0"/>
          <w:numId w:val="1023"/>
        </w:numPr>
        <w:pStyle w:val="Compact"/>
      </w:pPr>
      <w:r>
        <w:t xml:space="preserve">retention and disposal dates are assigned; and</w:t>
      </w:r>
    </w:p>
    <w:p>
      <w:pPr>
        <w:numPr>
          <w:ilvl w:val="0"/>
          <w:numId w:val="1023"/>
        </w:numPr>
        <w:pStyle w:val="Compact"/>
      </w:pPr>
      <w:r>
        <w:t xml:space="preserve">lessons learned are recorded.</w:t>
      </w:r>
    </w:p>
    <w:bookmarkEnd w:id="76"/>
    <w:bookmarkStart w:id="77" w:name="metrics"/>
    <w:p>
      <w:pPr>
        <w:pStyle w:val="Heading2"/>
      </w:pPr>
      <w:r>
        <w:t xml:space="preserve">6.6 Metrics</w:t>
      </w:r>
    </w:p>
    <w:p>
      <w:pPr>
        <w:pStyle w:val="FirstParagraph"/>
      </w:pPr>
      <w:r>
        <w:t xml:space="preserve">Useful measures include:</w:t>
      </w:r>
    </w:p>
    <w:p>
      <w:pPr>
        <w:numPr>
          <w:ilvl w:val="0"/>
          <w:numId w:val="1024"/>
        </w:numPr>
        <w:pStyle w:val="Compact"/>
      </w:pPr>
      <w:r>
        <w:t xml:space="preserve">requests issued, accepted, rejected, overdue, and reopened;</w:t>
      </w:r>
    </w:p>
    <w:p>
      <w:pPr>
        <w:numPr>
          <w:ilvl w:val="0"/>
          <w:numId w:val="1024"/>
        </w:numPr>
        <w:pStyle w:val="Compact"/>
      </w:pPr>
      <w:r>
        <w:t xml:space="preserve">average time to acknowledge, submit, review, and close;</w:t>
      </w:r>
    </w:p>
    <w:p>
      <w:pPr>
        <w:numPr>
          <w:ilvl w:val="0"/>
          <w:numId w:val="1024"/>
        </w:numPr>
        <w:pStyle w:val="Compact"/>
      </w:pPr>
      <w:r>
        <w:t xml:space="preserve">first-pass acceptance rate;</w:t>
      </w:r>
    </w:p>
    <w:p>
      <w:pPr>
        <w:numPr>
          <w:ilvl w:val="0"/>
          <w:numId w:val="1024"/>
        </w:numPr>
        <w:pStyle w:val="Compact"/>
      </w:pPr>
      <w:r>
        <w:t xml:space="preserve">duplicate-request rate;</w:t>
      </w:r>
    </w:p>
    <w:p>
      <w:pPr>
        <w:numPr>
          <w:ilvl w:val="0"/>
          <w:numId w:val="1024"/>
        </w:numPr>
        <w:pStyle w:val="Compact"/>
      </w:pPr>
      <w:r>
        <w:t xml:space="preserve">number of confidentiality or access incidents;</w:t>
      </w:r>
    </w:p>
    <w:p>
      <w:pPr>
        <w:numPr>
          <w:ilvl w:val="0"/>
          <w:numId w:val="1024"/>
        </w:numPr>
        <w:pStyle w:val="Compact"/>
      </w:pPr>
      <w:r>
        <w:t xml:space="preserve">percentage of evidence from authoritative systems;</w:t>
      </w:r>
    </w:p>
    <w:p>
      <w:pPr>
        <w:numPr>
          <w:ilvl w:val="0"/>
          <w:numId w:val="1024"/>
        </w:numPr>
        <w:pStyle w:val="Compact"/>
      </w:pPr>
      <w:r>
        <w:t xml:space="preserve">percentage of findings with complete action plans;</w:t>
      </w:r>
    </w:p>
    <w:p>
      <w:pPr>
        <w:numPr>
          <w:ilvl w:val="0"/>
          <w:numId w:val="1024"/>
        </w:numPr>
        <w:pStyle w:val="Compact"/>
      </w:pPr>
      <w:r>
        <w:t xml:space="preserve">overdue corrective actions;</w:t>
      </w:r>
    </w:p>
    <w:p>
      <w:pPr>
        <w:numPr>
          <w:ilvl w:val="0"/>
          <w:numId w:val="1024"/>
        </w:numPr>
        <w:pStyle w:val="Compact"/>
      </w:pPr>
      <w:r>
        <w:t xml:space="preserve">recurrence of prior findings; and</w:t>
      </w:r>
    </w:p>
    <w:p>
      <w:pPr>
        <w:numPr>
          <w:ilvl w:val="0"/>
          <w:numId w:val="1024"/>
        </w:numPr>
        <w:pStyle w:val="Compact"/>
      </w:pPr>
      <w:r>
        <w:t xml:space="preserve">reviewer quality-control corrections.</w:t>
      </w:r>
    </w:p>
    <w:p>
      <w:pPr>
        <w:pStyle w:val="FirstParagraph"/>
      </w:pPr>
      <w:r>
        <w:t xml:space="preserve">Metrics should improve the process, not reward premature acceptance or discourage legitimate challenge.</w:t>
      </w:r>
    </w:p>
    <w:bookmarkEnd w:id="77"/>
    <w:bookmarkStart w:id="78" w:name="lessons-learned"/>
    <w:p>
      <w:pPr>
        <w:pStyle w:val="Heading2"/>
      </w:pPr>
      <w:r>
        <w:t xml:space="preserve">6.7 Lessons learned</w:t>
      </w:r>
    </w:p>
    <w:p>
      <w:pPr>
        <w:pStyle w:val="FirstParagraph"/>
      </w:pPr>
      <w:r>
        <w:t xml:space="preserve">After each major engagement, document:</w:t>
      </w:r>
    </w:p>
    <w:p>
      <w:pPr>
        <w:numPr>
          <w:ilvl w:val="0"/>
          <w:numId w:val="1025"/>
        </w:numPr>
        <w:pStyle w:val="Compact"/>
      </w:pPr>
      <w:r>
        <w:t xml:space="preserve">unclear or excessive requests;</w:t>
      </w:r>
    </w:p>
    <w:p>
      <w:pPr>
        <w:numPr>
          <w:ilvl w:val="0"/>
          <w:numId w:val="1025"/>
        </w:numPr>
        <w:pStyle w:val="Compact"/>
      </w:pPr>
      <w:r>
        <w:t xml:space="preserve">recurring evidence-quality failures;</w:t>
      </w:r>
    </w:p>
    <w:p>
      <w:pPr>
        <w:numPr>
          <w:ilvl w:val="0"/>
          <w:numId w:val="1025"/>
        </w:numPr>
        <w:pStyle w:val="Compact"/>
      </w:pPr>
      <w:r>
        <w:t xml:space="preserve">system limitations;</w:t>
      </w:r>
    </w:p>
    <w:p>
      <w:pPr>
        <w:numPr>
          <w:ilvl w:val="0"/>
          <w:numId w:val="1025"/>
        </w:numPr>
        <w:pStyle w:val="Compact"/>
      </w:pPr>
      <w:r>
        <w:t xml:space="preserve">unnecessary manual work;</w:t>
      </w:r>
    </w:p>
    <w:p>
      <w:pPr>
        <w:numPr>
          <w:ilvl w:val="0"/>
          <w:numId w:val="1025"/>
        </w:numPr>
        <w:pStyle w:val="Compact"/>
      </w:pPr>
      <w:r>
        <w:t xml:space="preserve">access or confidentiality problems;</w:t>
      </w:r>
    </w:p>
    <w:p>
      <w:pPr>
        <w:numPr>
          <w:ilvl w:val="0"/>
          <w:numId w:val="1025"/>
        </w:numPr>
        <w:pStyle w:val="Compact"/>
      </w:pPr>
      <w:r>
        <w:t xml:space="preserve">repeated control-owner confusion;</w:t>
      </w:r>
    </w:p>
    <w:p>
      <w:pPr>
        <w:numPr>
          <w:ilvl w:val="0"/>
          <w:numId w:val="1025"/>
        </w:numPr>
        <w:pStyle w:val="Compact"/>
      </w:pPr>
      <w:r>
        <w:t xml:space="preserve">opportunities for reusable reports or automated evidence; and</w:t>
      </w:r>
    </w:p>
    <w:p>
      <w:pPr>
        <w:numPr>
          <w:ilvl w:val="0"/>
          <w:numId w:val="1025"/>
        </w:numPr>
        <w:pStyle w:val="Compact"/>
      </w:pPr>
      <w:r>
        <w:t xml:space="preserve">changes required in policy, training, systems, or templates.</w:t>
      </w:r>
    </w:p>
    <w:bookmarkEnd w:id="78"/>
    <w:bookmarkStart w:id="79" w:name="continuous-evidence-readiness"/>
    <w:p>
      <w:pPr>
        <w:pStyle w:val="Heading2"/>
      </w:pPr>
      <w:r>
        <w:t xml:space="preserve">6.8 Continuous evidence readiness</w:t>
      </w:r>
    </w:p>
    <w:p>
      <w:pPr>
        <w:pStyle w:val="FirstParagraph"/>
      </w:pPr>
      <w:r>
        <w:t xml:space="preserve">Organizations should integrate evidence generation into normal operations. Control owners should know what records demonstrate performance, where they are retained, and how they are reviewed. Automated evidence collection may reduce effort, but it must preserve context, access control, integrity, source traceability, and human accountability.</w:t>
      </w:r>
    </w:p>
    <w:bookmarkEnd w:id="79"/>
    <w:bookmarkStart w:id="80" w:name="final-operating-principle"/>
    <w:p>
      <w:pPr>
        <w:pStyle w:val="Heading2"/>
      </w:pPr>
      <w:r>
        <w:t xml:space="preserve">6.9 Final operating principle</w:t>
      </w:r>
    </w:p>
    <w:p>
      <w:pPr>
        <w:pStyle w:val="FirstParagraph"/>
      </w:pPr>
      <w:r>
        <w:t xml:space="preserve">The objective is not to produce the largest evidence package. The objective is to produce a controlled, proportionate, traceable body of evidence that supports an honest conclusion and enables responsible action.</w:t>
      </w:r>
    </w:p>
    <w:p>
      <w:r>
        <w:pict>
          <v:rect style="width:0;height:1.5pt" o:hralign="center" o:hrstd="t" o:hr="t"/>
        </w:pict>
      </w:r>
    </w:p>
    <w:bookmarkEnd w:id="80"/>
    <w:bookmarkEnd w:id="81"/>
    <w:bookmarkStart w:id="82" w:name="appendix-a-operational-templates"/>
    <w:p>
      <w:pPr>
        <w:pStyle w:val="Heading1"/>
      </w:pPr>
      <w:r>
        <w:t xml:space="preserve">Appendix A — Operational Templates</w:t>
      </w:r>
    </w:p>
    <w:p>
      <w:pPr>
        <w:pStyle w:val="FirstParagraph"/>
      </w:pPr>
      <w:r>
        <w:t xml:space="preserve">The publication package includes the following editable CSV tools:</w:t>
      </w:r>
    </w:p>
    <w:p>
      <w:pPr>
        <w:numPr>
          <w:ilvl w:val="0"/>
          <w:numId w:val="1026"/>
        </w:numPr>
        <w:pStyle w:val="Compact"/>
      </w:pPr>
      <w:r>
        <w:rPr>
          <w:bCs/>
          <w:b/>
        </w:rPr>
        <w:t xml:space="preserve">Audit_Request_and_Response_Log.csv</w:t>
      </w:r>
      <w:r>
        <w:t xml:space="preserve"> </w:t>
      </w:r>
      <w:r>
        <w:t xml:space="preserve">— 21 fields.</w:t>
      </w:r>
    </w:p>
    <w:p>
      <w:pPr>
        <w:numPr>
          <w:ilvl w:val="0"/>
          <w:numId w:val="1026"/>
        </w:numPr>
        <w:pStyle w:val="Compact"/>
      </w:pPr>
      <w:r>
        <w:rPr>
          <w:bCs/>
          <w:b/>
        </w:rPr>
        <w:t xml:space="preserve">Corrective_Action_Tracker.csv</w:t>
      </w:r>
      <w:r>
        <w:t xml:space="preserve"> </w:t>
      </w:r>
      <w:r>
        <w:t xml:space="preserve">— 32 fields.</w:t>
      </w:r>
    </w:p>
    <w:p>
      <w:pPr>
        <w:numPr>
          <w:ilvl w:val="0"/>
          <w:numId w:val="1026"/>
        </w:numPr>
        <w:pStyle w:val="Compact"/>
      </w:pPr>
      <w:r>
        <w:rPr>
          <w:bCs/>
          <w:b/>
        </w:rPr>
        <w:t xml:space="preserve">Evidence_Quality_Review_Checklist.csv</w:t>
      </w:r>
      <w:r>
        <w:t xml:space="preserve"> </w:t>
      </w:r>
      <w:r>
        <w:t xml:space="preserve">— 36 fields.</w:t>
      </w:r>
    </w:p>
    <w:p>
      <w:pPr>
        <w:numPr>
          <w:ilvl w:val="0"/>
          <w:numId w:val="1026"/>
        </w:numPr>
        <w:pStyle w:val="Compact"/>
      </w:pPr>
      <w:r>
        <w:rPr>
          <w:bCs/>
          <w:b/>
        </w:rPr>
        <w:t xml:space="preserve">Evidence_Request_Tracker.csv</w:t>
      </w:r>
      <w:r>
        <w:t xml:space="preserve"> </w:t>
      </w:r>
      <w:r>
        <w:t xml:space="preserve">— 38 fields.</w:t>
      </w:r>
    </w:p>
    <w:bookmarkEnd w:id="82"/>
    <w:bookmarkStart w:id="85" w:name="authoritative-source-register"/>
    <w:p>
      <w:pPr>
        <w:pStyle w:val="Heading1"/>
      </w:pPr>
      <w:r>
        <w:t xml:space="preserve">Authoritative Source Register</w:t>
      </w:r>
    </w:p>
    <w:p>
      <w:pPr>
        <w:pStyle w:val="FirstParagraph"/>
      </w:pPr>
      <w:r>
        <w:t xml:space="preserve">Verified 1 August 2026.</w:t>
      </w:r>
    </w:p>
    <w:bookmarkStart w:id="83" w:name="primary-sources"/>
    <w:p>
      <w:pPr>
        <w:pStyle w:val="Heading2"/>
      </w:pPr>
      <w:r>
        <w:t xml:space="preserve">Primary sources</w:t>
      </w:r>
    </w:p>
    <w:p>
      <w:pPr>
        <w:numPr>
          <w:ilvl w:val="0"/>
          <w:numId w:val="1027"/>
        </w:numPr>
        <w:pStyle w:val="Compact"/>
      </w:pPr>
      <w:r>
        <w:rPr>
          <w:bCs/>
          <w:b/>
        </w:rPr>
        <w:t xml:space="preserve">NIST SP 800-53A Rev. 5 — Assessing Security and Privacy Controls in Information Systems and Organizations.</w:t>
      </w:r>
      <w:r>
        <w:t xml:space="preserve"> </w:t>
      </w:r>
      <w:r>
        <w:t xml:space="preserve">January 2022, with Release 5.2.0 assessment-procedure updates issued 27 August 2025. Provides customizable assessment procedures, assessment-plan guidance, and methods for analyzing assessment results.</w:t>
      </w:r>
    </w:p>
    <w:p>
      <w:pPr>
        <w:numPr>
          <w:ilvl w:val="0"/>
          <w:numId w:val="1027"/>
        </w:numPr>
        <w:pStyle w:val="Compact"/>
      </w:pPr>
      <w:r>
        <w:rPr>
          <w:bCs/>
          <w:b/>
        </w:rPr>
        <w:t xml:space="preserve">NIST SP 800-53 Rev. 5 — Security and Privacy Controls for Information Systems and Organizations.</w:t>
      </w:r>
      <w:r>
        <w:t xml:space="preserve"> </w:t>
      </w:r>
      <w:r>
        <w:t xml:space="preserve">September 2020, with Release 5.2.0 updates issued 27 August 2025. Provides the control objectives and assurance context against which evidence may be evaluated.</w:t>
      </w:r>
    </w:p>
    <w:p>
      <w:pPr>
        <w:numPr>
          <w:ilvl w:val="0"/>
          <w:numId w:val="1027"/>
        </w:numPr>
        <w:pStyle w:val="Compact"/>
      </w:pPr>
      <w:r>
        <w:rPr>
          <w:bCs/>
          <w:b/>
        </w:rPr>
        <w:t xml:space="preserve">ISO 19011:2026 — Guidelines for auditing management systems.</w:t>
      </w:r>
      <w:r>
        <w:t xml:space="preserve"> </w:t>
      </w:r>
      <w:r>
        <w:t xml:space="preserve">Edition 4, published May 2026. Supersedes the withdrawn ISO 19011:2018 edition and addresses audit principles, audit-program management, conducting audits, and auditor competence.</w:t>
      </w:r>
    </w:p>
    <w:p>
      <w:pPr>
        <w:numPr>
          <w:ilvl w:val="0"/>
          <w:numId w:val="1027"/>
        </w:numPr>
        <w:pStyle w:val="Compact"/>
      </w:pPr>
      <w:r>
        <w:rPr>
          <w:bCs/>
          <w:b/>
        </w:rPr>
        <w:t xml:space="preserve">U.S. GAO, Standards for Internal Control in the Federal Government (2025 Green Book), GAO-25-107721.</w:t>
      </w:r>
      <w:r>
        <w:t xml:space="preserve"> </w:t>
      </w:r>
      <w:r>
        <w:t xml:space="preserve">Published 15 May 2025 and effective beginning fiscal year 2026. Emphasizes documentation of risk assessment, control design, implementation, operation, and responses to significant change.</w:t>
      </w:r>
    </w:p>
    <w:p>
      <w:pPr>
        <w:numPr>
          <w:ilvl w:val="0"/>
          <w:numId w:val="1027"/>
        </w:numPr>
        <w:pStyle w:val="Compact"/>
      </w:pPr>
      <w:r>
        <w:rPr>
          <w:bCs/>
          <w:b/>
        </w:rPr>
        <w:t xml:space="preserve">The Institute of Internal Auditors, Global Internal Audit Standards.</w:t>
      </w:r>
      <w:r>
        <w:t xml:space="preserve"> </w:t>
      </w:r>
      <w:r>
        <w:t xml:space="preserve">Issued 9 January 2024 and effective 9 January 2025. Establishes principle-based requirements and examples of evidence of conformance for professional internal audit practice.</w:t>
      </w:r>
    </w:p>
    <w:bookmarkEnd w:id="83"/>
    <w:bookmarkStart w:id="84" w:name="source-control-rules"/>
    <w:p>
      <w:pPr>
        <w:pStyle w:val="Heading2"/>
      </w:pPr>
      <w:r>
        <w:t xml:space="preserve">Source-control rules</w:t>
      </w:r>
    </w:p>
    <w:p>
      <w:pPr>
        <w:numPr>
          <w:ilvl w:val="0"/>
          <w:numId w:val="1028"/>
        </w:numPr>
        <w:pStyle w:val="Compact"/>
      </w:pPr>
      <w:r>
        <w:t xml:space="preserve">Verify current versions before every major release.</w:t>
      </w:r>
    </w:p>
    <w:p>
      <w:pPr>
        <w:numPr>
          <w:ilvl w:val="0"/>
          <w:numId w:val="1028"/>
        </w:numPr>
        <w:pStyle w:val="Compact"/>
      </w:pPr>
      <w:r>
        <w:t xml:space="preserve">Distinguish mandatory criteria from guidance and examples.</w:t>
      </w:r>
    </w:p>
    <w:p>
      <w:pPr>
        <w:numPr>
          <w:ilvl w:val="0"/>
          <w:numId w:val="1028"/>
        </w:numPr>
        <w:pStyle w:val="Compact"/>
      </w:pPr>
      <w:r>
        <w:t xml:space="preserve">Do not reproduce copyrighted standards beyond permitted summaries and citations.</w:t>
      </w:r>
    </w:p>
    <w:p>
      <w:pPr>
        <w:numPr>
          <w:ilvl w:val="0"/>
          <w:numId w:val="1028"/>
        </w:numPr>
        <w:pStyle w:val="Compact"/>
      </w:pPr>
      <w:r>
        <w:t xml:space="preserve">Record the criterion, version, publication date, and access date in audit workpapers.</w:t>
      </w:r>
    </w:p>
    <w:p>
      <w:pPr>
        <w:numPr>
          <w:ilvl w:val="0"/>
          <w:numId w:val="1028"/>
        </w:numPr>
        <w:pStyle w:val="Compact"/>
      </w:pPr>
      <w:r>
        <w:t xml:space="preserve">When criteria conflict, escalate to the audit sponsor, legal counsel, compliance owner, or qualified specialist rather than silently selecting one.</w:t>
      </w:r>
    </w:p>
    <w:bookmarkEnd w:id="84"/>
    <w:bookmarkEnd w:id="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 Collection and Audit Support Practical Manual</dc:title>
  <dc:creator>Alberto Al Leiva</dc:creator>
  <cp:keywords/>
  <dcterms:created xsi:type="dcterms:W3CDTF">2026-08-01T17:29:39Z</dcterms:created>
  <dcterms:modified xsi:type="dcterms:W3CDTF">2026-08-01T17:29:39Z</dcterms:modified>
</cp:coreProperties>
</file>

<file path=docProps/custom.xml><?xml version="1.0" encoding="utf-8"?>
<Properties xmlns="http://schemas.openxmlformats.org/officeDocument/2006/custom-properties" xmlns:vt="http://schemas.openxmlformats.org/officeDocument/2006/docPropsVTypes"/>
</file>