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svg" ContentType="image/svg"/>
  <Override PartName="/word/media/image12.svg" ContentType="image/svg"/>
  <Override PartName="/word/media/image14.svg" ContentType="image/svg"/>
  <Override PartName="/word/media/image16.svg" ContentType="image/svg"/>
  <Override PartName="/word/media/image18.svg" ContentType="image/svg"/>
  <Override PartName="/word/media/image2.svg" ContentType="image/svg"/>
  <Override PartName="/word/media/image20.svg" ContentType="image/svg"/>
  <Override PartName="/word/media/image4.svg" ContentType="image/svg"/>
  <Override PartName="/word/media/image6.svg" ContentType="image/svg"/>
  <Override PartName="/word/media/image8.svg" ContentType="image/sv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left"/>
        <w:rPr/>
        <w:keepNext/>
      </w:pPr>
      <w:r>
        <w:rPr/>
        <w:t>Manual 02 — Implementación del Sistema de Gestión de IA ISO/IEC 42001</w:t>
      </w:r>
    </w:p>
    <w:p>
      <w:pPr>
        <w:pStyle w:val="Subtitle"/>
        <w:bidi w:val="0"/>
        <w:spacing w:before="60" w:after="120"/>
        <w:jc w:val="left"/>
        <w:rPr/>
        <w:keepNext/>
      </w:pPr>
      <w:r>
        <w:rPr/>
        <w:t>DRAFT — HUMAN SEMANTIC REVIEW REQUIRED</w:t>
      </w:r>
    </w:p>
    <w:p>
      <w:pPr>
        <w:pStyle w:val="Author"/>
        <w:bidi w:val="0"/>
        <w:jc w:val="center"/>
        <w:rPr/>
      </w:pPr>
      <w:r>
        <w:rPr/>
        <w:t>Alberto (Al) Leiva</w:t>
      </w:r>
    </w:p>
    <w:p>
      <w:pPr>
        <w:pStyle w:val="Date"/>
        <w:bidi w:val="0"/>
        <w:jc w:val="center"/>
        <w:rPr/>
      </w:pPr>
      <w:r>
        <w:rPr/>
        <w:t>2026-08-24</w:t>
      </w:r>
    </w:p>
    <w:sdt>
      <w:sdtPr>
        <w:docPartObj>
          <w:docPartGallery w:val="Table of Contents"/>
          <w:docPartUnique w:val="true"/>
        </w:docPartObj>
      </w:sdtPr>
      <w:sdtContent>
        <w:p>
          <w:pPr>
            <w:pStyle w:val="Normal"/>
            <w:bidi w:val="0"/>
            <w:rPr/>
          </w:pPr>
          <w:r>
            <w:fldChar w:fldCharType="begin"/>
          </w:r>
          <w:r>
            <w:rPr/>
            <w:instrText xml:space="preserve"> TOC \f \o "1-3" \h</w:instrText>
          </w:r>
          <w:r>
            <w:rPr/>
            <w:fldChar w:fldCharType="separate"/>
          </w:r>
          <w:r>
            <w:rPr/>
          </w:r>
          <w:r>
            <w:rPr/>
            <w:fldChar w:fldCharType="end"/>
          </w:r>
        </w:p>
      </w:sdtContent>
    </w:sdt>
    <w:p>
      <w:pPr>
        <w:pStyle w:val="BlockQuotation"/>
        <w:bidi w:val="0"/>
        <w:ind w:hanging="0" w:start="720" w:end="0"/>
        <w:rPr>
          <w:b/>
          <w:bCs/>
        </w:rPr>
      </w:pPr>
      <w:r>
        <w:rPr>
          <w:b/>
          <w:bCs/>
        </w:rPr>
        <w:t>Control de publicación: Este documento es un borrador derivado mecánicamente de los cuatro archivos fuente localizados de la rama indicada. Requiere revisión semántica humana. No es una traducción autorizada por ISO y su generación no demuestra certificación, conformidad, cumplimiento legal ni aseguramiento de auditoría. La asistencia de IA se utilizó conforme a la divulgación del repositorio; la autoría y responsabilidad humana permanecen con Alberto (Al) Leiva.</w:t>
      </w:r>
    </w:p>
    <w:p>
      <w:pPr>
        <w:pStyle w:val="BlockQuotation"/>
        <w:bidi w:val="0"/>
        <w:ind w:hanging="0" w:start="720" w:end="0"/>
        <w:rPr/>
      </w:pPr>
      <w:r>
        <w:rPr>
          <w:b/>
          <w:bCs/>
        </w:rPr>
        <w:t>Source control:</w:t>
      </w:r>
      <w:r>
        <w:rPr/>
        <w:t xml:space="preserve"> </w:t>
      </w:r>
      <w:r>
        <w:rPr>
          <w:rStyle w:val="SourceText"/>
        </w:rPr>
        <w:t>build/iso-iec-42001-manual-02-2026</w:t>
      </w:r>
      <w:r>
        <w:rPr/>
        <w:t xml:space="preserve"> @ </w:t>
      </w:r>
      <w:r>
        <w:rPr>
          <w:rStyle w:val="SourceText"/>
        </w:rPr>
        <w:t>647c88fa905a16cba4e3ec162a32aad56f48c58b</w:t>
      </w:r>
      <w:r>
        <w:rPr/>
        <w:t xml:space="preserve"> · 2026-08-24 · First Edition / v1.0</w:t>
      </w:r>
    </w:p>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Qué hace este manual:</w:t>
      </w:r>
      <w:r>
        <w:rPr/>
        <w:t xml:space="preserve"> Explica cómo establecer, implementar, operar, auditar, preparar para certificación y mejorar un sistema de gestión de inteligencia artificial. Desglosa las cláusulas 4–10, los nueve grupos de controles del Anexo A, la evaluación de riesgos e impactos, la Declaración de Aplicabilidad, la certificación, la evidencia, las herramientas, las decisiones de gestión y el trabajo del analista junior.</w:t>
      </w:r>
    </w:p>
    <w:p>
      <w:pPr>
        <w:pStyle w:val="Firstparagraph"/>
        <w:bidi w:val="0"/>
        <w:rPr>
          <w:b/>
          <w:bCs/>
        </w:rPr>
      </w:pPr>
      <w:r>
        <w:rPr>
          <w:b/>
          <w:bCs/>
        </w:rPr>
        <w:t>Alberto (Al) Leiva</w:t>
      </w:r>
    </w:p>
    <w:p>
      <w:pPr>
        <w:pStyle w:val="BodyText"/>
        <w:bidi w:val="0"/>
        <w:spacing w:before="86" w:after="86"/>
        <w:rPr/>
      </w:pPr>
      <w:r>
        <w:rPr/>
        <w:t>Primera edición • julio de 2026</w:t>
      </w:r>
    </w:p>
    <w:p>
      <w:pPr>
        <w:pStyle w:val="BlockQuotation"/>
        <w:bidi w:val="0"/>
        <w:ind w:hanging="0" w:start="720" w:end="0"/>
        <w:rPr/>
      </w:pPr>
      <w:r>
        <w:rPr>
          <w:b/>
          <w:bCs/>
        </w:rPr>
        <w:t>Estado de localización:</w:t>
      </w:r>
      <w:r>
        <w:rPr/>
        <w:t xml:space="preserve"> Fuente localizada en español de América Latina (</w:t>
      </w:r>
      <w:r>
        <w:rPr>
          <w:rStyle w:val="SourceText"/>
        </w:rPr>
        <w:t>es-419</w:t>
      </w:r>
      <w:r>
        <w:rPr/>
        <w:t>). Esta parte cubre los preliminares y los capítulos 1–8 del maestro controlado en inglés. Debe utilizarse junto con las demás partes localizadas hasta que se genere el maestro consolidado y los artefactos DOCX/PDF. No constituye una traducción oficial de ISO.</w:t>
      </w:r>
    </w:p>
    <w:p>
      <w:pPr>
        <w:pStyle w:val="Heading1"/>
        <w:tabs>
          <w:tab w:val="clear" w:pos="709"/>
          <w:tab w:val="left" w:pos="0" w:leader="none"/>
        </w:tabs>
        <w:bidi w:val="0"/>
        <w:ind w:hanging="0" w:start="0"/>
        <w:jc w:val="left"/>
        <w:rPr/>
        <w:keepNext/>
      </w:pPr>
      <w:bookmarkStart w:id="0" w:name="prefacio"/>
      <w:r>
        <w:rPr/>
        <w:t>Prefacio</w:t>
      </w:r>
      <w:bookmarkEnd w:id="0"/>
    </w:p>
    <w:p>
      <w:pPr>
        <w:pStyle w:val="Firstparagraph"/>
        <w:bidi w:val="0"/>
        <w:rPr/>
      </w:pPr>
      <w:r>
        <w:rPr/>
        <w:t>ISO/IEC 42001 ayuda a las organizaciones a gobernar la inteligencia artificial mediante un sistema de gestión de alcance organizacional. No certifica que cada resultado sea correcto ni que cada sistema de IA sea seguro. Exige liderazgo, contexto, planificación basada en riesgos, recursos, controles operacionales, evaluación del desempeño, acción correctiva y mejora continua en torno al desarrollo, provisión o uso responsable de sistemas de IA.</w:t>
      </w:r>
    </w:p>
    <w:p>
      <w:pPr>
        <w:pStyle w:val="BodyText"/>
        <w:bidi w:val="0"/>
        <w:spacing w:before="86" w:after="86"/>
        <w:rPr/>
      </w:pPr>
      <w:r>
        <w:rPr/>
        <w:t>Este manual explica los conceptos con redacción original y no reproduce la norma protegida por derechos de autor. Obtenga una copia autorizada de ISO/IEC 42001:2023 y de cualquier norma que utilice para implementación o auditoría. La certificación, las leyes, los deberes sectoriales, los contratos y el riesgo técnico deben evaluarse frente al alcance y los hechos reales de la organización.</w:t>
      </w:r>
    </w:p>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Nota sobre vigencia de la información:</w:t>
      </w:r>
      <w:r>
        <w:rPr/>
        <w:t xml:space="preserve"> Verificado el 24 de agosto de 2026. ISO/IEC 42001:2023 continúa siendo la norma publicada de requisitos para SGIA. ISO/IEC 42005:2025 proporciona orientación para la evaluación de impacto de sistemas de IA. ISO/IEC 42006:2025 añade requisitos para los organismos que auditan y certifican SGIA. ISO 19011:2026 es la guía vigente para auditorías de sistemas de gestión. ISO/IEC 42003 continúa como tema de trabajo aprobado e ISO/IEC 42007 ha avanzado a la etapa de borrador de norma internacional; ambas continúan en desarrollo y aquí no se tratan como requisitos.</w:t>
      </w:r>
    </w:p>
    <w:p>
      <w:pPr>
        <w:pStyle w:val="Heading2"/>
        <w:tabs>
          <w:tab w:val="clear" w:pos="709"/>
          <w:tab w:val="left" w:pos="0" w:leader="none"/>
        </w:tabs>
        <w:bidi w:val="0"/>
        <w:ind w:hanging="0" w:start="0"/>
        <w:jc w:val="left"/>
        <w:rPr/>
        <w:keepNext/>
      </w:pPr>
      <w:bookmarkStart w:id="1" w:name="cómo-utilizar-este-manual"/>
      <w:r>
        <w:rPr/>
        <w:t>Cómo utilizar este manual</w:t>
      </w:r>
      <w:bookmarkEnd w:id="1"/>
    </w:p>
    <w:p>
      <w:pPr>
        <w:pStyle w:val="BodyText"/>
        <w:numPr>
          <w:ilvl w:val="0"/>
          <w:numId w:val="2"/>
        </w:numPr>
        <w:bidi w:val="0"/>
        <w:spacing w:before="0" w:after="0"/>
        <w:rPr/>
      </w:pPr>
      <w:r>
        <w:rPr/>
        <w:t>Líderes y responsables del SGIA: comiencen por los capítulos 1–10, 16–20 y 29–31.</w:t>
      </w:r>
    </w:p>
    <w:p>
      <w:pPr>
        <w:pStyle w:val="BodyText"/>
        <w:numPr>
          <w:ilvl w:val="0"/>
          <w:numId w:val="2"/>
        </w:numPr>
        <w:bidi w:val="0"/>
        <w:spacing w:before="0" w:after="0"/>
        <w:rPr/>
      </w:pPr>
      <w:r>
        <w:rPr/>
        <w:t>Equipos de implementación y GRC: estudien el contenido en orden y utilicen todas las plantillas del capítulo 32.</w:t>
      </w:r>
    </w:p>
    <w:p>
      <w:pPr>
        <w:pStyle w:val="BodyText"/>
        <w:numPr>
          <w:ilvl w:val="0"/>
          <w:numId w:val="2"/>
        </w:numPr>
        <w:bidi w:val="0"/>
        <w:spacing w:before="0" w:after="0"/>
        <w:rPr/>
      </w:pPr>
      <w:r>
        <w:rPr/>
        <w:t>Equipos de IA, datos, producto, seguridad, privacidad y legal: concéntrense en los capítulos 6–15 y 20–28.</w:t>
      </w:r>
    </w:p>
    <w:p>
      <w:pPr>
        <w:pStyle w:val="BodyText"/>
        <w:numPr>
          <w:ilvl w:val="0"/>
          <w:numId w:val="2"/>
        </w:numPr>
        <w:bidi w:val="0"/>
        <w:spacing w:before="0" w:after="0"/>
        <w:rPr/>
      </w:pPr>
      <w:r>
        <w:rPr/>
        <w:t>Auditores internos: concéntrense en los capítulos 16–20 y 29, y después practiquen el laboratorio del capítulo 31.</w:t>
      </w:r>
    </w:p>
    <w:p>
      <w:pPr>
        <w:pStyle w:val="BodyText"/>
        <w:numPr>
          <w:ilvl w:val="0"/>
          <w:numId w:val="2"/>
        </w:numPr>
        <w:bidi w:val="0"/>
        <w:spacing w:before="0" w:after="0"/>
        <w:rPr/>
      </w:pPr>
      <w:r>
        <w:rPr/>
        <w:t>Analistas junior: aprendan la intención de las cláusulas, produzcan evidencia, redacten hallazgos y nunca afirmen una certificación ni autoridad de auditor que no posean.</w:t>
      </w:r>
    </w:p>
    <w:p>
      <w:pPr>
        <w:pStyle w:val="Heading1"/>
        <w:tabs>
          <w:tab w:val="clear" w:pos="709"/>
          <w:tab w:val="left" w:pos="0" w:leader="none"/>
        </w:tabs>
        <w:bidi w:val="0"/>
        <w:ind w:hanging="0" w:start="0"/>
        <w:jc w:val="left"/>
        <w:rPr/>
        <w:keepNext/>
      </w:pPr>
      <w:bookmarkStart w:id="2" w:name="tabla-de-contenido"/>
      <w:r>
        <w:rPr/>
        <w:t>Tabla de contenido</w:t>
      </w:r>
      <w:bookmarkEnd w:id="2"/>
    </w:p>
    <w:p>
      <w:pPr>
        <w:pStyle w:val="Firstparagraph"/>
        <w:bidi w:val="0"/>
        <w:rPr/>
      </w:pPr>
      <w:r>
        <w:rPr/>
        <w:t>El archivo fuente en Word contiene una tabla de contenido nativa y una guía permanente de capítulos con páginas. En esta edición Markdown localizada, la guía de capítulos conserva el orden del maestro controlado.</w:t>
      </w:r>
    </w:p>
    <w:p>
      <w:pPr>
        <w:pStyle w:val="Heading1"/>
        <w:tabs>
          <w:tab w:val="clear" w:pos="709"/>
          <w:tab w:val="left" w:pos="0" w:leader="none"/>
        </w:tabs>
        <w:bidi w:val="0"/>
        <w:ind w:hanging="0" w:start="0"/>
        <w:jc w:val="left"/>
        <w:rPr/>
        <w:keepNext/>
      </w:pPr>
      <w:bookmarkStart w:id="3" w:name="guía-de-capítulos"/>
      <w:r>
        <w:rPr/>
        <w:t>Guía de capítulos</w:t>
      </w:r>
      <w:bookmarkEnd w:id="3"/>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403"/>
        <w:gridCol w:w="2553"/>
        <w:gridCol w:w="3404"/>
      </w:tblGrid>
      <w:tr>
        <w:trPr>
          <w:tblHeader w:val="true"/>
          <w:cantSplit/>
        </w:trPr>
        <w:tc>
          <w:tcPr>
            <w:tcW w:w="3403" w:type="dxa"/>
            <w:tcBorders/>
            <w:vAlign w:val="center"/>
            <w:shd w:fill="1F4E78"/>
          </w:tcPr>
          <w:p>
            <w:pPr>
              <w:pStyle w:val="TableHeading"/>
              <w:bidi w:val="0"/>
              <w:spacing w:before="0" w:after="40"/>
              <w:jc w:val="end"/>
              <w:rPr>
                <w:b/>
                <w:bCs/>
              </w:rPr>
            </w:pPr>
            <w:r>
              <w:rPr>
                <w:b/>
                <w:bCs/>
                <w:sz w:val="19"/>
                <w:color w:val="FFFFFF"/>
              </w:rPr>
              <w:t>Capítulo</w:t>
            </w:r>
          </w:p>
        </w:tc>
        <w:tc>
          <w:tcPr>
            <w:tcW w:w="2553" w:type="dxa"/>
            <w:tcBorders/>
            <w:vAlign w:val="center"/>
            <w:shd w:fill="1F4E78"/>
          </w:tcPr>
          <w:p>
            <w:pPr>
              <w:pStyle w:val="TableHeading"/>
              <w:bidi w:val="0"/>
              <w:spacing w:before="0" w:after="40"/>
              <w:rPr>
                <w:b/>
                <w:bCs/>
              </w:rPr>
            </w:pPr>
            <w:r>
              <w:rPr>
                <w:b/>
                <w:bCs/>
                <w:sz w:val="19"/>
                <w:color w:val="FFFFFF"/>
              </w:rPr>
              <w:t>Título</w:t>
            </w:r>
          </w:p>
        </w:tc>
        <w:tc>
          <w:tcPr>
            <w:tcW w:w="3404" w:type="dxa"/>
            <w:tcBorders/>
            <w:vAlign w:val="center"/>
            <w:shd w:fill="1F4E78"/>
          </w:tcPr>
          <w:p>
            <w:pPr>
              <w:pStyle w:val="TableHeading"/>
              <w:bidi w:val="0"/>
              <w:spacing w:before="0" w:after="40"/>
              <w:jc w:val="end"/>
              <w:rPr>
                <w:b/>
                <w:bCs/>
              </w:rPr>
            </w:pPr>
            <w:r>
              <w:rPr>
                <w:b/>
                <w:bCs/>
                <w:sz w:val="19"/>
                <w:color w:val="FFFFFF"/>
              </w:rPr>
              <w:t>Página de inicio en el maestro inglés</w:t>
            </w:r>
          </w:p>
        </w:tc>
      </w:tr>
      <w:tr>
        <w:trPr>
          <w:cantSplit/>
        </w:trPr>
        <w:tc>
          <w:tcPr>
            <w:tcW w:w="3403" w:type="dxa"/>
            <w:tcBorders/>
            <w:vAlign w:val="center"/>
          </w:tcPr>
          <w:p>
            <w:pPr>
              <w:pStyle w:val="TableContents"/>
              <w:bidi w:val="0"/>
              <w:spacing w:before="0" w:after="40"/>
              <w:jc w:val="end"/>
              <w:rPr/>
            </w:pPr>
            <w:r>
              <w:rPr>
                <w:sz w:val="19"/>
              </w:rPr>
              <w:t>1</w:t>
            </w:r>
          </w:p>
        </w:tc>
        <w:tc>
          <w:tcPr>
            <w:tcW w:w="2553" w:type="dxa"/>
            <w:tcBorders/>
            <w:vAlign w:val="center"/>
          </w:tcPr>
          <w:p>
            <w:pPr>
              <w:pStyle w:val="TableContents"/>
              <w:suppressLineNumbers/>
              <w:bidi w:val="0"/>
              <w:spacing w:before="0" w:after="40"/>
              <w:ind w:hanging="0" w:start="43" w:end="43"/>
              <w:rPr/>
            </w:pPr>
            <w:r>
              <w:rPr>
                <w:sz w:val="19"/>
              </w:rPr>
              <w:t>ISO/IEC 42001 y el sistema de gestión de inteligencia artificial</w:t>
            </w:r>
          </w:p>
        </w:tc>
        <w:tc>
          <w:tcPr>
            <w:tcW w:w="3404" w:type="dxa"/>
            <w:tcBorders/>
            <w:vAlign w:val="center"/>
          </w:tcPr>
          <w:p>
            <w:pPr>
              <w:pStyle w:val="TableContents"/>
              <w:bidi w:val="0"/>
              <w:spacing w:before="0" w:after="40"/>
              <w:jc w:val="end"/>
              <w:rPr/>
            </w:pPr>
            <w:r>
              <w:rPr>
                <w:sz w:val="19"/>
              </w:rPr>
              <w:t>5</w:t>
            </w:r>
          </w:p>
        </w:tc>
      </w:tr>
      <w:tr>
        <w:trPr>
          <w:cantSplit/>
        </w:trPr>
        <w:tc>
          <w:tcPr>
            <w:tcW w:w="3403" w:type="dxa"/>
            <w:tcBorders/>
            <w:vAlign w:val="center"/>
          </w:tcPr>
          <w:p>
            <w:pPr>
              <w:pStyle w:val="TableContents"/>
              <w:bidi w:val="0"/>
              <w:spacing w:before="0" w:after="40"/>
              <w:jc w:val="end"/>
              <w:rPr/>
            </w:pPr>
            <w:r>
              <w:rPr>
                <w:sz w:val="19"/>
              </w:rPr>
              <w:t>2</w:t>
            </w:r>
          </w:p>
        </w:tc>
        <w:tc>
          <w:tcPr>
            <w:tcW w:w="2553" w:type="dxa"/>
            <w:tcBorders/>
            <w:vAlign w:val="center"/>
          </w:tcPr>
          <w:p>
            <w:pPr>
              <w:pStyle w:val="TableContents"/>
              <w:suppressLineNumbers/>
              <w:bidi w:val="0"/>
              <w:spacing w:before="0" w:after="40"/>
              <w:ind w:hanging="0" w:start="43" w:end="43"/>
              <w:rPr/>
            </w:pPr>
            <w:r>
              <w:rPr>
                <w:sz w:val="19"/>
              </w:rPr>
              <w:t>Arquitectura del SGIA y ciclo Planificar-Hacer-Verificar-Actuar</w:t>
            </w:r>
          </w:p>
        </w:tc>
        <w:tc>
          <w:tcPr>
            <w:tcW w:w="3404" w:type="dxa"/>
            <w:tcBorders/>
            <w:vAlign w:val="center"/>
          </w:tcPr>
          <w:p>
            <w:pPr>
              <w:pStyle w:val="TableContents"/>
              <w:bidi w:val="0"/>
              <w:spacing w:before="0" w:after="40"/>
              <w:jc w:val="end"/>
              <w:rPr/>
            </w:pPr>
            <w:r>
              <w:rPr>
                <w:sz w:val="19"/>
              </w:rPr>
              <w:t>6</w:t>
            </w:r>
          </w:p>
        </w:tc>
      </w:tr>
      <w:tr>
        <w:trPr>
          <w:cantSplit/>
        </w:trPr>
        <w:tc>
          <w:tcPr>
            <w:tcW w:w="3403" w:type="dxa"/>
            <w:tcBorders/>
            <w:vAlign w:val="center"/>
          </w:tcPr>
          <w:p>
            <w:pPr>
              <w:pStyle w:val="TableContents"/>
              <w:bidi w:val="0"/>
              <w:spacing w:before="0" w:after="40"/>
              <w:jc w:val="end"/>
              <w:rPr/>
            </w:pPr>
            <w:r>
              <w:rPr>
                <w:sz w:val="19"/>
              </w:rPr>
              <w:t>3</w:t>
            </w:r>
          </w:p>
        </w:tc>
        <w:tc>
          <w:tcPr>
            <w:tcW w:w="2553" w:type="dxa"/>
            <w:tcBorders/>
            <w:vAlign w:val="center"/>
          </w:tcPr>
          <w:p>
            <w:pPr>
              <w:pStyle w:val="TableContents"/>
              <w:suppressLineNumbers/>
              <w:bidi w:val="0"/>
              <w:spacing w:before="0" w:after="40"/>
              <w:ind w:hanging="0" w:start="43" w:end="43"/>
              <w:rPr/>
            </w:pPr>
            <w:r>
              <w:rPr>
                <w:sz w:val="19"/>
              </w:rPr>
              <w:t>Aplicabilidad, funciones organizacionales y hoja de ruta de implementación</w:t>
            </w:r>
          </w:p>
        </w:tc>
        <w:tc>
          <w:tcPr>
            <w:tcW w:w="3404" w:type="dxa"/>
            <w:tcBorders/>
            <w:vAlign w:val="center"/>
          </w:tcPr>
          <w:p>
            <w:pPr>
              <w:pStyle w:val="TableContents"/>
              <w:bidi w:val="0"/>
              <w:spacing w:before="0" w:after="40"/>
              <w:jc w:val="end"/>
              <w:rPr/>
            </w:pPr>
            <w:r>
              <w:rPr>
                <w:sz w:val="19"/>
              </w:rPr>
              <w:t>7</w:t>
            </w:r>
          </w:p>
        </w:tc>
      </w:tr>
      <w:tr>
        <w:trPr>
          <w:cantSplit/>
        </w:trPr>
        <w:tc>
          <w:tcPr>
            <w:tcW w:w="3403" w:type="dxa"/>
            <w:tcBorders/>
            <w:vAlign w:val="center"/>
          </w:tcPr>
          <w:p>
            <w:pPr>
              <w:pStyle w:val="TableContents"/>
              <w:bidi w:val="0"/>
              <w:spacing w:before="0" w:after="40"/>
              <w:jc w:val="end"/>
              <w:rPr/>
            </w:pPr>
            <w:r>
              <w:rPr>
                <w:sz w:val="19"/>
              </w:rPr>
              <w:t>4</w:t>
            </w:r>
          </w:p>
        </w:tc>
        <w:tc>
          <w:tcPr>
            <w:tcW w:w="2553" w:type="dxa"/>
            <w:tcBorders/>
            <w:vAlign w:val="center"/>
          </w:tcPr>
          <w:p>
            <w:pPr>
              <w:pStyle w:val="TableContents"/>
              <w:suppressLineNumbers/>
              <w:bidi w:val="0"/>
              <w:spacing w:before="0" w:after="40"/>
              <w:ind w:hanging="0" w:start="43" w:end="43"/>
              <w:rPr/>
            </w:pPr>
            <w:r>
              <w:rPr>
                <w:sz w:val="19"/>
              </w:rPr>
              <w:t>Cláusula 4: Contexto de la organización</w:t>
            </w:r>
          </w:p>
        </w:tc>
        <w:tc>
          <w:tcPr>
            <w:tcW w:w="3404" w:type="dxa"/>
            <w:tcBorders/>
            <w:vAlign w:val="center"/>
          </w:tcPr>
          <w:p>
            <w:pPr>
              <w:pStyle w:val="TableContents"/>
              <w:bidi w:val="0"/>
              <w:spacing w:before="0" w:after="40"/>
              <w:jc w:val="end"/>
              <w:rPr/>
            </w:pPr>
            <w:r>
              <w:rPr>
                <w:sz w:val="19"/>
              </w:rPr>
              <w:t>9</w:t>
            </w:r>
          </w:p>
        </w:tc>
      </w:tr>
      <w:tr>
        <w:trPr>
          <w:cantSplit/>
        </w:trPr>
        <w:tc>
          <w:tcPr>
            <w:tcW w:w="3403" w:type="dxa"/>
            <w:tcBorders/>
            <w:vAlign w:val="center"/>
          </w:tcPr>
          <w:p>
            <w:pPr>
              <w:pStyle w:val="TableContents"/>
              <w:bidi w:val="0"/>
              <w:spacing w:before="0" w:after="40"/>
              <w:jc w:val="end"/>
              <w:rPr/>
            </w:pPr>
            <w:r>
              <w:rPr>
                <w:sz w:val="19"/>
              </w:rPr>
              <w:t>5</w:t>
            </w:r>
          </w:p>
        </w:tc>
        <w:tc>
          <w:tcPr>
            <w:tcW w:w="2553" w:type="dxa"/>
            <w:tcBorders/>
            <w:vAlign w:val="center"/>
          </w:tcPr>
          <w:p>
            <w:pPr>
              <w:pStyle w:val="TableContents"/>
              <w:suppressLineNumbers/>
              <w:bidi w:val="0"/>
              <w:spacing w:before="0" w:after="40"/>
              <w:ind w:hanging="0" w:start="43" w:end="43"/>
              <w:rPr/>
            </w:pPr>
            <w:r>
              <w:rPr>
                <w:sz w:val="19"/>
              </w:rPr>
              <w:t>Cláusula 5: Liderazgo</w:t>
            </w:r>
          </w:p>
        </w:tc>
        <w:tc>
          <w:tcPr>
            <w:tcW w:w="3404" w:type="dxa"/>
            <w:tcBorders/>
            <w:vAlign w:val="center"/>
          </w:tcPr>
          <w:p>
            <w:pPr>
              <w:pStyle w:val="TableContents"/>
              <w:bidi w:val="0"/>
              <w:spacing w:before="0" w:after="40"/>
              <w:jc w:val="end"/>
              <w:rPr/>
            </w:pPr>
            <w:r>
              <w:rPr>
                <w:sz w:val="19"/>
              </w:rPr>
              <w:t>10</w:t>
            </w:r>
          </w:p>
        </w:tc>
      </w:tr>
      <w:tr>
        <w:trPr>
          <w:cantSplit/>
        </w:trPr>
        <w:tc>
          <w:tcPr>
            <w:tcW w:w="3403" w:type="dxa"/>
            <w:tcBorders/>
            <w:vAlign w:val="center"/>
          </w:tcPr>
          <w:p>
            <w:pPr>
              <w:pStyle w:val="TableContents"/>
              <w:bidi w:val="0"/>
              <w:spacing w:before="0" w:after="40"/>
              <w:jc w:val="end"/>
              <w:rPr/>
            </w:pPr>
            <w:r>
              <w:rPr>
                <w:sz w:val="19"/>
              </w:rPr>
              <w:t>6</w:t>
            </w:r>
          </w:p>
        </w:tc>
        <w:tc>
          <w:tcPr>
            <w:tcW w:w="2553" w:type="dxa"/>
            <w:tcBorders/>
            <w:vAlign w:val="center"/>
          </w:tcPr>
          <w:p>
            <w:pPr>
              <w:pStyle w:val="TableContents"/>
              <w:suppressLineNumbers/>
              <w:bidi w:val="0"/>
              <w:spacing w:before="0" w:after="40"/>
              <w:ind w:hanging="0" w:start="43" w:end="43"/>
              <w:rPr/>
            </w:pPr>
            <w:r>
              <w:rPr>
                <w:sz w:val="19"/>
              </w:rPr>
              <w:t>Cláusula 6.1: Acciones para abordar riesgos y oportunidades</w:t>
            </w:r>
          </w:p>
        </w:tc>
        <w:tc>
          <w:tcPr>
            <w:tcW w:w="3404" w:type="dxa"/>
            <w:tcBorders/>
            <w:vAlign w:val="center"/>
          </w:tcPr>
          <w:p>
            <w:pPr>
              <w:pStyle w:val="TableContents"/>
              <w:bidi w:val="0"/>
              <w:spacing w:before="0" w:after="40"/>
              <w:jc w:val="end"/>
              <w:rPr/>
            </w:pPr>
            <w:r>
              <w:rPr>
                <w:sz w:val="19"/>
              </w:rPr>
              <w:t>11</w:t>
            </w:r>
          </w:p>
        </w:tc>
      </w:tr>
      <w:tr>
        <w:trPr>
          <w:cantSplit/>
        </w:trPr>
        <w:tc>
          <w:tcPr>
            <w:tcW w:w="3403" w:type="dxa"/>
            <w:tcBorders/>
            <w:vAlign w:val="center"/>
          </w:tcPr>
          <w:p>
            <w:pPr>
              <w:pStyle w:val="TableContents"/>
              <w:bidi w:val="0"/>
              <w:spacing w:before="0" w:after="40"/>
              <w:jc w:val="end"/>
              <w:rPr/>
            </w:pPr>
            <w:r>
              <w:rPr>
                <w:sz w:val="19"/>
              </w:rPr>
              <w:t>7</w:t>
            </w:r>
          </w:p>
        </w:tc>
        <w:tc>
          <w:tcPr>
            <w:tcW w:w="2553" w:type="dxa"/>
            <w:tcBorders/>
            <w:vAlign w:val="center"/>
          </w:tcPr>
          <w:p>
            <w:pPr>
              <w:pStyle w:val="TableContents"/>
              <w:suppressLineNumbers/>
              <w:bidi w:val="0"/>
              <w:spacing w:before="0" w:after="40"/>
              <w:ind w:hanging="0" w:start="43" w:end="43"/>
              <w:rPr/>
            </w:pPr>
            <w:r>
              <w:rPr>
                <w:sz w:val="19"/>
              </w:rPr>
              <w:t>Cláusula 6.1.2: Evaluación de riesgos de IA</w:t>
            </w:r>
          </w:p>
        </w:tc>
        <w:tc>
          <w:tcPr>
            <w:tcW w:w="3404" w:type="dxa"/>
            <w:tcBorders/>
            <w:vAlign w:val="center"/>
          </w:tcPr>
          <w:p>
            <w:pPr>
              <w:pStyle w:val="TableContents"/>
              <w:bidi w:val="0"/>
              <w:spacing w:before="0" w:after="40"/>
              <w:jc w:val="end"/>
              <w:rPr/>
            </w:pPr>
            <w:r>
              <w:rPr>
                <w:sz w:val="19"/>
              </w:rPr>
              <w:t>12</w:t>
            </w:r>
          </w:p>
        </w:tc>
      </w:tr>
      <w:tr>
        <w:trPr>
          <w:cantSplit/>
        </w:trPr>
        <w:tc>
          <w:tcPr>
            <w:tcW w:w="3403" w:type="dxa"/>
            <w:tcBorders/>
            <w:vAlign w:val="center"/>
          </w:tcPr>
          <w:p>
            <w:pPr>
              <w:pStyle w:val="TableContents"/>
              <w:bidi w:val="0"/>
              <w:spacing w:before="0" w:after="40"/>
              <w:jc w:val="end"/>
              <w:rPr/>
            </w:pPr>
            <w:r>
              <w:rPr>
                <w:sz w:val="19"/>
              </w:rPr>
              <w:t>8</w:t>
            </w:r>
          </w:p>
        </w:tc>
        <w:tc>
          <w:tcPr>
            <w:tcW w:w="2553" w:type="dxa"/>
            <w:tcBorders/>
            <w:vAlign w:val="center"/>
          </w:tcPr>
          <w:p>
            <w:pPr>
              <w:pStyle w:val="TableContents"/>
              <w:suppressLineNumbers/>
              <w:bidi w:val="0"/>
              <w:spacing w:before="0" w:after="40"/>
              <w:ind w:hanging="0" w:start="43" w:end="43"/>
              <w:rPr/>
            </w:pPr>
            <w:r>
              <w:rPr>
                <w:sz w:val="19"/>
              </w:rPr>
              <w:t>Cláusula 6.1.3: Tratamiento del riesgo de IA y Declaración de Aplicabilidad</w:t>
            </w:r>
          </w:p>
        </w:tc>
        <w:tc>
          <w:tcPr>
            <w:tcW w:w="3404" w:type="dxa"/>
            <w:tcBorders/>
            <w:vAlign w:val="center"/>
          </w:tcPr>
          <w:p>
            <w:pPr>
              <w:pStyle w:val="TableContents"/>
              <w:bidi w:val="0"/>
              <w:spacing w:before="0" w:after="40"/>
              <w:jc w:val="end"/>
              <w:rPr/>
            </w:pPr>
            <w:r>
              <w:rPr>
                <w:sz w:val="19"/>
              </w:rPr>
              <w:t>14</w:t>
            </w:r>
          </w:p>
        </w:tc>
      </w:tr>
      <w:tr>
        <w:trPr>
          <w:cantSplit/>
        </w:trPr>
        <w:tc>
          <w:tcPr>
            <w:tcW w:w="3403" w:type="dxa"/>
            <w:tcBorders/>
            <w:vAlign w:val="center"/>
          </w:tcPr>
          <w:p>
            <w:pPr>
              <w:pStyle w:val="TableContents"/>
              <w:bidi w:val="0"/>
              <w:spacing w:before="0" w:after="40"/>
              <w:jc w:val="end"/>
              <w:rPr/>
            </w:pPr>
            <w:r>
              <w:rPr>
                <w:sz w:val="19"/>
              </w:rPr>
              <w:t>9</w:t>
            </w:r>
          </w:p>
        </w:tc>
        <w:tc>
          <w:tcPr>
            <w:tcW w:w="2553" w:type="dxa"/>
            <w:tcBorders/>
            <w:vAlign w:val="center"/>
          </w:tcPr>
          <w:p>
            <w:pPr>
              <w:pStyle w:val="TableContents"/>
              <w:suppressLineNumbers/>
              <w:bidi w:val="0"/>
              <w:spacing w:before="0" w:after="40"/>
              <w:ind w:hanging="0" w:start="43" w:end="43"/>
              <w:rPr/>
            </w:pPr>
            <w:r>
              <w:rPr>
                <w:sz w:val="19"/>
              </w:rPr>
              <w:t>Cláusula 6.1.4: Evaluación de impacto de sistemas de IA</w:t>
            </w:r>
          </w:p>
        </w:tc>
        <w:tc>
          <w:tcPr>
            <w:tcW w:w="3404" w:type="dxa"/>
            <w:tcBorders/>
            <w:vAlign w:val="center"/>
          </w:tcPr>
          <w:p>
            <w:pPr>
              <w:pStyle w:val="TableContents"/>
              <w:bidi w:val="0"/>
              <w:spacing w:before="0" w:after="40"/>
              <w:jc w:val="end"/>
              <w:rPr/>
            </w:pPr>
            <w:r>
              <w:rPr>
                <w:sz w:val="19"/>
              </w:rPr>
              <w:t>15</w:t>
            </w:r>
          </w:p>
        </w:tc>
      </w:tr>
      <w:tr>
        <w:trPr>
          <w:cantSplit/>
        </w:trPr>
        <w:tc>
          <w:tcPr>
            <w:tcW w:w="3403" w:type="dxa"/>
            <w:tcBorders/>
            <w:vAlign w:val="center"/>
          </w:tcPr>
          <w:p>
            <w:pPr>
              <w:pStyle w:val="TableContents"/>
              <w:bidi w:val="0"/>
              <w:spacing w:before="0" w:after="40"/>
              <w:jc w:val="end"/>
              <w:rPr/>
            </w:pPr>
            <w:r>
              <w:rPr>
                <w:sz w:val="19"/>
              </w:rPr>
              <w:t>10</w:t>
            </w:r>
          </w:p>
        </w:tc>
        <w:tc>
          <w:tcPr>
            <w:tcW w:w="2553" w:type="dxa"/>
            <w:tcBorders/>
            <w:vAlign w:val="center"/>
          </w:tcPr>
          <w:p>
            <w:pPr>
              <w:pStyle w:val="TableContents"/>
              <w:suppressLineNumbers/>
              <w:bidi w:val="0"/>
              <w:spacing w:before="0" w:after="40"/>
              <w:ind w:hanging="0" w:start="43" w:end="43"/>
              <w:rPr/>
            </w:pPr>
            <w:r>
              <w:rPr>
                <w:sz w:val="19"/>
              </w:rPr>
              <w:t>Cláusulas 6.2 y 6.3: Objetivos y planificación de cambios</w:t>
            </w:r>
          </w:p>
        </w:tc>
        <w:tc>
          <w:tcPr>
            <w:tcW w:w="3404" w:type="dxa"/>
            <w:tcBorders/>
            <w:vAlign w:val="center"/>
          </w:tcPr>
          <w:p>
            <w:pPr>
              <w:pStyle w:val="TableContents"/>
              <w:bidi w:val="0"/>
              <w:spacing w:before="0" w:after="40"/>
              <w:jc w:val="end"/>
              <w:rPr/>
            </w:pPr>
            <w:r>
              <w:rPr>
                <w:sz w:val="19"/>
              </w:rPr>
              <w:t>17</w:t>
            </w:r>
          </w:p>
        </w:tc>
      </w:tr>
      <w:tr>
        <w:trPr>
          <w:cantSplit/>
        </w:trPr>
        <w:tc>
          <w:tcPr>
            <w:tcW w:w="3403" w:type="dxa"/>
            <w:tcBorders/>
            <w:vAlign w:val="center"/>
          </w:tcPr>
          <w:p>
            <w:pPr>
              <w:pStyle w:val="TableContents"/>
              <w:bidi w:val="0"/>
              <w:spacing w:before="0" w:after="40"/>
              <w:jc w:val="end"/>
              <w:rPr/>
            </w:pPr>
            <w:r>
              <w:rPr>
                <w:sz w:val="19"/>
              </w:rPr>
              <w:t>11</w:t>
            </w:r>
          </w:p>
        </w:tc>
        <w:tc>
          <w:tcPr>
            <w:tcW w:w="2553" w:type="dxa"/>
            <w:tcBorders/>
            <w:vAlign w:val="center"/>
          </w:tcPr>
          <w:p>
            <w:pPr>
              <w:pStyle w:val="TableContents"/>
              <w:suppressLineNumbers/>
              <w:bidi w:val="0"/>
              <w:spacing w:before="0" w:after="40"/>
              <w:ind w:hanging="0" w:start="43" w:end="43"/>
              <w:rPr/>
            </w:pPr>
            <w:r>
              <w:rPr>
                <w:sz w:val="19"/>
              </w:rPr>
              <w:t>Cláusula 7.1: Recursos</w:t>
            </w:r>
          </w:p>
        </w:tc>
        <w:tc>
          <w:tcPr>
            <w:tcW w:w="3404" w:type="dxa"/>
            <w:tcBorders/>
            <w:vAlign w:val="center"/>
          </w:tcPr>
          <w:p>
            <w:pPr>
              <w:pStyle w:val="TableContents"/>
              <w:bidi w:val="0"/>
              <w:spacing w:before="0" w:after="40"/>
              <w:jc w:val="end"/>
              <w:rPr/>
            </w:pPr>
            <w:r>
              <w:rPr>
                <w:sz w:val="19"/>
              </w:rPr>
              <w:t>18</w:t>
            </w:r>
          </w:p>
        </w:tc>
      </w:tr>
      <w:tr>
        <w:trPr>
          <w:cantSplit/>
        </w:trPr>
        <w:tc>
          <w:tcPr>
            <w:tcW w:w="3403" w:type="dxa"/>
            <w:tcBorders/>
            <w:vAlign w:val="center"/>
          </w:tcPr>
          <w:p>
            <w:pPr>
              <w:pStyle w:val="TableContents"/>
              <w:bidi w:val="0"/>
              <w:spacing w:before="0" w:after="40"/>
              <w:jc w:val="end"/>
              <w:rPr/>
            </w:pPr>
            <w:r>
              <w:rPr>
                <w:sz w:val="19"/>
              </w:rPr>
              <w:t>12</w:t>
            </w:r>
          </w:p>
        </w:tc>
        <w:tc>
          <w:tcPr>
            <w:tcW w:w="2553" w:type="dxa"/>
            <w:tcBorders/>
            <w:vAlign w:val="center"/>
          </w:tcPr>
          <w:p>
            <w:pPr>
              <w:pStyle w:val="TableContents"/>
              <w:suppressLineNumbers/>
              <w:bidi w:val="0"/>
              <w:spacing w:before="0" w:after="40"/>
              <w:ind w:hanging="0" w:start="43" w:end="43"/>
              <w:rPr/>
            </w:pPr>
            <w:r>
              <w:rPr>
                <w:sz w:val="19"/>
              </w:rPr>
              <w:t>Cláusulas 7.2–7.4: Competencia, toma de conciencia y comunicación</w:t>
            </w:r>
          </w:p>
        </w:tc>
        <w:tc>
          <w:tcPr>
            <w:tcW w:w="3404" w:type="dxa"/>
            <w:tcBorders/>
            <w:vAlign w:val="center"/>
          </w:tcPr>
          <w:p>
            <w:pPr>
              <w:pStyle w:val="TableContents"/>
              <w:bidi w:val="0"/>
              <w:spacing w:before="0" w:after="40"/>
              <w:jc w:val="end"/>
              <w:rPr/>
            </w:pPr>
            <w:r>
              <w:rPr>
                <w:sz w:val="19"/>
              </w:rPr>
              <w:t>19</w:t>
            </w:r>
          </w:p>
        </w:tc>
      </w:tr>
      <w:tr>
        <w:trPr>
          <w:cantSplit/>
        </w:trPr>
        <w:tc>
          <w:tcPr>
            <w:tcW w:w="3403" w:type="dxa"/>
            <w:tcBorders/>
            <w:vAlign w:val="center"/>
          </w:tcPr>
          <w:p>
            <w:pPr>
              <w:pStyle w:val="TableContents"/>
              <w:bidi w:val="0"/>
              <w:spacing w:before="0" w:after="40"/>
              <w:jc w:val="end"/>
              <w:rPr/>
            </w:pPr>
            <w:r>
              <w:rPr>
                <w:sz w:val="19"/>
              </w:rPr>
              <w:t>13</w:t>
            </w:r>
          </w:p>
        </w:tc>
        <w:tc>
          <w:tcPr>
            <w:tcW w:w="2553" w:type="dxa"/>
            <w:tcBorders/>
            <w:vAlign w:val="center"/>
          </w:tcPr>
          <w:p>
            <w:pPr>
              <w:pStyle w:val="TableContents"/>
              <w:suppressLineNumbers/>
              <w:bidi w:val="0"/>
              <w:spacing w:before="0" w:after="40"/>
              <w:ind w:hanging="0" w:start="43" w:end="43"/>
              <w:rPr/>
            </w:pPr>
            <w:r>
              <w:rPr>
                <w:sz w:val="19"/>
              </w:rPr>
              <w:t>Cláusula 7.5: Información documentada</w:t>
            </w:r>
          </w:p>
        </w:tc>
        <w:tc>
          <w:tcPr>
            <w:tcW w:w="3404" w:type="dxa"/>
            <w:tcBorders/>
            <w:vAlign w:val="center"/>
          </w:tcPr>
          <w:p>
            <w:pPr>
              <w:pStyle w:val="TableContents"/>
              <w:bidi w:val="0"/>
              <w:spacing w:before="0" w:after="40"/>
              <w:jc w:val="end"/>
              <w:rPr/>
            </w:pPr>
            <w:r>
              <w:rPr>
                <w:sz w:val="19"/>
              </w:rPr>
              <w:t>20</w:t>
            </w:r>
          </w:p>
        </w:tc>
      </w:tr>
      <w:tr>
        <w:trPr>
          <w:cantSplit/>
        </w:trPr>
        <w:tc>
          <w:tcPr>
            <w:tcW w:w="3403" w:type="dxa"/>
            <w:tcBorders/>
            <w:vAlign w:val="center"/>
          </w:tcPr>
          <w:p>
            <w:pPr>
              <w:pStyle w:val="TableContents"/>
              <w:bidi w:val="0"/>
              <w:spacing w:before="0" w:after="40"/>
              <w:jc w:val="end"/>
              <w:rPr/>
            </w:pPr>
            <w:r>
              <w:rPr>
                <w:sz w:val="19"/>
              </w:rPr>
              <w:t>14</w:t>
            </w:r>
          </w:p>
        </w:tc>
        <w:tc>
          <w:tcPr>
            <w:tcW w:w="2553" w:type="dxa"/>
            <w:tcBorders/>
            <w:vAlign w:val="center"/>
          </w:tcPr>
          <w:p>
            <w:pPr>
              <w:pStyle w:val="TableContents"/>
              <w:suppressLineNumbers/>
              <w:bidi w:val="0"/>
              <w:spacing w:before="0" w:after="40"/>
              <w:ind w:hanging="0" w:start="43" w:end="43"/>
              <w:rPr/>
            </w:pPr>
            <w:r>
              <w:rPr>
                <w:sz w:val="19"/>
              </w:rPr>
              <w:t>Cláusula 8.1: Planificación y control operacional</w:t>
            </w:r>
          </w:p>
        </w:tc>
        <w:tc>
          <w:tcPr>
            <w:tcW w:w="3404" w:type="dxa"/>
            <w:tcBorders/>
            <w:vAlign w:val="center"/>
          </w:tcPr>
          <w:p>
            <w:pPr>
              <w:pStyle w:val="TableContents"/>
              <w:bidi w:val="0"/>
              <w:spacing w:before="0" w:after="40"/>
              <w:jc w:val="end"/>
              <w:rPr/>
            </w:pPr>
            <w:r>
              <w:rPr>
                <w:sz w:val="19"/>
              </w:rPr>
              <w:t>21</w:t>
            </w:r>
          </w:p>
        </w:tc>
      </w:tr>
      <w:tr>
        <w:trPr>
          <w:cantSplit/>
        </w:trPr>
        <w:tc>
          <w:tcPr>
            <w:tcW w:w="3403" w:type="dxa"/>
            <w:tcBorders/>
            <w:vAlign w:val="center"/>
          </w:tcPr>
          <w:p>
            <w:pPr>
              <w:pStyle w:val="TableContents"/>
              <w:bidi w:val="0"/>
              <w:spacing w:before="0" w:after="40"/>
              <w:jc w:val="end"/>
              <w:rPr/>
            </w:pPr>
            <w:r>
              <w:rPr>
                <w:sz w:val="19"/>
              </w:rPr>
              <w:t>15</w:t>
            </w:r>
          </w:p>
        </w:tc>
        <w:tc>
          <w:tcPr>
            <w:tcW w:w="2553" w:type="dxa"/>
            <w:tcBorders/>
            <w:vAlign w:val="center"/>
          </w:tcPr>
          <w:p>
            <w:pPr>
              <w:pStyle w:val="TableContents"/>
              <w:suppressLineNumbers/>
              <w:bidi w:val="0"/>
              <w:spacing w:before="0" w:after="40"/>
              <w:ind w:hanging="0" w:start="43" w:end="43"/>
              <w:rPr/>
            </w:pPr>
            <w:r>
              <w:rPr>
                <w:sz w:val="19"/>
              </w:rPr>
              <w:t>Cláusulas 8.2–8.4: Riesgo operacional, tratamiento y evaluación de impacto</w:t>
            </w:r>
          </w:p>
        </w:tc>
        <w:tc>
          <w:tcPr>
            <w:tcW w:w="3404" w:type="dxa"/>
            <w:tcBorders/>
            <w:vAlign w:val="center"/>
          </w:tcPr>
          <w:p>
            <w:pPr>
              <w:pStyle w:val="TableContents"/>
              <w:bidi w:val="0"/>
              <w:spacing w:before="0" w:after="40"/>
              <w:jc w:val="end"/>
              <w:rPr/>
            </w:pPr>
            <w:r>
              <w:rPr>
                <w:sz w:val="19"/>
              </w:rPr>
              <w:t>22</w:t>
            </w:r>
          </w:p>
        </w:tc>
      </w:tr>
      <w:tr>
        <w:trPr>
          <w:cantSplit/>
        </w:trPr>
        <w:tc>
          <w:tcPr>
            <w:tcW w:w="3403" w:type="dxa"/>
            <w:tcBorders/>
            <w:vAlign w:val="center"/>
          </w:tcPr>
          <w:p>
            <w:pPr>
              <w:pStyle w:val="TableContents"/>
              <w:bidi w:val="0"/>
              <w:spacing w:before="0" w:after="40"/>
              <w:jc w:val="end"/>
              <w:rPr/>
            </w:pPr>
            <w:r>
              <w:rPr>
                <w:sz w:val="19"/>
              </w:rPr>
              <w:t>16</w:t>
            </w:r>
          </w:p>
        </w:tc>
        <w:tc>
          <w:tcPr>
            <w:tcW w:w="2553" w:type="dxa"/>
            <w:tcBorders/>
            <w:vAlign w:val="center"/>
          </w:tcPr>
          <w:p>
            <w:pPr>
              <w:pStyle w:val="TableContents"/>
              <w:suppressLineNumbers/>
              <w:bidi w:val="0"/>
              <w:spacing w:before="0" w:after="40"/>
              <w:ind w:hanging="0" w:start="43" w:end="43"/>
              <w:rPr/>
            </w:pPr>
            <w:r>
              <w:rPr>
                <w:sz w:val="19"/>
              </w:rPr>
              <w:t>Cláusula 9.1: Seguimiento, medición, análisis y evaluación</w:t>
            </w:r>
          </w:p>
        </w:tc>
        <w:tc>
          <w:tcPr>
            <w:tcW w:w="3404" w:type="dxa"/>
            <w:tcBorders/>
            <w:vAlign w:val="center"/>
          </w:tcPr>
          <w:p>
            <w:pPr>
              <w:pStyle w:val="TableContents"/>
              <w:bidi w:val="0"/>
              <w:spacing w:before="0" w:after="40"/>
              <w:jc w:val="end"/>
              <w:rPr/>
            </w:pPr>
            <w:r>
              <w:rPr>
                <w:sz w:val="19"/>
              </w:rPr>
              <w:t>23</w:t>
            </w:r>
          </w:p>
        </w:tc>
      </w:tr>
      <w:tr>
        <w:trPr>
          <w:cantSplit/>
        </w:trPr>
        <w:tc>
          <w:tcPr>
            <w:tcW w:w="3403" w:type="dxa"/>
            <w:tcBorders/>
            <w:vAlign w:val="center"/>
          </w:tcPr>
          <w:p>
            <w:pPr>
              <w:pStyle w:val="TableContents"/>
              <w:bidi w:val="0"/>
              <w:spacing w:before="0" w:after="40"/>
              <w:jc w:val="end"/>
              <w:rPr/>
            </w:pPr>
            <w:r>
              <w:rPr>
                <w:sz w:val="19"/>
              </w:rPr>
              <w:t>17</w:t>
            </w:r>
          </w:p>
        </w:tc>
        <w:tc>
          <w:tcPr>
            <w:tcW w:w="2553" w:type="dxa"/>
            <w:tcBorders/>
            <w:vAlign w:val="center"/>
          </w:tcPr>
          <w:p>
            <w:pPr>
              <w:pStyle w:val="TableContents"/>
              <w:suppressLineNumbers/>
              <w:bidi w:val="0"/>
              <w:spacing w:before="0" w:after="40"/>
              <w:ind w:hanging="0" w:start="43" w:end="43"/>
              <w:rPr/>
            </w:pPr>
            <w:r>
              <w:rPr>
                <w:sz w:val="19"/>
              </w:rPr>
              <w:t>Cláusula 9.2: Auditoría interna</w:t>
            </w:r>
          </w:p>
        </w:tc>
        <w:tc>
          <w:tcPr>
            <w:tcW w:w="3404" w:type="dxa"/>
            <w:tcBorders/>
            <w:vAlign w:val="center"/>
          </w:tcPr>
          <w:p>
            <w:pPr>
              <w:pStyle w:val="TableContents"/>
              <w:bidi w:val="0"/>
              <w:spacing w:before="0" w:after="40"/>
              <w:jc w:val="end"/>
              <w:rPr/>
            </w:pPr>
            <w:r>
              <w:rPr>
                <w:sz w:val="19"/>
              </w:rPr>
              <w:t>24</w:t>
            </w:r>
          </w:p>
        </w:tc>
      </w:tr>
      <w:tr>
        <w:trPr>
          <w:cantSplit/>
        </w:trPr>
        <w:tc>
          <w:tcPr>
            <w:tcW w:w="3403" w:type="dxa"/>
            <w:tcBorders/>
            <w:vAlign w:val="center"/>
          </w:tcPr>
          <w:p>
            <w:pPr>
              <w:pStyle w:val="TableContents"/>
              <w:bidi w:val="0"/>
              <w:spacing w:before="0" w:after="40"/>
              <w:jc w:val="end"/>
              <w:rPr/>
            </w:pPr>
            <w:r>
              <w:rPr>
                <w:sz w:val="19"/>
              </w:rPr>
              <w:t>18</w:t>
            </w:r>
          </w:p>
        </w:tc>
        <w:tc>
          <w:tcPr>
            <w:tcW w:w="2553" w:type="dxa"/>
            <w:tcBorders/>
            <w:vAlign w:val="center"/>
          </w:tcPr>
          <w:p>
            <w:pPr>
              <w:pStyle w:val="TableContents"/>
              <w:suppressLineNumbers/>
              <w:bidi w:val="0"/>
              <w:spacing w:before="0" w:after="40"/>
              <w:ind w:hanging="0" w:start="43" w:end="43"/>
              <w:rPr/>
            </w:pPr>
            <w:r>
              <w:rPr>
                <w:sz w:val="19"/>
              </w:rPr>
              <w:t>Cláusula 9.3: Revisión por la dirección</w:t>
            </w:r>
          </w:p>
        </w:tc>
        <w:tc>
          <w:tcPr>
            <w:tcW w:w="3404" w:type="dxa"/>
            <w:tcBorders/>
            <w:vAlign w:val="center"/>
          </w:tcPr>
          <w:p>
            <w:pPr>
              <w:pStyle w:val="TableContents"/>
              <w:bidi w:val="0"/>
              <w:spacing w:before="0" w:after="40"/>
              <w:jc w:val="end"/>
              <w:rPr/>
            </w:pPr>
            <w:r>
              <w:rPr>
                <w:sz w:val="19"/>
              </w:rPr>
              <w:t>26</w:t>
            </w:r>
          </w:p>
        </w:tc>
      </w:tr>
      <w:tr>
        <w:trPr>
          <w:cantSplit/>
        </w:trPr>
        <w:tc>
          <w:tcPr>
            <w:tcW w:w="3403" w:type="dxa"/>
            <w:tcBorders/>
            <w:vAlign w:val="center"/>
          </w:tcPr>
          <w:p>
            <w:pPr>
              <w:pStyle w:val="TableContents"/>
              <w:bidi w:val="0"/>
              <w:spacing w:before="0" w:after="40"/>
              <w:jc w:val="end"/>
              <w:rPr/>
            </w:pPr>
            <w:r>
              <w:rPr>
                <w:sz w:val="19"/>
              </w:rPr>
              <w:t>19</w:t>
            </w:r>
          </w:p>
        </w:tc>
        <w:tc>
          <w:tcPr>
            <w:tcW w:w="2553" w:type="dxa"/>
            <w:tcBorders/>
            <w:vAlign w:val="center"/>
          </w:tcPr>
          <w:p>
            <w:pPr>
              <w:pStyle w:val="TableContents"/>
              <w:suppressLineNumbers/>
              <w:bidi w:val="0"/>
              <w:spacing w:before="0" w:after="40"/>
              <w:ind w:hanging="0" w:start="43" w:end="43"/>
              <w:rPr/>
            </w:pPr>
            <w:r>
              <w:rPr>
                <w:sz w:val="19"/>
              </w:rPr>
              <w:t>Cláusula 10: No conformidad, acción correctiva y mejora continua</w:t>
            </w:r>
          </w:p>
        </w:tc>
        <w:tc>
          <w:tcPr>
            <w:tcW w:w="3404" w:type="dxa"/>
            <w:tcBorders/>
            <w:vAlign w:val="center"/>
          </w:tcPr>
          <w:p>
            <w:pPr>
              <w:pStyle w:val="TableContents"/>
              <w:bidi w:val="0"/>
              <w:spacing w:before="0" w:after="40"/>
              <w:jc w:val="end"/>
              <w:rPr/>
            </w:pPr>
            <w:r>
              <w:rPr>
                <w:sz w:val="19"/>
              </w:rPr>
              <w:t>27</w:t>
            </w:r>
          </w:p>
        </w:tc>
      </w:tr>
      <w:tr>
        <w:trPr>
          <w:cantSplit/>
        </w:trPr>
        <w:tc>
          <w:tcPr>
            <w:tcW w:w="3403" w:type="dxa"/>
            <w:tcBorders/>
            <w:vAlign w:val="center"/>
          </w:tcPr>
          <w:p>
            <w:pPr>
              <w:pStyle w:val="TableContents"/>
              <w:bidi w:val="0"/>
              <w:spacing w:before="0" w:after="40"/>
              <w:jc w:val="end"/>
              <w:rPr/>
            </w:pPr>
            <w:r>
              <w:rPr>
                <w:sz w:val="19"/>
              </w:rPr>
              <w:t>20</w:t>
            </w:r>
          </w:p>
        </w:tc>
        <w:tc>
          <w:tcPr>
            <w:tcW w:w="2553" w:type="dxa"/>
            <w:tcBorders/>
            <w:vAlign w:val="center"/>
          </w:tcPr>
          <w:p>
            <w:pPr>
              <w:pStyle w:val="TableContents"/>
              <w:suppressLineNumbers/>
              <w:bidi w:val="0"/>
              <w:spacing w:before="0" w:after="40"/>
              <w:ind w:hanging="0" w:start="43" w:end="43"/>
              <w:rPr/>
            </w:pPr>
            <w:r>
              <w:rPr>
                <w:sz w:val="19"/>
              </w:rPr>
              <w:t>Anexos A–D y la Declaración de Aplicabilidad</w:t>
            </w:r>
          </w:p>
        </w:tc>
        <w:tc>
          <w:tcPr>
            <w:tcW w:w="3404" w:type="dxa"/>
            <w:tcBorders/>
            <w:vAlign w:val="center"/>
          </w:tcPr>
          <w:p>
            <w:pPr>
              <w:pStyle w:val="TableContents"/>
              <w:bidi w:val="0"/>
              <w:spacing w:before="0" w:after="40"/>
              <w:jc w:val="end"/>
              <w:rPr/>
            </w:pPr>
            <w:r>
              <w:rPr>
                <w:sz w:val="19"/>
              </w:rPr>
              <w:t>28</w:t>
            </w:r>
          </w:p>
        </w:tc>
      </w:tr>
      <w:tr>
        <w:trPr>
          <w:cantSplit/>
        </w:trPr>
        <w:tc>
          <w:tcPr>
            <w:tcW w:w="3403" w:type="dxa"/>
            <w:tcBorders/>
            <w:vAlign w:val="center"/>
          </w:tcPr>
          <w:p>
            <w:pPr>
              <w:pStyle w:val="TableContents"/>
              <w:bidi w:val="0"/>
              <w:spacing w:before="0" w:after="40"/>
              <w:jc w:val="end"/>
              <w:rPr/>
            </w:pPr>
            <w:r>
              <w:rPr>
                <w:sz w:val="19"/>
              </w:rPr>
              <w:t>21</w:t>
            </w:r>
          </w:p>
        </w:tc>
        <w:tc>
          <w:tcPr>
            <w:tcW w:w="2553" w:type="dxa"/>
            <w:tcBorders/>
            <w:vAlign w:val="center"/>
          </w:tcPr>
          <w:p>
            <w:pPr>
              <w:pStyle w:val="TableContents"/>
              <w:suppressLineNumbers/>
              <w:bidi w:val="0"/>
              <w:spacing w:before="0" w:after="40"/>
              <w:ind w:hanging="0" w:start="43" w:end="43"/>
              <w:rPr/>
            </w:pPr>
            <w:r>
              <w:rPr>
                <w:sz w:val="19"/>
              </w:rPr>
              <w:t>Anexo A.2: Políticas relacionadas con IA</w:t>
            </w:r>
          </w:p>
        </w:tc>
        <w:tc>
          <w:tcPr>
            <w:tcW w:w="3404" w:type="dxa"/>
            <w:tcBorders/>
            <w:vAlign w:val="center"/>
          </w:tcPr>
          <w:p>
            <w:pPr>
              <w:pStyle w:val="TableContents"/>
              <w:bidi w:val="0"/>
              <w:spacing w:before="0" w:after="40"/>
              <w:jc w:val="end"/>
              <w:rPr/>
            </w:pPr>
            <w:r>
              <w:rPr>
                <w:sz w:val="19"/>
              </w:rPr>
              <w:t>29</w:t>
            </w:r>
          </w:p>
        </w:tc>
      </w:tr>
      <w:tr>
        <w:trPr>
          <w:cantSplit/>
        </w:trPr>
        <w:tc>
          <w:tcPr>
            <w:tcW w:w="3403" w:type="dxa"/>
            <w:tcBorders/>
            <w:vAlign w:val="center"/>
          </w:tcPr>
          <w:p>
            <w:pPr>
              <w:pStyle w:val="TableContents"/>
              <w:bidi w:val="0"/>
              <w:spacing w:before="0" w:after="40"/>
              <w:jc w:val="end"/>
              <w:rPr/>
            </w:pPr>
            <w:r>
              <w:rPr>
                <w:sz w:val="19"/>
              </w:rPr>
              <w:t>22</w:t>
            </w:r>
          </w:p>
        </w:tc>
        <w:tc>
          <w:tcPr>
            <w:tcW w:w="2553" w:type="dxa"/>
            <w:tcBorders/>
            <w:vAlign w:val="center"/>
          </w:tcPr>
          <w:p>
            <w:pPr>
              <w:pStyle w:val="TableContents"/>
              <w:suppressLineNumbers/>
              <w:bidi w:val="0"/>
              <w:spacing w:before="0" w:after="40"/>
              <w:ind w:hanging="0" w:start="43" w:end="43"/>
              <w:rPr/>
            </w:pPr>
            <w:r>
              <w:rPr>
                <w:sz w:val="19"/>
              </w:rPr>
              <w:t>Anexo A.3: Organización interna</w:t>
            </w:r>
          </w:p>
        </w:tc>
        <w:tc>
          <w:tcPr>
            <w:tcW w:w="3404" w:type="dxa"/>
            <w:tcBorders/>
            <w:vAlign w:val="center"/>
          </w:tcPr>
          <w:p>
            <w:pPr>
              <w:pStyle w:val="TableContents"/>
              <w:bidi w:val="0"/>
              <w:spacing w:before="0" w:after="40"/>
              <w:jc w:val="end"/>
              <w:rPr/>
            </w:pPr>
            <w:r>
              <w:rPr>
                <w:sz w:val="19"/>
              </w:rPr>
              <w:t>30</w:t>
            </w:r>
          </w:p>
        </w:tc>
      </w:tr>
      <w:tr>
        <w:trPr>
          <w:cantSplit/>
        </w:trPr>
        <w:tc>
          <w:tcPr>
            <w:tcW w:w="3403" w:type="dxa"/>
            <w:tcBorders/>
            <w:vAlign w:val="center"/>
          </w:tcPr>
          <w:p>
            <w:pPr>
              <w:pStyle w:val="TableContents"/>
              <w:bidi w:val="0"/>
              <w:spacing w:before="0" w:after="40"/>
              <w:jc w:val="end"/>
              <w:rPr/>
            </w:pPr>
            <w:r>
              <w:rPr>
                <w:sz w:val="19"/>
              </w:rPr>
              <w:t>23</w:t>
            </w:r>
          </w:p>
        </w:tc>
        <w:tc>
          <w:tcPr>
            <w:tcW w:w="2553" w:type="dxa"/>
            <w:tcBorders/>
            <w:vAlign w:val="center"/>
          </w:tcPr>
          <w:p>
            <w:pPr>
              <w:pStyle w:val="TableContents"/>
              <w:suppressLineNumbers/>
              <w:bidi w:val="0"/>
              <w:spacing w:before="0" w:after="40"/>
              <w:ind w:hanging="0" w:start="43" w:end="43"/>
              <w:rPr/>
            </w:pPr>
            <w:r>
              <w:rPr>
                <w:sz w:val="19"/>
              </w:rPr>
              <w:t>Anexo A.4: Recursos para sistemas de IA</w:t>
            </w:r>
          </w:p>
        </w:tc>
        <w:tc>
          <w:tcPr>
            <w:tcW w:w="3404" w:type="dxa"/>
            <w:tcBorders/>
            <w:vAlign w:val="center"/>
          </w:tcPr>
          <w:p>
            <w:pPr>
              <w:pStyle w:val="TableContents"/>
              <w:bidi w:val="0"/>
              <w:spacing w:before="0" w:after="40"/>
              <w:jc w:val="end"/>
              <w:rPr/>
            </w:pPr>
            <w:r>
              <w:rPr>
                <w:sz w:val="19"/>
              </w:rPr>
              <w:t>31</w:t>
            </w:r>
          </w:p>
        </w:tc>
      </w:tr>
      <w:tr>
        <w:trPr>
          <w:cantSplit/>
        </w:trPr>
        <w:tc>
          <w:tcPr>
            <w:tcW w:w="3403" w:type="dxa"/>
            <w:tcBorders/>
            <w:vAlign w:val="center"/>
          </w:tcPr>
          <w:p>
            <w:pPr>
              <w:pStyle w:val="TableContents"/>
              <w:bidi w:val="0"/>
              <w:spacing w:before="0" w:after="40"/>
              <w:jc w:val="end"/>
              <w:rPr/>
            </w:pPr>
            <w:r>
              <w:rPr>
                <w:sz w:val="19"/>
              </w:rPr>
              <w:t>24</w:t>
            </w:r>
          </w:p>
        </w:tc>
        <w:tc>
          <w:tcPr>
            <w:tcW w:w="2553" w:type="dxa"/>
            <w:tcBorders/>
            <w:vAlign w:val="center"/>
          </w:tcPr>
          <w:p>
            <w:pPr>
              <w:pStyle w:val="TableContents"/>
              <w:suppressLineNumbers/>
              <w:bidi w:val="0"/>
              <w:spacing w:before="0" w:after="40"/>
              <w:ind w:hanging="0" w:start="43" w:end="43"/>
              <w:rPr/>
            </w:pPr>
            <w:r>
              <w:rPr>
                <w:sz w:val="19"/>
              </w:rPr>
              <w:t>Anexo A.5 e ISO/IEC 42005: Evaluación de impacto de sistemas de IA</w:t>
            </w:r>
          </w:p>
        </w:tc>
        <w:tc>
          <w:tcPr>
            <w:tcW w:w="3404" w:type="dxa"/>
            <w:tcBorders/>
            <w:vAlign w:val="center"/>
          </w:tcPr>
          <w:p>
            <w:pPr>
              <w:pStyle w:val="TableContents"/>
              <w:bidi w:val="0"/>
              <w:spacing w:before="0" w:after="40"/>
              <w:jc w:val="end"/>
              <w:rPr/>
            </w:pPr>
            <w:r>
              <w:rPr>
                <w:sz w:val="19"/>
              </w:rPr>
              <w:t>32</w:t>
            </w:r>
          </w:p>
        </w:tc>
      </w:tr>
      <w:tr>
        <w:trPr>
          <w:cantSplit/>
        </w:trPr>
        <w:tc>
          <w:tcPr>
            <w:tcW w:w="3403" w:type="dxa"/>
            <w:tcBorders/>
            <w:vAlign w:val="center"/>
          </w:tcPr>
          <w:p>
            <w:pPr>
              <w:pStyle w:val="TableContents"/>
              <w:bidi w:val="0"/>
              <w:spacing w:before="0" w:after="40"/>
              <w:jc w:val="end"/>
              <w:rPr/>
            </w:pPr>
            <w:r>
              <w:rPr>
                <w:sz w:val="19"/>
              </w:rPr>
              <w:t>25</w:t>
            </w:r>
          </w:p>
        </w:tc>
        <w:tc>
          <w:tcPr>
            <w:tcW w:w="2553" w:type="dxa"/>
            <w:tcBorders/>
            <w:vAlign w:val="center"/>
          </w:tcPr>
          <w:p>
            <w:pPr>
              <w:pStyle w:val="TableContents"/>
              <w:suppressLineNumbers/>
              <w:bidi w:val="0"/>
              <w:spacing w:before="0" w:after="40"/>
              <w:ind w:hanging="0" w:start="43" w:end="43"/>
              <w:rPr/>
            </w:pPr>
            <w:r>
              <w:rPr>
                <w:sz w:val="19"/>
              </w:rPr>
              <w:t>Anexo A.6: Ciclo de vida del sistema de IA</w:t>
            </w:r>
          </w:p>
        </w:tc>
        <w:tc>
          <w:tcPr>
            <w:tcW w:w="3404" w:type="dxa"/>
            <w:tcBorders/>
            <w:vAlign w:val="center"/>
          </w:tcPr>
          <w:p>
            <w:pPr>
              <w:pStyle w:val="TableContents"/>
              <w:bidi w:val="0"/>
              <w:spacing w:before="0" w:after="40"/>
              <w:jc w:val="end"/>
              <w:rPr/>
            </w:pPr>
            <w:r>
              <w:rPr>
                <w:sz w:val="19"/>
              </w:rPr>
              <w:t>33</w:t>
            </w:r>
          </w:p>
        </w:tc>
      </w:tr>
      <w:tr>
        <w:trPr>
          <w:cantSplit/>
        </w:trPr>
        <w:tc>
          <w:tcPr>
            <w:tcW w:w="3403" w:type="dxa"/>
            <w:tcBorders/>
            <w:vAlign w:val="center"/>
          </w:tcPr>
          <w:p>
            <w:pPr>
              <w:pStyle w:val="TableContents"/>
              <w:bidi w:val="0"/>
              <w:spacing w:before="0" w:after="40"/>
              <w:jc w:val="end"/>
              <w:rPr/>
            </w:pPr>
            <w:r>
              <w:rPr>
                <w:sz w:val="19"/>
              </w:rPr>
              <w:t>26</w:t>
            </w:r>
          </w:p>
        </w:tc>
        <w:tc>
          <w:tcPr>
            <w:tcW w:w="2553" w:type="dxa"/>
            <w:tcBorders/>
            <w:vAlign w:val="center"/>
          </w:tcPr>
          <w:p>
            <w:pPr>
              <w:pStyle w:val="TableContents"/>
              <w:suppressLineNumbers/>
              <w:bidi w:val="0"/>
              <w:spacing w:before="0" w:after="40"/>
              <w:ind w:hanging="0" w:start="43" w:end="43"/>
              <w:rPr/>
            </w:pPr>
            <w:r>
              <w:rPr>
                <w:sz w:val="19"/>
              </w:rPr>
              <w:t>Anexo A.7: Datos para sistemas de IA</w:t>
            </w:r>
          </w:p>
        </w:tc>
        <w:tc>
          <w:tcPr>
            <w:tcW w:w="3404" w:type="dxa"/>
            <w:tcBorders/>
            <w:vAlign w:val="center"/>
          </w:tcPr>
          <w:p>
            <w:pPr>
              <w:pStyle w:val="TableContents"/>
              <w:bidi w:val="0"/>
              <w:spacing w:before="0" w:after="40"/>
              <w:jc w:val="end"/>
              <w:rPr/>
            </w:pPr>
            <w:r>
              <w:rPr>
                <w:sz w:val="19"/>
              </w:rPr>
              <w:t>34</w:t>
            </w:r>
          </w:p>
        </w:tc>
      </w:tr>
      <w:tr>
        <w:trPr>
          <w:cantSplit/>
        </w:trPr>
        <w:tc>
          <w:tcPr>
            <w:tcW w:w="3403" w:type="dxa"/>
            <w:tcBorders/>
            <w:vAlign w:val="center"/>
          </w:tcPr>
          <w:p>
            <w:pPr>
              <w:pStyle w:val="TableContents"/>
              <w:bidi w:val="0"/>
              <w:spacing w:before="0" w:after="40"/>
              <w:jc w:val="end"/>
              <w:rPr/>
            </w:pPr>
            <w:r>
              <w:rPr>
                <w:sz w:val="19"/>
              </w:rPr>
              <w:t>27</w:t>
            </w:r>
          </w:p>
        </w:tc>
        <w:tc>
          <w:tcPr>
            <w:tcW w:w="2553" w:type="dxa"/>
            <w:tcBorders/>
            <w:vAlign w:val="center"/>
          </w:tcPr>
          <w:p>
            <w:pPr>
              <w:pStyle w:val="TableContents"/>
              <w:suppressLineNumbers/>
              <w:bidi w:val="0"/>
              <w:spacing w:before="0" w:after="40"/>
              <w:ind w:hanging="0" w:start="43" w:end="43"/>
              <w:rPr/>
            </w:pPr>
            <w:r>
              <w:rPr>
                <w:sz w:val="19"/>
              </w:rPr>
              <w:t>Anexo A.8: Información para partes interesadas</w:t>
            </w:r>
          </w:p>
        </w:tc>
        <w:tc>
          <w:tcPr>
            <w:tcW w:w="3404" w:type="dxa"/>
            <w:tcBorders/>
            <w:vAlign w:val="center"/>
          </w:tcPr>
          <w:p>
            <w:pPr>
              <w:pStyle w:val="TableContents"/>
              <w:bidi w:val="0"/>
              <w:spacing w:before="0" w:after="40"/>
              <w:jc w:val="end"/>
              <w:rPr/>
            </w:pPr>
            <w:r>
              <w:rPr>
                <w:sz w:val="19"/>
              </w:rPr>
              <w:t>36</w:t>
            </w:r>
          </w:p>
        </w:tc>
      </w:tr>
      <w:tr>
        <w:trPr>
          <w:cantSplit/>
        </w:trPr>
        <w:tc>
          <w:tcPr>
            <w:tcW w:w="3403" w:type="dxa"/>
            <w:tcBorders/>
            <w:vAlign w:val="center"/>
          </w:tcPr>
          <w:p>
            <w:pPr>
              <w:pStyle w:val="TableContents"/>
              <w:bidi w:val="0"/>
              <w:spacing w:before="0" w:after="40"/>
              <w:jc w:val="end"/>
              <w:rPr/>
            </w:pPr>
            <w:r>
              <w:rPr>
                <w:sz w:val="19"/>
              </w:rPr>
              <w:t>28</w:t>
            </w:r>
          </w:p>
        </w:tc>
        <w:tc>
          <w:tcPr>
            <w:tcW w:w="2553" w:type="dxa"/>
            <w:tcBorders/>
            <w:vAlign w:val="center"/>
          </w:tcPr>
          <w:p>
            <w:pPr>
              <w:pStyle w:val="TableContents"/>
              <w:suppressLineNumbers/>
              <w:bidi w:val="0"/>
              <w:spacing w:before="0" w:after="40"/>
              <w:ind w:hanging="0" w:start="43" w:end="43"/>
              <w:rPr/>
            </w:pPr>
            <w:r>
              <w:rPr>
                <w:sz w:val="19"/>
              </w:rPr>
              <w:t>Anexos A.9 y A.10: Uso responsable, proveedores y clientes</w:t>
            </w:r>
          </w:p>
        </w:tc>
        <w:tc>
          <w:tcPr>
            <w:tcW w:w="3404" w:type="dxa"/>
            <w:tcBorders/>
            <w:vAlign w:val="center"/>
          </w:tcPr>
          <w:p>
            <w:pPr>
              <w:pStyle w:val="TableContents"/>
              <w:bidi w:val="0"/>
              <w:spacing w:before="0" w:after="40"/>
              <w:jc w:val="end"/>
              <w:rPr/>
            </w:pPr>
            <w:r>
              <w:rPr>
                <w:sz w:val="19"/>
              </w:rPr>
              <w:t>38</w:t>
            </w:r>
          </w:p>
        </w:tc>
      </w:tr>
      <w:tr>
        <w:trPr>
          <w:cantSplit/>
        </w:trPr>
        <w:tc>
          <w:tcPr>
            <w:tcW w:w="3403" w:type="dxa"/>
            <w:tcBorders/>
            <w:vAlign w:val="center"/>
          </w:tcPr>
          <w:p>
            <w:pPr>
              <w:pStyle w:val="TableContents"/>
              <w:bidi w:val="0"/>
              <w:spacing w:before="0" w:after="40"/>
              <w:jc w:val="end"/>
              <w:rPr/>
            </w:pPr>
            <w:r>
              <w:rPr>
                <w:sz w:val="19"/>
              </w:rPr>
              <w:t>29</w:t>
            </w:r>
          </w:p>
        </w:tc>
        <w:tc>
          <w:tcPr>
            <w:tcW w:w="2553" w:type="dxa"/>
            <w:tcBorders/>
            <w:vAlign w:val="center"/>
          </w:tcPr>
          <w:p>
            <w:pPr>
              <w:pStyle w:val="TableContents"/>
              <w:suppressLineNumbers/>
              <w:bidi w:val="0"/>
              <w:spacing w:before="0" w:after="40"/>
              <w:ind w:hanging="0" w:start="43" w:end="43"/>
              <w:rPr/>
            </w:pPr>
            <w:r>
              <w:rPr>
                <w:sz w:val="19"/>
              </w:rPr>
              <w:t>Certificación, ISO/IEC 42006:2025 y preparación para auditoría</w:t>
            </w:r>
          </w:p>
        </w:tc>
        <w:tc>
          <w:tcPr>
            <w:tcW w:w="3404" w:type="dxa"/>
            <w:tcBorders/>
            <w:vAlign w:val="center"/>
          </w:tcPr>
          <w:p>
            <w:pPr>
              <w:pStyle w:val="TableContents"/>
              <w:bidi w:val="0"/>
              <w:spacing w:before="0" w:after="40"/>
              <w:jc w:val="end"/>
              <w:rPr/>
            </w:pPr>
            <w:r>
              <w:rPr>
                <w:sz w:val="19"/>
              </w:rPr>
              <w:t>40</w:t>
            </w:r>
          </w:p>
        </w:tc>
      </w:tr>
      <w:tr>
        <w:trPr>
          <w:cantSplit/>
        </w:trPr>
        <w:tc>
          <w:tcPr>
            <w:tcW w:w="3403" w:type="dxa"/>
            <w:tcBorders/>
            <w:vAlign w:val="center"/>
          </w:tcPr>
          <w:p>
            <w:pPr>
              <w:pStyle w:val="TableContents"/>
              <w:bidi w:val="0"/>
              <w:spacing w:before="0" w:after="40"/>
              <w:jc w:val="end"/>
              <w:rPr/>
            </w:pPr>
            <w:r>
              <w:rPr>
                <w:sz w:val="19"/>
              </w:rPr>
              <w:t>30</w:t>
            </w:r>
          </w:p>
        </w:tc>
        <w:tc>
          <w:tcPr>
            <w:tcW w:w="2553" w:type="dxa"/>
            <w:tcBorders/>
            <w:vAlign w:val="center"/>
          </w:tcPr>
          <w:p>
            <w:pPr>
              <w:pStyle w:val="TableContents"/>
              <w:suppressLineNumbers/>
              <w:bidi w:val="0"/>
              <w:spacing w:before="0" w:after="40"/>
              <w:ind w:hanging="0" w:start="43" w:end="43"/>
              <w:rPr/>
            </w:pPr>
            <w:r>
              <w:rPr>
                <w:sz w:val="19"/>
              </w:rPr>
              <w:t>Herramientas de código abierto para evidencia del SGIA y aseguramiento de IA</w:t>
            </w:r>
          </w:p>
        </w:tc>
        <w:tc>
          <w:tcPr>
            <w:tcW w:w="3404" w:type="dxa"/>
            <w:tcBorders/>
            <w:vAlign w:val="center"/>
          </w:tcPr>
          <w:p>
            <w:pPr>
              <w:pStyle w:val="TableContents"/>
              <w:bidi w:val="0"/>
              <w:spacing w:before="0" w:after="40"/>
              <w:jc w:val="end"/>
              <w:rPr/>
            </w:pPr>
            <w:r>
              <w:rPr>
                <w:sz w:val="19"/>
              </w:rPr>
              <w:t>42</w:t>
            </w:r>
          </w:p>
        </w:tc>
      </w:tr>
      <w:tr>
        <w:trPr>
          <w:cantSplit/>
        </w:trPr>
        <w:tc>
          <w:tcPr>
            <w:tcW w:w="3403" w:type="dxa"/>
            <w:tcBorders/>
            <w:vAlign w:val="center"/>
          </w:tcPr>
          <w:p>
            <w:pPr>
              <w:pStyle w:val="TableContents"/>
              <w:bidi w:val="0"/>
              <w:spacing w:before="0" w:after="40"/>
              <w:jc w:val="end"/>
              <w:rPr/>
            </w:pPr>
            <w:r>
              <w:rPr>
                <w:sz w:val="19"/>
              </w:rPr>
              <w:t>31</w:t>
            </w:r>
          </w:p>
        </w:tc>
        <w:tc>
          <w:tcPr>
            <w:tcW w:w="2553" w:type="dxa"/>
            <w:tcBorders/>
            <w:vAlign w:val="center"/>
          </w:tcPr>
          <w:p>
            <w:pPr>
              <w:pStyle w:val="TableContents"/>
              <w:suppressLineNumbers/>
              <w:bidi w:val="0"/>
              <w:spacing w:before="0" w:after="40"/>
              <w:ind w:hanging="0" w:start="43" w:end="43"/>
              <w:rPr/>
            </w:pPr>
            <w:r>
              <w:rPr>
                <w:sz w:val="19"/>
              </w:rPr>
              <w:t>Guía práctica para responsables y analistas junior, laboratorio y entrevistas</w:t>
            </w:r>
          </w:p>
        </w:tc>
        <w:tc>
          <w:tcPr>
            <w:tcW w:w="3404" w:type="dxa"/>
            <w:tcBorders/>
            <w:vAlign w:val="center"/>
          </w:tcPr>
          <w:p>
            <w:pPr>
              <w:pStyle w:val="TableContents"/>
              <w:bidi w:val="0"/>
              <w:spacing w:before="0" w:after="40"/>
              <w:jc w:val="end"/>
              <w:rPr/>
            </w:pPr>
            <w:r>
              <w:rPr>
                <w:sz w:val="19"/>
              </w:rPr>
              <w:t>47</w:t>
            </w:r>
          </w:p>
        </w:tc>
      </w:tr>
      <w:tr>
        <w:trPr>
          <w:cantSplit/>
        </w:trPr>
        <w:tc>
          <w:tcPr>
            <w:tcW w:w="3403" w:type="dxa"/>
            <w:tcBorders/>
            <w:vAlign w:val="center"/>
          </w:tcPr>
          <w:p>
            <w:pPr>
              <w:pStyle w:val="TableContents"/>
              <w:bidi w:val="0"/>
              <w:spacing w:before="0" w:after="40"/>
              <w:jc w:val="end"/>
              <w:rPr/>
            </w:pPr>
            <w:r>
              <w:rPr>
                <w:sz w:val="19"/>
              </w:rPr>
              <w:t>32</w:t>
            </w:r>
          </w:p>
        </w:tc>
        <w:tc>
          <w:tcPr>
            <w:tcW w:w="2553" w:type="dxa"/>
            <w:tcBorders/>
            <w:vAlign w:val="center"/>
          </w:tcPr>
          <w:p>
            <w:pPr>
              <w:pStyle w:val="TableContents"/>
              <w:suppressLineNumbers/>
              <w:bidi w:val="0"/>
              <w:spacing w:before="0" w:after="40"/>
              <w:ind w:hanging="0" w:start="43" w:end="43"/>
              <w:rPr/>
            </w:pPr>
            <w:r>
              <w:rPr>
                <w:sz w:val="19"/>
              </w:rPr>
              <w:t>Plantillas, glosario, índice y referencias oficiales</w:t>
            </w:r>
          </w:p>
        </w:tc>
        <w:tc>
          <w:tcPr>
            <w:tcW w:w="3404" w:type="dxa"/>
            <w:tcBorders/>
            <w:vAlign w:val="center"/>
          </w:tcPr>
          <w:p>
            <w:pPr>
              <w:pStyle w:val="TableContents"/>
              <w:bidi w:val="0"/>
              <w:spacing w:before="0" w:after="40"/>
              <w:jc w:val="end"/>
              <w:rPr/>
            </w:pPr>
            <w:r>
              <w:rPr>
                <w:sz w:val="19"/>
              </w:rPr>
              <w:t>51</w:t>
            </w:r>
          </w:p>
        </w:tc>
      </w:tr>
    </w:tbl>
    <w:p>
      <w:pPr>
        <w:pStyle w:val="Heading1"/>
        <w:tabs>
          <w:tab w:val="clear" w:pos="709"/>
          <w:tab w:val="left" w:pos="0" w:leader="none"/>
        </w:tabs>
        <w:bidi w:val="0"/>
        <w:ind w:hanging="0" w:start="0"/>
        <w:jc w:val="left"/>
        <w:rPr/>
        <w:keepNext/>
      </w:pPr>
      <w:bookmarkStart w:id="4" w:name="isoiec-42001-y-el-sistema-de-gestión-de-"/>
      <w:r>
        <w:rPr/>
        <w:t>1. ISO/IEC 42001 y el sistema de gestión de inteligencia artificial</w:t>
      </w:r>
      <w:bookmarkEnd w:id="4"/>
    </w:p>
    <w:p>
      <w:pPr>
        <w:pStyle w:val="Firstparagraph"/>
        <w:bidi w:val="0"/>
        <w:rPr>
          <w:i/>
          <w:iCs/>
        </w:rPr>
      </w:pPr>
      <w:r>
        <w:rPr>
          <w:i/>
          <w:iCs/>
        </w:rPr>
        <w:t>ISO/IEC 42001 especifica requisitos para que una organización establezca, implemente, mantenga y mejore continuamente un sistema de gestión de inteligencia artificial.</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rPr>
          <w:tblHeader w:val="true"/>
          <w:cantSplit/>
        </w:trPr>
        <w:tc>
          <w:tcPr>
            <w:tcW w:w="3120" w:type="dxa"/>
            <w:tcBorders/>
            <w:vAlign w:val="center"/>
            <w:shd w:fill="1F4E78"/>
          </w:tcPr>
          <w:p>
            <w:pPr>
              <w:pStyle w:val="TableHeading"/>
              <w:bidi w:val="0"/>
              <w:spacing w:before="0" w:after="40"/>
              <w:rPr>
                <w:b/>
                <w:bCs/>
              </w:rPr>
            </w:pPr>
            <w:r>
              <w:rPr>
                <w:b/>
                <w:bCs/>
                <w:sz w:val="19"/>
                <w:color w:val="FFFFFF"/>
              </w:rPr>
              <w:t>Concepto</w:t>
            </w:r>
          </w:p>
        </w:tc>
        <w:tc>
          <w:tcPr>
            <w:tcW w:w="3120" w:type="dxa"/>
            <w:tcBorders/>
            <w:vAlign w:val="center"/>
            <w:shd w:fill="1F4E78"/>
          </w:tcPr>
          <w:p>
            <w:pPr>
              <w:pStyle w:val="TableHeading"/>
              <w:bidi w:val="0"/>
              <w:spacing w:before="0" w:after="40"/>
              <w:rPr>
                <w:b/>
                <w:bCs/>
              </w:rPr>
            </w:pPr>
            <w:r>
              <w:rPr>
                <w:b/>
                <w:bCs/>
                <w:sz w:val="19"/>
                <w:color w:val="FFFFFF"/>
              </w:rPr>
              <w:t>Significado sencillo</w:t>
            </w:r>
          </w:p>
        </w:tc>
        <w:tc>
          <w:tcPr>
            <w:tcW w:w="3120" w:type="dxa"/>
            <w:tcBorders/>
            <w:vAlign w:val="center"/>
            <w:shd w:fill="1F4E78"/>
          </w:tcPr>
          <w:p>
            <w:pPr>
              <w:pStyle w:val="TableHeading"/>
              <w:bidi w:val="0"/>
              <w:spacing w:before="0" w:after="40"/>
              <w:rPr>
                <w:b/>
                <w:bCs/>
              </w:rPr>
            </w:pPr>
            <w:r>
              <w:rPr>
                <w:b/>
                <w:bCs/>
                <w:sz w:val="19"/>
                <w:color w:val="FFFFFF"/>
              </w:rPr>
              <w:t>Pregunta de evidencia</w:t>
            </w:r>
          </w:p>
        </w:tc>
      </w:tr>
      <w:tr>
        <w:trPr>
          <w:cantSplit/>
        </w:trPr>
        <w:tc>
          <w:tcPr>
            <w:tcW w:w="3120" w:type="dxa"/>
            <w:tcBorders/>
            <w:vAlign w:val="center"/>
          </w:tcPr>
          <w:p>
            <w:pPr>
              <w:pStyle w:val="TableContents"/>
              <w:suppressLineNumbers/>
              <w:bidi w:val="0"/>
              <w:spacing w:before="0" w:after="40"/>
              <w:ind w:hanging="0" w:start="43" w:end="43"/>
              <w:rPr/>
            </w:pPr>
            <w:r>
              <w:rPr>
                <w:sz w:val="19"/>
              </w:rPr>
              <w:t>SGIA</w:t>
            </w:r>
          </w:p>
        </w:tc>
        <w:tc>
          <w:tcPr>
            <w:tcW w:w="3120" w:type="dxa"/>
            <w:tcBorders/>
            <w:vAlign w:val="center"/>
          </w:tcPr>
          <w:p>
            <w:pPr>
              <w:pStyle w:val="TableContents"/>
              <w:suppressLineNumbers/>
              <w:bidi w:val="0"/>
              <w:spacing w:before="0" w:after="40"/>
              <w:ind w:hanging="0" w:start="43" w:end="43"/>
              <w:rPr/>
            </w:pPr>
            <w:r>
              <w:rPr>
                <w:sz w:val="19"/>
              </w:rPr>
              <w:t>Políticas, objetivos, procesos, funciones, controles y registros interrelacionados para una IA responsable</w:t>
            </w:r>
          </w:p>
        </w:tc>
        <w:tc>
          <w:tcPr>
            <w:tcW w:w="3120" w:type="dxa"/>
            <w:tcBorders/>
            <w:vAlign w:val="center"/>
          </w:tcPr>
          <w:p>
            <w:pPr>
              <w:pStyle w:val="TableContents"/>
              <w:suppressLineNumbers/>
              <w:bidi w:val="0"/>
              <w:spacing w:before="0" w:after="40"/>
              <w:ind w:hanging="0" w:start="43" w:end="43"/>
              <w:rPr/>
            </w:pPr>
            <w:r>
              <w:rPr>
                <w:sz w:val="19"/>
              </w:rPr>
              <w:t>¿El sistema funciona en todo el alcance definido?</w:t>
            </w:r>
          </w:p>
        </w:tc>
      </w:tr>
      <w:tr>
        <w:trPr>
          <w:cantSplit/>
        </w:trPr>
        <w:tc>
          <w:tcPr>
            <w:tcW w:w="3120" w:type="dxa"/>
            <w:tcBorders/>
            <w:vAlign w:val="center"/>
          </w:tcPr>
          <w:p>
            <w:pPr>
              <w:pStyle w:val="TableContents"/>
              <w:suppressLineNumbers/>
              <w:bidi w:val="0"/>
              <w:spacing w:before="0" w:after="40"/>
              <w:ind w:hanging="0" w:start="43" w:end="43"/>
              <w:rPr/>
            </w:pPr>
            <w:r>
              <w:rPr>
                <w:sz w:val="19"/>
              </w:rPr>
              <w:t>Función de la organización</w:t>
            </w:r>
          </w:p>
        </w:tc>
        <w:tc>
          <w:tcPr>
            <w:tcW w:w="3120" w:type="dxa"/>
            <w:tcBorders/>
            <w:vAlign w:val="center"/>
          </w:tcPr>
          <w:p>
            <w:pPr>
              <w:pStyle w:val="TableContents"/>
              <w:suppressLineNumbers/>
              <w:bidi w:val="0"/>
              <w:spacing w:before="0" w:after="40"/>
              <w:ind w:hanging="0" w:start="43" w:end="43"/>
              <w:rPr/>
            </w:pPr>
            <w:r>
              <w:rPr>
                <w:sz w:val="19"/>
              </w:rPr>
              <w:t>Desarrollador/proveedor, implementador/usuario, proveedor, cliente o varias funciones</w:t>
            </w:r>
          </w:p>
        </w:tc>
        <w:tc>
          <w:tcPr>
            <w:tcW w:w="3120" w:type="dxa"/>
            <w:tcBorders/>
            <w:vAlign w:val="center"/>
          </w:tcPr>
          <w:p>
            <w:pPr>
              <w:pStyle w:val="TableContents"/>
              <w:suppressLineNumbers/>
              <w:bidi w:val="0"/>
              <w:spacing w:before="0" w:after="40"/>
              <w:ind w:hanging="0" w:start="43" w:end="43"/>
              <w:rPr/>
            </w:pPr>
            <w:r>
              <w:rPr>
                <w:sz w:val="19"/>
              </w:rPr>
              <w:t>¿Qué responsabilidades están bajo control?</w:t>
            </w:r>
          </w:p>
        </w:tc>
      </w:tr>
      <w:tr>
        <w:trPr>
          <w:cantSplit/>
        </w:trPr>
        <w:tc>
          <w:tcPr>
            <w:tcW w:w="3120" w:type="dxa"/>
            <w:tcBorders/>
            <w:vAlign w:val="center"/>
          </w:tcPr>
          <w:p>
            <w:pPr>
              <w:pStyle w:val="TableContents"/>
              <w:suppressLineNumbers/>
              <w:bidi w:val="0"/>
              <w:spacing w:before="0" w:after="40"/>
              <w:ind w:hanging="0" w:start="43" w:end="43"/>
              <w:rPr/>
            </w:pPr>
            <w:r>
              <w:rPr>
                <w:sz w:val="19"/>
              </w:rPr>
              <w:t>Sistema de IA</w:t>
            </w:r>
          </w:p>
        </w:tc>
        <w:tc>
          <w:tcPr>
            <w:tcW w:w="3120" w:type="dxa"/>
            <w:tcBorders/>
            <w:vAlign w:val="center"/>
          </w:tcPr>
          <w:p>
            <w:pPr>
              <w:pStyle w:val="TableContents"/>
              <w:suppressLineNumbers/>
              <w:bidi w:val="0"/>
              <w:spacing w:before="0" w:after="40"/>
              <w:ind w:hanging="0" w:start="43" w:end="43"/>
              <w:rPr/>
            </w:pPr>
            <w:r>
              <w:rPr>
                <w:sz w:val="19"/>
              </w:rPr>
              <w:t>Personas, datos, modelos, software, infraestructura, procesos e interfaces utilizados para producir un resultado de IA</w:t>
            </w:r>
          </w:p>
        </w:tc>
        <w:tc>
          <w:tcPr>
            <w:tcW w:w="3120" w:type="dxa"/>
            <w:tcBorders/>
            <w:vAlign w:val="center"/>
          </w:tcPr>
          <w:p>
            <w:pPr>
              <w:pStyle w:val="TableContents"/>
              <w:suppressLineNumbers/>
              <w:bidi w:val="0"/>
              <w:spacing w:before="0" w:after="40"/>
              <w:ind w:hanging="0" w:start="43" w:end="43"/>
              <w:rPr/>
            </w:pPr>
            <w:r>
              <w:rPr>
                <w:sz w:val="19"/>
              </w:rPr>
              <w:t>¿Cuál es el límite completo?</w:t>
            </w:r>
          </w:p>
        </w:tc>
      </w:tr>
      <w:tr>
        <w:trPr>
          <w:cantSplit/>
        </w:trPr>
        <w:tc>
          <w:tcPr>
            <w:tcW w:w="3120" w:type="dxa"/>
            <w:tcBorders/>
            <w:vAlign w:val="center"/>
          </w:tcPr>
          <w:p>
            <w:pPr>
              <w:pStyle w:val="TableContents"/>
              <w:suppressLineNumbers/>
              <w:bidi w:val="0"/>
              <w:spacing w:before="0" w:after="40"/>
              <w:ind w:hanging="0" w:start="43" w:end="43"/>
              <w:rPr/>
            </w:pPr>
            <w:r>
              <w:rPr>
                <w:sz w:val="19"/>
              </w:rPr>
              <w:t>Conformidad</w:t>
            </w:r>
          </w:p>
        </w:tc>
        <w:tc>
          <w:tcPr>
            <w:tcW w:w="3120" w:type="dxa"/>
            <w:tcBorders/>
            <w:vAlign w:val="center"/>
          </w:tcPr>
          <w:p>
            <w:pPr>
              <w:pStyle w:val="TableContents"/>
              <w:suppressLineNumbers/>
              <w:bidi w:val="0"/>
              <w:spacing w:before="0" w:after="40"/>
              <w:ind w:hanging="0" w:start="43" w:end="43"/>
              <w:rPr/>
            </w:pPr>
            <w:r>
              <w:rPr>
                <w:sz w:val="19"/>
              </w:rPr>
              <w:t>Los requisitos se cumplen dentro del alcance certificado</w:t>
            </w:r>
          </w:p>
        </w:tc>
        <w:tc>
          <w:tcPr>
            <w:tcW w:w="3120" w:type="dxa"/>
            <w:tcBorders/>
            <w:vAlign w:val="center"/>
          </w:tcPr>
          <w:p>
            <w:pPr>
              <w:pStyle w:val="TableContents"/>
              <w:suppressLineNumbers/>
              <w:bidi w:val="0"/>
              <w:spacing w:before="0" w:after="40"/>
              <w:ind w:hanging="0" w:start="43" w:end="43"/>
              <w:rPr/>
            </w:pPr>
            <w:r>
              <w:rPr>
                <w:sz w:val="19"/>
              </w:rPr>
              <w:t>¿Qué cláusula, implementación, evidencia y resultado respaldan la afirmación?</w:t>
            </w:r>
          </w:p>
        </w:tc>
      </w:tr>
      <w:tr>
        <w:trPr>
          <w:cantSplit/>
        </w:trPr>
        <w:tc>
          <w:tcPr>
            <w:tcW w:w="3120" w:type="dxa"/>
            <w:tcBorders/>
            <w:vAlign w:val="center"/>
          </w:tcPr>
          <w:p>
            <w:pPr>
              <w:pStyle w:val="TableContents"/>
              <w:suppressLineNumbers/>
              <w:bidi w:val="0"/>
              <w:spacing w:before="0" w:after="40"/>
              <w:ind w:hanging="0" w:start="43" w:end="43"/>
              <w:rPr/>
            </w:pPr>
            <w:r>
              <w:rPr>
                <w:sz w:val="19"/>
              </w:rPr>
              <w:t>Certificación</w:t>
            </w:r>
          </w:p>
        </w:tc>
        <w:tc>
          <w:tcPr>
            <w:tcW w:w="3120" w:type="dxa"/>
            <w:tcBorders/>
            <w:vAlign w:val="center"/>
          </w:tcPr>
          <w:p>
            <w:pPr>
              <w:pStyle w:val="TableContents"/>
              <w:suppressLineNumbers/>
              <w:bidi w:val="0"/>
              <w:spacing w:before="0" w:after="40"/>
              <w:ind w:hanging="0" w:start="43" w:end="43"/>
              <w:rPr/>
            </w:pPr>
            <w:r>
              <w:rPr>
                <w:sz w:val="19"/>
              </w:rPr>
              <w:t>Evaluación independiente de tercera parte del SGIA frente a ISO/IEC 42001</w:t>
            </w:r>
          </w:p>
        </w:tc>
        <w:tc>
          <w:tcPr>
            <w:tcW w:w="3120" w:type="dxa"/>
            <w:tcBorders/>
            <w:vAlign w:val="center"/>
          </w:tcPr>
          <w:p>
            <w:pPr>
              <w:pStyle w:val="TableContents"/>
              <w:suppressLineNumbers/>
              <w:bidi w:val="0"/>
              <w:spacing w:before="0" w:after="40"/>
              <w:ind w:hanging="0" w:start="43" w:end="43"/>
              <w:rPr/>
            </w:pPr>
            <w:r>
              <w:rPr>
                <w:sz w:val="19"/>
              </w:rPr>
              <w:t>¿Qué entidad, alcance, norma, organismo, fechas y estado están certificados?</w:t>
            </w:r>
          </w:p>
        </w:tc>
      </w:tr>
    </w:tbl>
    <w:p>
      <w:pPr>
        <w:pStyle w:val="Heading2"/>
        <w:tabs>
          <w:tab w:val="clear" w:pos="709"/>
          <w:tab w:val="left" w:pos="0" w:leader="none"/>
        </w:tabs>
        <w:bidi w:val="0"/>
        <w:ind w:hanging="0" w:start="0"/>
        <w:jc w:val="left"/>
        <w:rPr/>
        <w:keepNext/>
      </w:pPr>
      <w:bookmarkStart w:id="5" w:name="lo-que-la-certificación-no-demuestra"/>
      <w:r>
        <w:rPr/>
        <w:t>1.1 Lo que la certificación no demuestra</w:t>
      </w:r>
      <w:bookmarkEnd w:id="5"/>
    </w:p>
    <w:p>
      <w:pPr>
        <w:pStyle w:val="BodyText"/>
        <w:numPr>
          <w:ilvl w:val="0"/>
          <w:numId w:val="3"/>
        </w:numPr>
        <w:bidi w:val="0"/>
        <w:spacing w:before="0" w:after="0"/>
        <w:rPr/>
      </w:pPr>
      <w:r>
        <w:rPr/>
        <w:t>No garantiza que cada resultado de IA sea preciso, imparcial, protegido frente a amenazas, lícito, seguro para las personas o explicable.</w:t>
      </w:r>
    </w:p>
    <w:p>
      <w:pPr>
        <w:pStyle w:val="BodyText"/>
        <w:numPr>
          <w:ilvl w:val="0"/>
          <w:numId w:val="3"/>
        </w:numPr>
        <w:bidi w:val="0"/>
        <w:spacing w:before="0" w:after="0"/>
        <w:rPr/>
      </w:pPr>
      <w:r>
        <w:rPr/>
        <w:t>No certifica individualmente productos de IA salvo que el alcance del SGIA certificado y el esquema respalden explícitamente esa afirmación.</w:t>
      </w:r>
    </w:p>
    <w:p>
      <w:pPr>
        <w:pStyle w:val="BodyText"/>
        <w:numPr>
          <w:ilvl w:val="0"/>
          <w:numId w:val="3"/>
        </w:numPr>
        <w:bidi w:val="0"/>
        <w:spacing w:before="0" w:after="0"/>
        <w:rPr/>
      </w:pPr>
      <w:r>
        <w:rPr/>
        <w:t>No sustituye las pruebas de producto, el análisis legal, la evaluación de impacto, los controles de privacidad y seguridad, la validación de dominio ni la supervisión humana.</w:t>
      </w:r>
    </w:p>
    <w:p>
      <w:pPr>
        <w:pStyle w:val="BodyText"/>
        <w:numPr>
          <w:ilvl w:val="0"/>
          <w:numId w:val="3"/>
        </w:numPr>
        <w:bidi w:val="0"/>
        <w:spacing w:before="0" w:after="0"/>
        <w:rPr/>
      </w:pPr>
      <w:r>
        <w:rPr/>
        <w:t>No transfiere la rendición de cuentas de la organización al organismo de certificación ni al proveedor.</w:t>
      </w:r>
    </w:p>
    <w:p>
      <w:pPr>
        <w:pStyle w:val="Heading1"/>
        <w:tabs>
          <w:tab w:val="clear" w:pos="709"/>
          <w:tab w:val="left" w:pos="0" w:leader="none"/>
        </w:tabs>
        <w:bidi w:val="0"/>
        <w:ind w:hanging="0" w:start="0"/>
        <w:jc w:val="left"/>
        <w:rPr/>
        <w:keepNext/>
      </w:pPr>
      <w:bookmarkStart w:id="6" w:name="arquitectura-del-sgia-y-ciclo-planificar"/>
      <w:r>
        <w:rPr/>
        <w:t>2. Arquitectura del SGIA y ciclo Planificar-Hacer-Verificar-Actuar</w:t>
      </w:r>
      <w:bookmarkEnd w:id="6"/>
    </w:p>
    <w:p>
      <w:pPr>
        <w:pStyle w:val="Firstparagraph"/>
        <w:bidi w:val="0"/>
        <w:rPr>
          <w:i/>
          <w:iCs/>
        </w:rPr>
      </w:pPr>
      <w:r>
        <w:rPr>
          <w:i/>
          <w:iCs/>
        </w:rPr>
        <w:t>El SGIA sigue la estructura armonizada de los sistemas de gestión y un ciclo continuo Planificar-Hacer-Verificar-Actuar (PHVA).</w:t>
      </w:r>
    </w:p>
    <w:p>
      <w:pPr>
        <w:pStyle w:val="FigureWithCaption"/>
        <w:keepNext w:val="true"/>
        <w:suppressLineNumbers/>
        <w:bidi w:val="0"/>
        <w:rPr/>
      </w:pPr>
      <w:r>
        <w:rPr/>
        <w:drawing>
          <wp:inline distT="0" distB="0" distL="0" distR="0">
            <wp:extent cx="5623560" cy="2955925"/>
            <wp:effectExtent l="0" t="0" r="0" b="0"/>
            <wp:docPr id="1" name="Manual 02 Figure 1" title="Figure 1" descr="Las cláusulas interactúan de forma continua; la norma no es una lista lineal que se completa una sola v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1"/>
                    <pic:cNvPicPr>
                      <a:picLocks noChangeAspect="1" noChangeArrowheads="1"/>
                    </pic:cNvPicPr>
                  </pic:nvPicPr>
                  <pic:blipFill>
                    <a:blip r:embed="rId2">
                      <a:extLst>
                        <a:ext uri="{96DAC541-7B7A-43D3-8B79-37D633B846F1}">
                          <asvg:svgBlip xmlns:asvg="http://schemas.microsoft.com/office/drawing/2016/SVG/main" r:embed="rId3"/>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keepNext/>
      </w:pPr>
      <w:r>
        <w:rPr/>
        <w:t>Las cláusulas interactúan de forma continua; la norma no es una lista lineal que se completa una sola vez.</w:t>
      </w:r>
    </w:p>
    <w:p>
      <w:pPr>
        <w:pStyle w:val="Caption"/>
        <w:bidi w:val="0"/>
        <w:spacing w:before="86" w:after="86"/>
        <w:rPr/>
        <w:keepNext/>
      </w:pPr>
      <w:r>
        <w:rPr/>
        <w:t>Figura 1. Ciclo PHVA del SGIA</w:t>
      </w:r>
    </w:p>
    <w:p>
      <w:pPr>
        <w:pStyle w:val="BlockQuotation"/>
        <w:bidi w:val="0"/>
        <w:ind w:hanging="0" w:start="720" w:end="0"/>
        <w:rPr/>
      </w:pPr>
      <w:r>
        <w:rPr>
          <w:b/>
          <w:bCs/>
        </w:rPr>
        <w:t>Explicación accesible:</w:t>
      </w:r>
      <w:r>
        <w:rPr/>
        <w:t xml:space="preserve"> La figura muestra que el SGIA opera como un ciclo. La organización planifica el contexto, los riesgos, los impactos y los objetivos; ejecuta controles y procesos; verifica el desempeño mediante medición, auditoría interna y revisión por la dirección; y actúa sobre no conformidades y oportunidades de mejora antes de reiniciar el ciclo.</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rPr>
          <w:tblHeader w:val="true"/>
          <w:cantSplit/>
        </w:trPr>
        <w:tc>
          <w:tcPr>
            <w:tcW w:w="3120" w:type="dxa"/>
            <w:tcBorders/>
            <w:vAlign w:val="center"/>
            <w:shd w:fill="1F4E78"/>
          </w:tcPr>
          <w:p>
            <w:pPr>
              <w:pStyle w:val="TableHeading"/>
              <w:bidi w:val="0"/>
              <w:spacing w:before="0" w:after="40"/>
              <w:rPr>
                <w:b/>
                <w:bCs/>
              </w:rPr>
            </w:pPr>
            <w:r>
              <w:rPr>
                <w:b/>
                <w:bCs/>
                <w:sz w:val="19"/>
                <w:color w:val="FFFFFF"/>
              </w:rPr>
              <w:t>Etapa PHVA</w:t>
            </w:r>
          </w:p>
        </w:tc>
        <w:tc>
          <w:tcPr>
            <w:tcW w:w="3120" w:type="dxa"/>
            <w:tcBorders/>
            <w:vAlign w:val="center"/>
            <w:shd w:fill="1F4E78"/>
          </w:tcPr>
          <w:p>
            <w:pPr>
              <w:pStyle w:val="TableHeading"/>
              <w:bidi w:val="0"/>
              <w:spacing w:before="0" w:after="40"/>
              <w:rPr>
                <w:b/>
                <w:bCs/>
              </w:rPr>
            </w:pPr>
            <w:r>
              <w:rPr>
                <w:b/>
                <w:bCs/>
                <w:sz w:val="19"/>
                <w:color w:val="FFFFFF"/>
              </w:rPr>
              <w:t>Trabajo de ISO/IEC 42001</w:t>
            </w:r>
          </w:p>
        </w:tc>
        <w:tc>
          <w:tcPr>
            <w:tcW w:w="3120" w:type="dxa"/>
            <w:tcBorders/>
            <w:vAlign w:val="center"/>
            <w:shd w:fill="1F4E78"/>
          </w:tcPr>
          <w:p>
            <w:pPr>
              <w:pStyle w:val="TableHeading"/>
              <w:bidi w:val="0"/>
              <w:spacing w:before="0" w:after="40"/>
              <w:rPr>
                <w:b/>
                <w:bCs/>
              </w:rPr>
            </w:pPr>
            <w:r>
              <w:rPr>
                <w:b/>
                <w:bCs/>
                <w:sz w:val="19"/>
                <w:color w:val="FFFFFF"/>
              </w:rPr>
              <w:t>Resultado típico</w:t>
            </w:r>
          </w:p>
        </w:tc>
      </w:tr>
      <w:tr>
        <w:trPr>
          <w:cantSplit/>
        </w:trPr>
        <w:tc>
          <w:tcPr>
            <w:tcW w:w="3120" w:type="dxa"/>
            <w:tcBorders/>
            <w:vAlign w:val="center"/>
          </w:tcPr>
          <w:p>
            <w:pPr>
              <w:pStyle w:val="TableContents"/>
              <w:suppressLineNumbers/>
              <w:bidi w:val="0"/>
              <w:spacing w:before="0" w:after="40"/>
              <w:ind w:hanging="0" w:start="43" w:end="43"/>
              <w:rPr/>
            </w:pPr>
            <w:r>
              <w:rPr>
                <w:sz w:val="19"/>
              </w:rPr>
              <w:t>Planificar</w:t>
            </w:r>
          </w:p>
        </w:tc>
        <w:tc>
          <w:tcPr>
            <w:tcW w:w="3120" w:type="dxa"/>
            <w:tcBorders/>
            <w:vAlign w:val="center"/>
          </w:tcPr>
          <w:p>
            <w:pPr>
              <w:pStyle w:val="TableContents"/>
              <w:suppressLineNumbers/>
              <w:bidi w:val="0"/>
              <w:spacing w:before="0" w:after="40"/>
              <w:ind w:hanging="0" w:start="43" w:end="43"/>
              <w:rPr/>
            </w:pPr>
            <w:r>
              <w:rPr>
                <w:sz w:val="19"/>
              </w:rPr>
              <w:t>Contexto, liderazgo, riesgo/oportunidad, evaluación, tratamiento, objetivos y recursos</w:t>
            </w:r>
          </w:p>
        </w:tc>
        <w:tc>
          <w:tcPr>
            <w:tcW w:w="3120" w:type="dxa"/>
            <w:tcBorders/>
            <w:vAlign w:val="center"/>
          </w:tcPr>
          <w:p>
            <w:pPr>
              <w:pStyle w:val="TableContents"/>
              <w:suppressLineNumbers/>
              <w:bidi w:val="0"/>
              <w:spacing w:before="0" w:after="40"/>
              <w:ind w:hanging="0" w:start="43" w:end="43"/>
              <w:rPr/>
            </w:pPr>
            <w:r>
              <w:rPr>
                <w:sz w:val="19"/>
              </w:rPr>
              <w:t>Alcance, política, métodos, registro de riesgos, proceso de impacto, Declaración de Aplicabilidad y objetivos</w:t>
            </w:r>
          </w:p>
        </w:tc>
      </w:tr>
      <w:tr>
        <w:trPr>
          <w:cantSplit/>
        </w:trPr>
        <w:tc>
          <w:tcPr>
            <w:tcW w:w="3120" w:type="dxa"/>
            <w:tcBorders/>
            <w:vAlign w:val="center"/>
          </w:tcPr>
          <w:p>
            <w:pPr>
              <w:pStyle w:val="TableContents"/>
              <w:suppressLineNumbers/>
              <w:bidi w:val="0"/>
              <w:spacing w:before="0" w:after="40"/>
              <w:ind w:hanging="0" w:start="43" w:end="43"/>
              <w:rPr/>
            </w:pPr>
            <w:r>
              <w:rPr>
                <w:sz w:val="19"/>
              </w:rPr>
              <w:t>Hacer</w:t>
            </w:r>
          </w:p>
        </w:tc>
        <w:tc>
          <w:tcPr>
            <w:tcW w:w="3120" w:type="dxa"/>
            <w:tcBorders/>
            <w:vAlign w:val="center"/>
          </w:tcPr>
          <w:p>
            <w:pPr>
              <w:pStyle w:val="TableContents"/>
              <w:suppressLineNumbers/>
              <w:bidi w:val="0"/>
              <w:spacing w:before="0" w:after="40"/>
              <w:ind w:hanging="0" w:start="43" w:end="43"/>
              <w:rPr/>
            </w:pPr>
            <w:r>
              <w:rPr>
                <w:sz w:val="19"/>
              </w:rPr>
              <w:t>Competencia, comunicación, documentación, controles operacionales y evaluaciones</w:t>
            </w:r>
          </w:p>
        </w:tc>
        <w:tc>
          <w:tcPr>
            <w:tcW w:w="3120" w:type="dxa"/>
            <w:tcBorders/>
            <w:vAlign w:val="center"/>
          </w:tcPr>
          <w:p>
            <w:pPr>
              <w:pStyle w:val="TableContents"/>
              <w:suppressLineNumbers/>
              <w:bidi w:val="0"/>
              <w:spacing w:before="0" w:after="40"/>
              <w:ind w:hanging="0" w:start="43" w:end="43"/>
              <w:rPr/>
            </w:pPr>
            <w:r>
              <w:rPr>
                <w:sz w:val="19"/>
              </w:rPr>
              <w:t>Procedimientos, registros del sistema, aprobaciones y evidencia de proveedores y ciclo de vida</w:t>
            </w:r>
          </w:p>
        </w:tc>
      </w:tr>
      <w:tr>
        <w:trPr>
          <w:cantSplit/>
        </w:trPr>
        <w:tc>
          <w:tcPr>
            <w:tcW w:w="3120" w:type="dxa"/>
            <w:tcBorders/>
            <w:vAlign w:val="center"/>
          </w:tcPr>
          <w:p>
            <w:pPr>
              <w:pStyle w:val="TableContents"/>
              <w:suppressLineNumbers/>
              <w:bidi w:val="0"/>
              <w:spacing w:before="0" w:after="40"/>
              <w:ind w:hanging="0" w:start="43" w:end="43"/>
              <w:rPr/>
            </w:pPr>
            <w:r>
              <w:rPr>
                <w:sz w:val="19"/>
              </w:rPr>
              <w:t>Verificar</w:t>
            </w:r>
          </w:p>
        </w:tc>
        <w:tc>
          <w:tcPr>
            <w:tcW w:w="3120" w:type="dxa"/>
            <w:tcBorders/>
            <w:vAlign w:val="center"/>
          </w:tcPr>
          <w:p>
            <w:pPr>
              <w:pStyle w:val="TableContents"/>
              <w:suppressLineNumbers/>
              <w:bidi w:val="0"/>
              <w:spacing w:before="0" w:after="40"/>
              <w:ind w:hanging="0" w:start="43" w:end="43"/>
              <w:rPr/>
            </w:pPr>
            <w:r>
              <w:rPr>
                <w:sz w:val="19"/>
              </w:rPr>
              <w:t>Seguimiento, medición, análisis, auditoría interna y revisión por la dirección</w:t>
            </w:r>
          </w:p>
        </w:tc>
        <w:tc>
          <w:tcPr>
            <w:tcW w:w="3120" w:type="dxa"/>
            <w:tcBorders/>
            <w:vAlign w:val="center"/>
          </w:tcPr>
          <w:p>
            <w:pPr>
              <w:pStyle w:val="TableContents"/>
              <w:suppressLineNumbers/>
              <w:bidi w:val="0"/>
              <w:spacing w:before="0" w:after="40"/>
              <w:ind w:hanging="0" w:start="43" w:end="43"/>
              <w:rPr/>
            </w:pPr>
            <w:r>
              <w:rPr>
                <w:sz w:val="19"/>
              </w:rPr>
              <w:t>Métricas, evaluación, informe de auditoría y decisiones de revisión</w:t>
            </w:r>
          </w:p>
        </w:tc>
      </w:tr>
      <w:tr>
        <w:trPr>
          <w:cantSplit/>
        </w:trPr>
        <w:tc>
          <w:tcPr>
            <w:tcW w:w="3120" w:type="dxa"/>
            <w:tcBorders/>
            <w:vAlign w:val="center"/>
          </w:tcPr>
          <w:p>
            <w:pPr>
              <w:pStyle w:val="TableContents"/>
              <w:suppressLineNumbers/>
              <w:bidi w:val="0"/>
              <w:spacing w:before="0" w:after="40"/>
              <w:ind w:hanging="0" w:start="43" w:end="43"/>
              <w:rPr/>
            </w:pPr>
            <w:r>
              <w:rPr>
                <w:sz w:val="19"/>
              </w:rPr>
              <w:t>Actuar</w:t>
            </w:r>
          </w:p>
        </w:tc>
        <w:tc>
          <w:tcPr>
            <w:tcW w:w="3120" w:type="dxa"/>
            <w:tcBorders/>
            <w:vAlign w:val="center"/>
          </w:tcPr>
          <w:p>
            <w:pPr>
              <w:pStyle w:val="TableContents"/>
              <w:suppressLineNumbers/>
              <w:bidi w:val="0"/>
              <w:spacing w:before="0" w:after="40"/>
              <w:ind w:hanging="0" w:start="43" w:end="43"/>
              <w:rPr/>
            </w:pPr>
            <w:r>
              <w:rPr>
                <w:sz w:val="19"/>
              </w:rPr>
              <w:t>No conformidad, corrección, causa raíz, acción correctiva y mejora</w:t>
            </w:r>
          </w:p>
        </w:tc>
        <w:tc>
          <w:tcPr>
            <w:tcW w:w="3120" w:type="dxa"/>
            <w:tcBorders/>
            <w:vAlign w:val="center"/>
          </w:tcPr>
          <w:p>
            <w:pPr>
              <w:pStyle w:val="TableContents"/>
              <w:suppressLineNumbers/>
              <w:bidi w:val="0"/>
              <w:spacing w:before="0" w:after="40"/>
              <w:ind w:hanging="0" w:start="43" w:end="43"/>
              <w:rPr/>
            </w:pPr>
            <w:r>
              <w:rPr>
                <w:sz w:val="19"/>
              </w:rPr>
              <w:t>Registros de acciones, pruebas de eficacia y actualización de riesgos, controles y objetivos</w:t>
            </w:r>
          </w:p>
        </w:tc>
      </w:tr>
    </w:tbl>
    <w:p>
      <w:pPr>
        <w:pStyle w:val="Heading2"/>
        <w:tabs>
          <w:tab w:val="clear" w:pos="709"/>
          <w:tab w:val="left" w:pos="0" w:leader="none"/>
        </w:tabs>
        <w:bidi w:val="0"/>
        <w:ind w:hanging="0" w:start="0"/>
        <w:jc w:val="left"/>
        <w:rPr/>
        <w:keepNext/>
      </w:pPr>
      <w:bookmarkStart w:id="7" w:name="integración-con-sistemas-existentes"/>
      <w:r>
        <w:rPr/>
        <w:t>2.1 Integración con sistemas existentes</w:t>
      </w:r>
      <w:bookmarkEnd w:id="7"/>
    </w:p>
    <w:p>
      <w:pPr>
        <w:pStyle w:val="BodyText"/>
        <w:numPr>
          <w:ilvl w:val="0"/>
          <w:numId w:val="4"/>
        </w:numPr>
        <w:bidi w:val="0"/>
        <w:spacing w:before="0" w:after="0"/>
        <w:rPr/>
      </w:pPr>
      <w:r>
        <w:rPr/>
        <w:t>Reutilice los procesos de gobierno, control documental, riesgo, auditoría, acción correctiva, proveedores, seguridad, privacidad, calidad y continuidad cuando su alcance y controles sean adecuados para el riesgo de IA.</w:t>
      </w:r>
    </w:p>
    <w:p>
      <w:pPr>
        <w:pStyle w:val="BodyText"/>
        <w:numPr>
          <w:ilvl w:val="0"/>
          <w:numId w:val="4"/>
        </w:numPr>
        <w:bidi w:val="0"/>
        <w:spacing w:before="0" w:after="0"/>
        <w:rPr/>
      </w:pPr>
      <w:r>
        <w:rPr/>
        <w:t>Cree adiciones específicas de IA para evaluación de impacto, ciclo de vida de modelos y datos, uso responsable, transparencia, supervisión humana y responsabilidades de la cadena de valor.</w:t>
      </w:r>
    </w:p>
    <w:p>
      <w:pPr>
        <w:pStyle w:val="BodyText"/>
        <w:numPr>
          <w:ilvl w:val="0"/>
          <w:numId w:val="4"/>
        </w:numPr>
        <w:bidi w:val="0"/>
        <w:spacing w:before="0" w:after="0"/>
        <w:rPr/>
      </w:pPr>
      <w:r>
        <w:rPr/>
        <w:t>Mantenga una sola fuente de verdad y mapéela a ISO/IEC 27001:2022, ISO 9001, privacidad, obligaciones legales, NIST AI RMF y deberes sectoriales en vez de duplicar registros.</w:t>
      </w:r>
    </w:p>
    <w:p>
      <w:pPr>
        <w:pStyle w:val="Heading1"/>
        <w:tabs>
          <w:tab w:val="clear" w:pos="709"/>
          <w:tab w:val="left" w:pos="0" w:leader="none"/>
        </w:tabs>
        <w:bidi w:val="0"/>
        <w:ind w:hanging="0" w:start="0"/>
        <w:jc w:val="left"/>
        <w:rPr/>
        <w:keepNext/>
      </w:pPr>
      <w:bookmarkStart w:id="8" w:name="aplicabilidad-funciones-organizacionales"/>
      <w:r>
        <w:rPr/>
        <w:t>3. Aplicabilidad, funciones organizacionales y hoja de ruta de implementación</w:t>
      </w:r>
      <w:bookmarkEnd w:id="8"/>
    </w:p>
    <w:p>
      <w:pPr>
        <w:pStyle w:val="Firstparagraph"/>
        <w:bidi w:val="0"/>
        <w:rPr>
          <w:i/>
          <w:iCs/>
        </w:rPr>
      </w:pPr>
      <w:r>
        <w:rPr>
          <w:i/>
          <w:iCs/>
        </w:rPr>
        <w:t>Una implementación útil comienza con control organizacional, un inventario de IA exacto, funciones responsables y una hoja de ruta por etapas.</w:t>
      </w:r>
    </w:p>
    <w:p>
      <w:pPr>
        <w:pStyle w:val="FigureWithCaption"/>
        <w:keepNext w:val="true"/>
        <w:suppressLineNumbers/>
        <w:bidi w:val="0"/>
        <w:rPr/>
      </w:pPr>
      <w:r>
        <w:rPr/>
        <w:drawing>
          <wp:inline distT="0" distB="0" distL="0" distR="0">
            <wp:extent cx="5623560" cy="2955925"/>
            <wp:effectExtent l="0" t="0" r="0" b="0"/>
            <wp:docPr id="2" name="Manual 02 Figure 2" title="Figure 2" descr="El alcance debe describir con honestidad los límites organizacionales, las funciones de IA, los sistemas, los datos, los proveedores y las exclus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2"/>
                    <pic:cNvPicPr>
                      <a:picLocks noChangeAspect="1" noChangeArrowheads="1"/>
                    </pic:cNvPicPr>
                  </pic:nvPicPr>
                  <pic:blipFill>
                    <a:blip r:embed="rId4">
                      <a:extLst>
                        <a:ext uri="{96DAC541-7B7A-43D3-8B79-37D633B846F1}">
                          <asvg:svgBlip xmlns:asvg="http://schemas.microsoft.com/office/drawing/2016/SVG/main" r:embed="rId5"/>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keepNext/>
      </w:pPr>
      <w:r>
        <w:rPr/>
        <w:t>El alcance debe describir con honestidad los límites organizacionales, las funciones de IA, los sistemas, los datos, los proveedores y las exclusiones.</w:t>
      </w:r>
    </w:p>
    <w:p>
      <w:pPr>
        <w:pStyle w:val="Caption"/>
        <w:bidi w:val="0"/>
        <w:spacing w:before="86" w:after="86"/>
        <w:rPr/>
        <w:keepNext/>
      </w:pPr>
      <w:r>
        <w:rPr/>
        <w:t>Figura 2. Cadena para construir el alcance</w:t>
      </w:r>
    </w:p>
    <w:p>
      <w:pPr>
        <w:pStyle w:val="BlockQuotation"/>
        <w:bidi w:val="0"/>
        <w:ind w:hanging="0" w:start="720" w:end="0"/>
        <w:rPr/>
      </w:pPr>
      <w:r>
        <w:rPr>
          <w:b/>
          <w:bCs/>
        </w:rPr>
        <w:t>Explicación accesible:</w:t>
      </w:r>
      <w:r>
        <w:rPr/>
        <w:t xml:space="preserve"> La figura representa la construcción del alcance desde la organización y sus funciones de IA hasta los sistemas, datos, proveedores, interfaces y exclusiones. Cada límite debe tener una justificación que no evite requisitos aplicables.</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Función</w:t>
            </w:r>
          </w:p>
        </w:tc>
        <w:tc>
          <w:tcPr>
            <w:tcW w:w="4680" w:type="dxa"/>
            <w:tcBorders/>
            <w:vAlign w:val="center"/>
            <w:shd w:fill="1F4E78"/>
          </w:tcPr>
          <w:p>
            <w:pPr>
              <w:pStyle w:val="TableHeading"/>
              <w:bidi w:val="0"/>
              <w:spacing w:before="0" w:after="40"/>
              <w:rPr>
                <w:b/>
                <w:bCs/>
              </w:rPr>
            </w:pPr>
            <w:r>
              <w:rPr>
                <w:b/>
                <w:bCs/>
                <w:sz w:val="19"/>
                <w:color w:val="FFFFFF"/>
              </w:rPr>
              <w:t>Responsabilidad principal</w:t>
            </w:r>
          </w:p>
        </w:tc>
      </w:tr>
      <w:tr>
        <w:trPr>
          <w:cantSplit/>
        </w:trPr>
        <w:tc>
          <w:tcPr>
            <w:tcW w:w="4680" w:type="dxa"/>
            <w:tcBorders/>
            <w:vAlign w:val="center"/>
          </w:tcPr>
          <w:p>
            <w:pPr>
              <w:pStyle w:val="TableContents"/>
              <w:suppressLineNumbers/>
              <w:bidi w:val="0"/>
              <w:spacing w:before="0" w:after="40"/>
              <w:ind w:hanging="0" w:start="43" w:end="43"/>
              <w:rPr/>
            </w:pPr>
            <w:r>
              <w:rPr>
                <w:sz w:val="19"/>
              </w:rPr>
              <w:t>Órgano de gobierno / ejecutivos</w:t>
            </w:r>
          </w:p>
        </w:tc>
        <w:tc>
          <w:tcPr>
            <w:tcW w:w="4680" w:type="dxa"/>
            <w:tcBorders/>
            <w:vAlign w:val="center"/>
          </w:tcPr>
          <w:p>
            <w:pPr>
              <w:pStyle w:val="TableContents"/>
              <w:suppressLineNumbers/>
              <w:bidi w:val="0"/>
              <w:spacing w:before="0" w:after="40"/>
              <w:ind w:hanging="0" w:start="43" w:end="43"/>
              <w:rPr/>
            </w:pPr>
            <w:r>
              <w:rPr>
                <w:sz w:val="19"/>
              </w:rPr>
              <w:t>Supervisión, dirección, recursos, apetito de riesgo y decisiones materiales</w:t>
            </w:r>
          </w:p>
        </w:tc>
      </w:tr>
      <w:tr>
        <w:trPr>
          <w:cantSplit/>
        </w:trPr>
        <w:tc>
          <w:tcPr>
            <w:tcW w:w="4680" w:type="dxa"/>
            <w:tcBorders/>
            <w:vAlign w:val="center"/>
          </w:tcPr>
          <w:p>
            <w:pPr>
              <w:pStyle w:val="TableContents"/>
              <w:suppressLineNumbers/>
              <w:bidi w:val="0"/>
              <w:spacing w:before="0" w:after="40"/>
              <w:ind w:hanging="0" w:start="43" w:end="43"/>
              <w:rPr/>
            </w:pPr>
            <w:r>
              <w:rPr>
                <w:sz w:val="19"/>
              </w:rPr>
              <w:t>Líder del SGIA</w:t>
            </w:r>
          </w:p>
        </w:tc>
        <w:tc>
          <w:tcPr>
            <w:tcW w:w="4680" w:type="dxa"/>
            <w:tcBorders/>
            <w:vAlign w:val="center"/>
          </w:tcPr>
          <w:p>
            <w:pPr>
              <w:pStyle w:val="TableContents"/>
              <w:suppressLineNumbers/>
              <w:bidi w:val="0"/>
              <w:spacing w:before="0" w:after="40"/>
              <w:ind w:hanging="0" w:start="43" w:end="43"/>
              <w:rPr/>
            </w:pPr>
            <w:r>
              <w:rPr>
                <w:sz w:val="19"/>
              </w:rPr>
              <w:t>Coordinar el sistema de gestión, desempeño, auditorías y mejora</w:t>
            </w:r>
          </w:p>
        </w:tc>
      </w:tr>
      <w:tr>
        <w:trPr>
          <w:cantSplit/>
        </w:trPr>
        <w:tc>
          <w:tcPr>
            <w:tcW w:w="4680" w:type="dxa"/>
            <w:tcBorders/>
            <w:vAlign w:val="center"/>
          </w:tcPr>
          <w:p>
            <w:pPr>
              <w:pStyle w:val="TableContents"/>
              <w:suppressLineNumbers/>
              <w:bidi w:val="0"/>
              <w:spacing w:before="0" w:after="40"/>
              <w:ind w:hanging="0" w:start="43" w:end="43"/>
              <w:rPr/>
            </w:pPr>
            <w:r>
              <w:rPr>
                <w:sz w:val="19"/>
              </w:rPr>
              <w:t>Propietario de negocio/sistema de IA</w:t>
            </w:r>
          </w:p>
        </w:tc>
        <w:tc>
          <w:tcPr>
            <w:tcW w:w="4680" w:type="dxa"/>
            <w:tcBorders/>
            <w:vAlign w:val="center"/>
          </w:tcPr>
          <w:p>
            <w:pPr>
              <w:pStyle w:val="TableContents"/>
              <w:suppressLineNumbers/>
              <w:bidi w:val="0"/>
              <w:spacing w:before="0" w:after="40"/>
              <w:ind w:hanging="0" w:start="43" w:end="43"/>
              <w:rPr/>
            </w:pPr>
            <w:r>
              <w:rPr>
                <w:sz w:val="19"/>
              </w:rPr>
              <w:t>Propósito, resultado, proceso afectado, riesgo, aprobación y seguimiento</w:t>
            </w:r>
          </w:p>
        </w:tc>
      </w:tr>
      <w:tr>
        <w:trPr>
          <w:cantSplit/>
        </w:trPr>
        <w:tc>
          <w:tcPr>
            <w:tcW w:w="4680" w:type="dxa"/>
            <w:tcBorders/>
            <w:vAlign w:val="center"/>
          </w:tcPr>
          <w:p>
            <w:pPr>
              <w:pStyle w:val="TableContents"/>
              <w:suppressLineNumbers/>
              <w:bidi w:val="0"/>
              <w:spacing w:before="0" w:after="40"/>
              <w:ind w:hanging="0" w:start="43" w:end="43"/>
              <w:rPr/>
            </w:pPr>
            <w:r>
              <w:rPr>
                <w:sz w:val="19"/>
              </w:rPr>
              <w:t>Modelo/datos/producto/ingeniería</w:t>
            </w:r>
          </w:p>
        </w:tc>
        <w:tc>
          <w:tcPr>
            <w:tcW w:w="4680" w:type="dxa"/>
            <w:tcBorders/>
            <w:vAlign w:val="center"/>
          </w:tcPr>
          <w:p>
            <w:pPr>
              <w:pStyle w:val="TableContents"/>
              <w:suppressLineNumbers/>
              <w:bidi w:val="0"/>
              <w:spacing w:before="0" w:after="40"/>
              <w:ind w:hanging="0" w:start="43" w:end="43"/>
              <w:rPr/>
            </w:pPr>
            <w:r>
              <w:rPr>
                <w:sz w:val="19"/>
              </w:rPr>
              <w:t>Requisitos, diseño, datos, evaluación, despliegue y cambio</w:t>
            </w:r>
          </w:p>
        </w:tc>
      </w:tr>
      <w:tr>
        <w:trPr>
          <w:cantSplit/>
        </w:trPr>
        <w:tc>
          <w:tcPr>
            <w:tcW w:w="4680" w:type="dxa"/>
            <w:tcBorders/>
            <w:vAlign w:val="center"/>
          </w:tcPr>
          <w:p>
            <w:pPr>
              <w:pStyle w:val="TableContents"/>
              <w:suppressLineNumbers/>
              <w:bidi w:val="0"/>
              <w:spacing w:before="0" w:after="40"/>
              <w:ind w:hanging="0" w:start="43" w:end="43"/>
              <w:rPr/>
            </w:pPr>
            <w:r>
              <w:rPr>
                <w:sz w:val="19"/>
              </w:rPr>
              <w:t>Seguridad/privacidad/legal/cumplimiento/seguridad funcional</w:t>
            </w:r>
          </w:p>
        </w:tc>
        <w:tc>
          <w:tcPr>
            <w:tcW w:w="4680" w:type="dxa"/>
            <w:tcBorders/>
            <w:vAlign w:val="center"/>
          </w:tcPr>
          <w:p>
            <w:pPr>
              <w:pStyle w:val="TableContents"/>
              <w:suppressLineNumbers/>
              <w:bidi w:val="0"/>
              <w:spacing w:before="0" w:after="40"/>
              <w:ind w:hanging="0" w:start="43" w:end="43"/>
              <w:rPr/>
            </w:pPr>
            <w:r>
              <w:rPr>
                <w:sz w:val="19"/>
              </w:rPr>
              <w:t>Requisitos especializados, revisión, cuestionamiento e incidentes</w:t>
            </w:r>
          </w:p>
        </w:tc>
      </w:tr>
      <w:tr>
        <w:trPr>
          <w:cantSplit/>
        </w:trPr>
        <w:tc>
          <w:tcPr>
            <w:tcW w:w="4680" w:type="dxa"/>
            <w:tcBorders/>
            <w:vAlign w:val="center"/>
          </w:tcPr>
          <w:p>
            <w:pPr>
              <w:pStyle w:val="TableContents"/>
              <w:suppressLineNumbers/>
              <w:bidi w:val="0"/>
              <w:spacing w:before="0" w:after="40"/>
              <w:ind w:hanging="0" w:start="43" w:end="43"/>
              <w:rPr/>
            </w:pPr>
            <w:r>
              <w:rPr>
                <w:sz w:val="19"/>
              </w:rPr>
              <w:t>Compras/gestor de proveedores</w:t>
            </w:r>
          </w:p>
        </w:tc>
        <w:tc>
          <w:tcPr>
            <w:tcW w:w="4680" w:type="dxa"/>
            <w:tcBorders/>
            <w:vAlign w:val="center"/>
          </w:tcPr>
          <w:p>
            <w:pPr>
              <w:pStyle w:val="TableContents"/>
              <w:suppressLineNumbers/>
              <w:bidi w:val="0"/>
              <w:spacing w:before="0" w:after="40"/>
              <w:ind w:hanging="0" w:start="43" w:end="43"/>
              <w:rPr/>
            </w:pPr>
            <w:r>
              <w:rPr>
                <w:sz w:val="19"/>
              </w:rPr>
              <w:t>Debida diligencia, asignación de responsabilidades, contratos, evidencia, seguimiento y salida</w:t>
            </w:r>
          </w:p>
        </w:tc>
      </w:tr>
      <w:tr>
        <w:trPr>
          <w:cantSplit/>
        </w:trPr>
        <w:tc>
          <w:tcPr>
            <w:tcW w:w="4680" w:type="dxa"/>
            <w:tcBorders/>
            <w:vAlign w:val="center"/>
          </w:tcPr>
          <w:p>
            <w:pPr>
              <w:pStyle w:val="TableContents"/>
              <w:suppressLineNumbers/>
              <w:bidi w:val="0"/>
              <w:spacing w:before="0" w:after="40"/>
              <w:ind w:hanging="0" w:start="43" w:end="43"/>
              <w:rPr/>
            </w:pPr>
            <w:r>
              <w:rPr>
                <w:sz w:val="19"/>
              </w:rPr>
              <w:t>Auditoría interna</w:t>
            </w:r>
          </w:p>
        </w:tc>
        <w:tc>
          <w:tcPr>
            <w:tcW w:w="4680" w:type="dxa"/>
            <w:tcBorders/>
            <w:vAlign w:val="center"/>
          </w:tcPr>
          <w:p>
            <w:pPr>
              <w:pStyle w:val="TableContents"/>
              <w:suppressLineNumbers/>
              <w:bidi w:val="0"/>
              <w:spacing w:before="0" w:after="40"/>
              <w:ind w:hanging="0" w:start="43" w:end="43"/>
              <w:rPr/>
            </w:pPr>
            <w:r>
              <w:rPr>
                <w:sz w:val="19"/>
              </w:rPr>
              <w:t>Evaluación independiente y objetiva sin ser propietaria de los controles</w:t>
            </w:r>
          </w:p>
        </w:tc>
      </w:tr>
    </w:tbl>
    <w:p>
      <w:pPr>
        <w:pStyle w:val="Heading2"/>
        <w:tabs>
          <w:tab w:val="clear" w:pos="709"/>
          <w:tab w:val="left" w:pos="0" w:leader="none"/>
        </w:tabs>
        <w:bidi w:val="0"/>
        <w:ind w:hanging="0" w:start="0"/>
        <w:jc w:val="left"/>
        <w:rPr/>
        <w:keepNext/>
      </w:pPr>
      <w:bookmarkStart w:id="9" w:name="hoja-de-ruta-de-implementación"/>
      <w:r>
        <w:rPr/>
        <w:t>3.1 Hoja de ruta de implementación</w:t>
      </w:r>
      <w:bookmarkEnd w:id="9"/>
    </w:p>
    <w:p>
      <w:pPr>
        <w:pStyle w:val="BodyText"/>
        <w:numPr>
          <w:ilvl w:val="0"/>
          <w:numId w:val="5"/>
        </w:numPr>
        <w:bidi w:val="0"/>
        <w:spacing w:before="0" w:after="0"/>
        <w:rPr/>
      </w:pPr>
      <w:r>
        <w:rPr/>
        <w:t>Autorice el programa y obtenga las normas; defina propósito, patrocinador, recursos y gobierno.</w:t>
      </w:r>
    </w:p>
    <w:p>
      <w:pPr>
        <w:pStyle w:val="BodyText"/>
        <w:numPr>
          <w:ilvl w:val="0"/>
          <w:numId w:val="5"/>
        </w:numPr>
        <w:bidi w:val="0"/>
        <w:spacing w:before="0" w:after="0"/>
        <w:rPr/>
      </w:pPr>
      <w:r>
        <w:rPr/>
        <w:t>Inventaríe sistemas de IA y funciones; realice análisis de contexto y partes interesadas; redacte el alcance y la política.</w:t>
      </w:r>
    </w:p>
    <w:p>
      <w:pPr>
        <w:pStyle w:val="BodyText"/>
        <w:numPr>
          <w:ilvl w:val="0"/>
          <w:numId w:val="5"/>
        </w:numPr>
        <w:bidi w:val="0"/>
        <w:spacing w:before="0" w:after="0"/>
        <w:rPr/>
      </w:pPr>
      <w:r>
        <w:rPr/>
        <w:t>Defina procesos de riesgo, impacto, tratamiento, Declaración de Aplicabilidad, objetivos, documentos, competencia, comunicación y operación.</w:t>
      </w:r>
    </w:p>
    <w:p>
      <w:pPr>
        <w:pStyle w:val="BodyText"/>
        <w:numPr>
          <w:ilvl w:val="0"/>
          <w:numId w:val="5"/>
        </w:numPr>
        <w:bidi w:val="0"/>
        <w:spacing w:before="0" w:after="0"/>
        <w:rPr/>
      </w:pPr>
      <w:r>
        <w:rPr/>
        <w:t>Implemente los controles del Anexo A y controles adicionales según el riesgo; recopile evidencia durante la operación real.</w:t>
      </w:r>
    </w:p>
    <w:p>
      <w:pPr>
        <w:pStyle w:val="BodyText"/>
        <w:numPr>
          <w:ilvl w:val="0"/>
          <w:numId w:val="5"/>
        </w:numPr>
        <w:bidi w:val="0"/>
        <w:spacing w:before="0" w:after="0"/>
        <w:rPr/>
      </w:pPr>
      <w:r>
        <w:rPr/>
        <w:t>Mida el desempeño; complete la auditoría interna y la revisión por la dirección; corrija no conformidades y verifique la eficacia.</w:t>
      </w:r>
    </w:p>
    <w:p>
      <w:pPr>
        <w:pStyle w:val="BodyText"/>
        <w:numPr>
          <w:ilvl w:val="0"/>
          <w:numId w:val="5"/>
        </w:numPr>
        <w:bidi w:val="0"/>
        <w:spacing w:before="0" w:after="0"/>
        <w:rPr/>
      </w:pPr>
      <w:r>
        <w:rPr/>
        <w:t>Seleccione un organismo de certificación competente; complete Etapa 1 y Etapa 2; mantenga vigilancia y mejora.</w:t>
      </w:r>
    </w:p>
    <w:p>
      <w:pPr>
        <w:pStyle w:val="Heading1"/>
        <w:tabs>
          <w:tab w:val="clear" w:pos="709"/>
          <w:tab w:val="left" w:pos="0" w:leader="none"/>
        </w:tabs>
        <w:bidi w:val="0"/>
        <w:ind w:hanging="0" w:start="0"/>
        <w:jc w:val="left"/>
        <w:rPr/>
        <w:keepNext/>
      </w:pPr>
      <w:bookmarkStart w:id="10" w:name="cláusula-4-contexto-de-la-organización"/>
      <w:r>
        <w:rPr/>
        <w:t>4. Cláusula 4: Contexto de la organización</w:t>
      </w:r>
      <w:bookmarkEnd w:id="10"/>
    </w:p>
    <w:p>
      <w:pPr>
        <w:pStyle w:val="Firstparagraph"/>
        <w:bidi w:val="0"/>
        <w:rPr>
          <w:i/>
          <w:iCs/>
        </w:rPr>
      </w:pPr>
      <w:r>
        <w:rPr>
          <w:i/>
          <w:iCs/>
        </w:rPr>
        <w:t>La cláusula 4 establece por qué existe el SGIA, quién importa, qué cubre y cómo interactúan sus procesos.</w:t>
      </w:r>
    </w:p>
    <w:p>
      <w:pPr>
        <w:pStyle w:val="Heading2"/>
        <w:tabs>
          <w:tab w:val="clear" w:pos="709"/>
          <w:tab w:val="left" w:pos="0" w:leader="none"/>
        </w:tabs>
        <w:bidi w:val="0"/>
        <w:ind w:hanging="0" w:start="0"/>
        <w:jc w:val="left"/>
        <w:rPr/>
        <w:keepNext/>
      </w:pPr>
      <w:bookmarkStart w:id="11" w:name="cuestiones-internas-y-externas"/>
      <w:r>
        <w:rPr/>
        <w:t>4.1 Cuestiones internas y externas</w:t>
      </w:r>
      <w:bookmarkEnd w:id="11"/>
    </w:p>
    <w:p>
      <w:pPr>
        <w:pStyle w:val="BodyText"/>
        <w:numPr>
          <w:ilvl w:val="0"/>
          <w:numId w:val="6"/>
        </w:numPr>
        <w:bidi w:val="0"/>
        <w:spacing w:before="0" w:after="0"/>
        <w:rPr/>
      </w:pPr>
      <w:r>
        <w:rPr/>
        <w:t>Estrategia, cultura, gobierno, apetito de riesgo, recursos, competencia, madurez de datos, arquitectura tecnológica, sistemas de gestión existentes y cambio organizacional.</w:t>
      </w:r>
    </w:p>
    <w:p>
      <w:pPr>
        <w:pStyle w:val="BodyText"/>
        <w:numPr>
          <w:ilvl w:val="0"/>
          <w:numId w:val="6"/>
        </w:numPr>
        <w:bidi w:val="0"/>
        <w:spacing w:before="0" w:after="0"/>
        <w:rPr/>
      </w:pPr>
      <w:r>
        <w:rPr/>
        <w:t>Leyes, regulación, expectativas sectoriales, contratos, requisitos de clientes, normas, confianza pública, preocupaciones sociales, mercados, proveedores, amenazas, cambios tecnológicos o de modelos y cuestiones climáticas cuando sean pertinentes para los resultados previstos del SGIA.</w:t>
      </w:r>
    </w:p>
    <w:p>
      <w:pPr>
        <w:pStyle w:val="BodyText"/>
        <w:numPr>
          <w:ilvl w:val="0"/>
          <w:numId w:val="6"/>
        </w:numPr>
        <w:bidi w:val="0"/>
        <w:spacing w:before="0" w:after="0"/>
        <w:rPr/>
      </w:pPr>
      <w:r>
        <w:rPr/>
        <w:t>Registre por qué cada cuestión es relevante, su responsable, el efecto sobre el SGIA, la respuesta y el disparador de revisión.</w:t>
      </w:r>
    </w:p>
    <w:p>
      <w:pPr>
        <w:pStyle w:val="Heading2"/>
        <w:tabs>
          <w:tab w:val="clear" w:pos="709"/>
          <w:tab w:val="left" w:pos="0" w:leader="none"/>
        </w:tabs>
        <w:bidi w:val="0"/>
        <w:ind w:hanging="0" w:start="0"/>
        <w:jc w:val="left"/>
        <w:rPr/>
        <w:keepNext/>
      </w:pPr>
      <w:bookmarkStart w:id="12" w:name="partes-interesadas-y-requisitos"/>
      <w:r>
        <w:rPr/>
        <w:t>4.2 Partes interesadas y requisitos</w:t>
      </w:r>
      <w:bookmarkEnd w:id="12"/>
    </w:p>
    <w:p>
      <w:pPr>
        <w:pStyle w:val="BodyText"/>
        <w:numPr>
          <w:ilvl w:val="0"/>
          <w:numId w:val="7"/>
        </w:numPr>
        <w:bidi w:val="0"/>
        <w:spacing w:before="0" w:after="0"/>
        <w:rPr/>
      </w:pPr>
      <w:r>
        <w:rPr/>
        <w:t>Identifique a las personas y grupos afectados por la IA, aunque no sean usuarios ni clientes directos.</w:t>
      </w:r>
    </w:p>
    <w:p>
      <w:pPr>
        <w:pStyle w:val="BodyText"/>
        <w:numPr>
          <w:ilvl w:val="0"/>
          <w:numId w:val="7"/>
        </w:numPr>
        <w:bidi w:val="0"/>
        <w:spacing w:before="0" w:after="0"/>
        <w:rPr/>
      </w:pPr>
      <w:r>
        <w:rPr/>
        <w:t>Incluya, según corresponda, reguladores, clientes, trabajadores, usuarios, titulares de datos, proveedores, socios, comunidades, accionistas, auditores, aseguradoras y público.</w:t>
      </w:r>
    </w:p>
    <w:p>
      <w:pPr>
        <w:pStyle w:val="BodyText"/>
        <w:numPr>
          <w:ilvl w:val="0"/>
          <w:numId w:val="7"/>
        </w:numPr>
        <w:bidi w:val="0"/>
        <w:spacing w:before="0" w:after="0"/>
        <w:rPr/>
      </w:pPr>
      <w:r>
        <w:rPr/>
        <w:t>Separe necesidades y expectativas de las obligaciones de cumplimiento vinculantes; registre autoridad/fuente, sistema/proceso, responsable, evidencia y seguimiento de cambios.</w:t>
      </w:r>
    </w:p>
    <w:p>
      <w:pPr>
        <w:pStyle w:val="BodyText"/>
        <w:numPr>
          <w:ilvl w:val="0"/>
          <w:numId w:val="7"/>
        </w:numPr>
        <w:bidi w:val="0"/>
        <w:spacing w:before="0" w:after="0"/>
        <w:rPr/>
      </w:pPr>
      <w:r>
        <w:rPr/>
        <w:t>Determine qué requisitos abordará la organización mediante el SGIA.</w:t>
      </w:r>
    </w:p>
    <w:p>
      <w:pPr>
        <w:pStyle w:val="Heading2"/>
        <w:tabs>
          <w:tab w:val="clear" w:pos="709"/>
          <w:tab w:val="left" w:pos="0" w:leader="none"/>
        </w:tabs>
        <w:bidi w:val="0"/>
        <w:ind w:hanging="0" w:start="0"/>
        <w:jc w:val="left"/>
        <w:rPr/>
        <w:keepNext/>
      </w:pPr>
      <w:bookmarkStart w:id="13" w:name="declaración-de-alcance"/>
      <w:r>
        <w:rPr/>
        <w:t>4.3 Declaración de alcance</w:t>
      </w:r>
      <w:bookmarkEnd w:id="13"/>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Elemento del alcance</w:t>
            </w:r>
          </w:p>
        </w:tc>
        <w:tc>
          <w:tcPr>
            <w:tcW w:w="4680" w:type="dxa"/>
            <w:tcBorders/>
            <w:vAlign w:val="center"/>
            <w:shd w:fill="1F4E78"/>
          </w:tcPr>
          <w:p>
            <w:pPr>
              <w:pStyle w:val="TableHeading"/>
              <w:bidi w:val="0"/>
              <w:spacing w:before="0" w:after="40"/>
              <w:rPr>
                <w:b/>
                <w:bCs/>
              </w:rPr>
            </w:pPr>
            <w:r>
              <w:rPr>
                <w:b/>
                <w:bCs/>
                <w:sz w:val="19"/>
                <w:color w:val="FFFFFF"/>
              </w:rPr>
              <w:t>Claridad requerida</w:t>
            </w:r>
          </w:p>
        </w:tc>
      </w:tr>
      <w:tr>
        <w:trPr>
          <w:cantSplit/>
        </w:trPr>
        <w:tc>
          <w:tcPr>
            <w:tcW w:w="4680" w:type="dxa"/>
            <w:tcBorders/>
            <w:vAlign w:val="center"/>
          </w:tcPr>
          <w:p>
            <w:pPr>
              <w:pStyle w:val="TableContents"/>
              <w:suppressLineNumbers/>
              <w:bidi w:val="0"/>
              <w:spacing w:before="0" w:after="40"/>
              <w:ind w:hanging="0" w:start="43" w:end="43"/>
              <w:rPr/>
            </w:pPr>
            <w:r>
              <w:rPr>
                <w:sz w:val="19"/>
              </w:rPr>
              <w:t>Organización</w:t>
            </w:r>
          </w:p>
        </w:tc>
        <w:tc>
          <w:tcPr>
            <w:tcW w:w="4680" w:type="dxa"/>
            <w:tcBorders/>
            <w:vAlign w:val="center"/>
          </w:tcPr>
          <w:p>
            <w:pPr>
              <w:pStyle w:val="TableContents"/>
              <w:suppressLineNumbers/>
              <w:bidi w:val="0"/>
              <w:spacing w:before="0" w:after="40"/>
              <w:ind w:hanging="0" w:start="43" w:end="43"/>
              <w:rPr/>
            </w:pPr>
            <w:r>
              <w:rPr>
                <w:sz w:val="19"/>
              </w:rPr>
              <w:t>Entidades legales, unidades de negocio, ubicaciones y funciones</w:t>
            </w:r>
          </w:p>
        </w:tc>
      </w:tr>
      <w:tr>
        <w:trPr>
          <w:cantSplit/>
        </w:trPr>
        <w:tc>
          <w:tcPr>
            <w:tcW w:w="4680" w:type="dxa"/>
            <w:tcBorders/>
            <w:vAlign w:val="center"/>
          </w:tcPr>
          <w:p>
            <w:pPr>
              <w:pStyle w:val="TableContents"/>
              <w:suppressLineNumbers/>
              <w:bidi w:val="0"/>
              <w:spacing w:before="0" w:after="40"/>
              <w:ind w:hanging="0" w:start="43" w:end="43"/>
              <w:rPr/>
            </w:pPr>
            <w:r>
              <w:rPr>
                <w:sz w:val="19"/>
              </w:rPr>
              <w:t>Función de IA</w:t>
            </w:r>
          </w:p>
        </w:tc>
        <w:tc>
          <w:tcPr>
            <w:tcW w:w="4680" w:type="dxa"/>
            <w:tcBorders/>
            <w:vAlign w:val="center"/>
          </w:tcPr>
          <w:p>
            <w:pPr>
              <w:pStyle w:val="TableContents"/>
              <w:suppressLineNumbers/>
              <w:bidi w:val="0"/>
              <w:spacing w:before="0" w:after="40"/>
              <w:ind w:hanging="0" w:start="43" w:end="43"/>
              <w:rPr/>
            </w:pPr>
            <w:r>
              <w:rPr>
                <w:sz w:val="19"/>
              </w:rPr>
              <w:t>Desarrollador/proveedor, implementador/usuario, servicio/proveedor o combinación</w:t>
            </w:r>
          </w:p>
        </w:tc>
      </w:tr>
      <w:tr>
        <w:trPr>
          <w:cantSplit/>
        </w:trPr>
        <w:tc>
          <w:tcPr>
            <w:tcW w:w="4680" w:type="dxa"/>
            <w:tcBorders/>
            <w:vAlign w:val="center"/>
          </w:tcPr>
          <w:p>
            <w:pPr>
              <w:pStyle w:val="TableContents"/>
              <w:suppressLineNumbers/>
              <w:bidi w:val="0"/>
              <w:spacing w:before="0" w:after="40"/>
              <w:ind w:hanging="0" w:start="43" w:end="43"/>
              <w:rPr/>
            </w:pPr>
            <w:r>
              <w:rPr>
                <w:sz w:val="19"/>
              </w:rPr>
              <w:t>Productos/servicios/procesos</w:t>
            </w:r>
          </w:p>
        </w:tc>
        <w:tc>
          <w:tcPr>
            <w:tcW w:w="4680" w:type="dxa"/>
            <w:tcBorders/>
            <w:vAlign w:val="center"/>
          </w:tcPr>
          <w:p>
            <w:pPr>
              <w:pStyle w:val="TableContents"/>
              <w:suppressLineNumbers/>
              <w:bidi w:val="0"/>
              <w:spacing w:before="0" w:after="40"/>
              <w:ind w:hanging="0" w:start="43" w:end="43"/>
              <w:rPr/>
            </w:pPr>
            <w:r>
              <w:rPr>
                <w:sz w:val="19"/>
              </w:rPr>
              <w:t>Ofertas habilitadas por IA y usos internos</w:t>
            </w:r>
          </w:p>
        </w:tc>
      </w:tr>
      <w:tr>
        <w:trPr>
          <w:cantSplit/>
        </w:trPr>
        <w:tc>
          <w:tcPr>
            <w:tcW w:w="4680" w:type="dxa"/>
            <w:tcBorders/>
            <w:vAlign w:val="center"/>
          </w:tcPr>
          <w:p>
            <w:pPr>
              <w:pStyle w:val="TableContents"/>
              <w:suppressLineNumbers/>
              <w:bidi w:val="0"/>
              <w:spacing w:before="0" w:after="40"/>
              <w:ind w:hanging="0" w:start="43" w:end="43"/>
              <w:rPr/>
            </w:pPr>
            <w:r>
              <w:rPr>
                <w:sz w:val="19"/>
              </w:rPr>
              <w:t>Tecnología y datos</w:t>
            </w:r>
          </w:p>
        </w:tc>
        <w:tc>
          <w:tcPr>
            <w:tcW w:w="4680" w:type="dxa"/>
            <w:tcBorders/>
            <w:vAlign w:val="center"/>
          </w:tcPr>
          <w:p>
            <w:pPr>
              <w:pStyle w:val="TableContents"/>
              <w:suppressLineNumbers/>
              <w:bidi w:val="0"/>
              <w:spacing w:before="0" w:after="40"/>
              <w:ind w:hanging="0" w:start="43" w:end="43"/>
              <w:rPr/>
            </w:pPr>
            <w:r>
              <w:rPr>
                <w:sz w:val="19"/>
              </w:rPr>
              <w:t>Sistemas, modelos, entornos, interfaces y conjuntos de datos clave</w:t>
            </w:r>
          </w:p>
        </w:tc>
      </w:tr>
      <w:tr>
        <w:trPr>
          <w:cantSplit/>
        </w:trPr>
        <w:tc>
          <w:tcPr>
            <w:tcW w:w="4680" w:type="dxa"/>
            <w:tcBorders/>
            <w:vAlign w:val="center"/>
          </w:tcPr>
          <w:p>
            <w:pPr>
              <w:pStyle w:val="TableContents"/>
              <w:suppressLineNumbers/>
              <w:bidi w:val="0"/>
              <w:spacing w:before="0" w:after="40"/>
              <w:ind w:hanging="0" w:start="43" w:end="43"/>
              <w:rPr/>
            </w:pPr>
            <w:r>
              <w:rPr>
                <w:sz w:val="19"/>
              </w:rPr>
              <w:t>Límites/dependencias</w:t>
            </w:r>
          </w:p>
        </w:tc>
        <w:tc>
          <w:tcPr>
            <w:tcW w:w="4680" w:type="dxa"/>
            <w:tcBorders/>
            <w:vAlign w:val="center"/>
          </w:tcPr>
          <w:p>
            <w:pPr>
              <w:pStyle w:val="TableContents"/>
              <w:suppressLineNumbers/>
              <w:bidi w:val="0"/>
              <w:spacing w:before="0" w:after="40"/>
              <w:ind w:hanging="0" w:start="43" w:end="43"/>
              <w:rPr/>
            </w:pPr>
            <w:r>
              <w:rPr>
                <w:sz w:val="19"/>
              </w:rPr>
              <w:t>Servicios compartidos, proveedores, clientes y exclusiones</w:t>
            </w:r>
          </w:p>
        </w:tc>
      </w:tr>
      <w:tr>
        <w:trPr>
          <w:cantSplit/>
        </w:trPr>
        <w:tc>
          <w:tcPr>
            <w:tcW w:w="4680" w:type="dxa"/>
            <w:tcBorders/>
            <w:vAlign w:val="center"/>
          </w:tcPr>
          <w:p>
            <w:pPr>
              <w:pStyle w:val="TableContents"/>
              <w:suppressLineNumbers/>
              <w:bidi w:val="0"/>
              <w:spacing w:before="0" w:after="40"/>
              <w:ind w:hanging="0" w:start="43" w:end="43"/>
              <w:rPr/>
            </w:pPr>
            <w:r>
              <w:rPr>
                <w:sz w:val="19"/>
              </w:rPr>
              <w:t>Justificación</w:t>
            </w:r>
          </w:p>
        </w:tc>
        <w:tc>
          <w:tcPr>
            <w:tcW w:w="4680" w:type="dxa"/>
            <w:tcBorders/>
            <w:vAlign w:val="center"/>
          </w:tcPr>
          <w:p>
            <w:pPr>
              <w:pStyle w:val="TableContents"/>
              <w:suppressLineNumbers/>
              <w:bidi w:val="0"/>
              <w:spacing w:before="0" w:after="40"/>
              <w:ind w:hanging="0" w:start="43" w:end="43"/>
              <w:rPr/>
            </w:pPr>
            <w:r>
              <w:rPr>
                <w:sz w:val="19"/>
              </w:rPr>
              <w:t>Por qué los límites son válidos y no eluden requisitos aplicables</w:t>
            </w:r>
          </w:p>
        </w:tc>
      </w:tr>
    </w:tbl>
    <w:p>
      <w:pPr>
        <w:pStyle w:val="Heading2"/>
        <w:tabs>
          <w:tab w:val="clear" w:pos="709"/>
          <w:tab w:val="left" w:pos="0" w:leader="none"/>
        </w:tabs>
        <w:bidi w:val="0"/>
        <w:ind w:hanging="0" w:start="0"/>
        <w:jc w:val="left"/>
        <w:rPr/>
        <w:keepNext/>
      </w:pPr>
      <w:bookmarkStart w:id="14" w:name="procesos-del-sgia"/>
      <w:r>
        <w:rPr/>
        <w:t>4.4 Procesos del SGIA</w:t>
      </w:r>
      <w:bookmarkEnd w:id="14"/>
    </w:p>
    <w:p>
      <w:pPr>
        <w:pStyle w:val="BodyText"/>
        <w:numPr>
          <w:ilvl w:val="0"/>
          <w:numId w:val="8"/>
        </w:numPr>
        <w:bidi w:val="0"/>
        <w:spacing w:before="0" w:after="0"/>
        <w:rPr/>
      </w:pPr>
      <w:r>
        <w:rPr/>
        <w:t>Defina propósito del proceso, entradas, salidas, secuencia, interacción, propietario, criterios, controles, recursos, registros, medidas, riesgos y mejora.</w:t>
      </w:r>
    </w:p>
    <w:p>
      <w:pPr>
        <w:pStyle w:val="BodyText"/>
        <w:numPr>
          <w:ilvl w:val="0"/>
          <w:numId w:val="8"/>
        </w:numPr>
        <w:bidi w:val="0"/>
        <w:spacing w:before="0" w:after="0"/>
        <w:rPr/>
      </w:pPr>
      <w:r>
        <w:rPr/>
        <w:t>Un mapa de procesos debe conectar inventario, riesgo, impacto, tratamiento, objetivos, ciclo de vida, datos, proveedores, uso, seguimiento, incidentes, auditoría, revisión y acción correctiva.</w:t>
      </w:r>
    </w:p>
    <w:p>
      <w:pPr>
        <w:pStyle w:val="Heading1"/>
        <w:tabs>
          <w:tab w:val="clear" w:pos="709"/>
          <w:tab w:val="left" w:pos="0" w:leader="none"/>
        </w:tabs>
        <w:bidi w:val="0"/>
        <w:ind w:hanging="0" w:start="0"/>
        <w:jc w:val="left"/>
        <w:rPr/>
        <w:keepNext/>
      </w:pPr>
      <w:bookmarkStart w:id="15" w:name="cláusula-5-liderazgo"/>
      <w:r>
        <w:rPr/>
        <w:t>5. Cláusula 5: Liderazgo</w:t>
      </w:r>
      <w:bookmarkEnd w:id="15"/>
    </w:p>
    <w:p>
      <w:pPr>
        <w:pStyle w:val="Firstparagraph"/>
        <w:bidi w:val="0"/>
        <w:rPr>
          <w:i/>
          <w:iCs/>
        </w:rPr>
      </w:pPr>
      <w:r>
        <w:rPr>
          <w:i/>
          <w:iCs/>
        </w:rPr>
        <w:t>La alta dirección debe asumir la responsabilidad del SGIA, la política, la integración, los recursos, la comunicación, el desempeño y las funciones responsables.</w:t>
      </w:r>
    </w:p>
    <w:p>
      <w:pPr>
        <w:pStyle w:val="Heading2"/>
        <w:tabs>
          <w:tab w:val="clear" w:pos="709"/>
          <w:tab w:val="left" w:pos="0" w:leader="none"/>
        </w:tabs>
        <w:bidi w:val="0"/>
        <w:ind w:hanging="0" w:start="0"/>
        <w:jc w:val="left"/>
        <w:rPr/>
        <w:keepNext/>
      </w:pPr>
      <w:bookmarkStart w:id="16" w:name="demostración-de-liderazgo"/>
      <w:r>
        <w:rPr/>
        <w:t>5.1 Demostración de liderazgo</w:t>
      </w:r>
      <w:bookmarkEnd w:id="16"/>
    </w:p>
    <w:p>
      <w:pPr>
        <w:pStyle w:val="BodyText"/>
        <w:numPr>
          <w:ilvl w:val="0"/>
          <w:numId w:val="9"/>
        </w:numPr>
        <w:bidi w:val="0"/>
        <w:spacing w:before="0" w:after="0"/>
        <w:rPr/>
      </w:pPr>
      <w:r>
        <w:rPr/>
        <w:t>Haga que los objetivos del SGIA sean compatibles con la estrategia y los compromisos de IA responsable.</w:t>
      </w:r>
    </w:p>
    <w:p>
      <w:pPr>
        <w:pStyle w:val="BodyText"/>
        <w:numPr>
          <w:ilvl w:val="0"/>
          <w:numId w:val="9"/>
        </w:numPr>
        <w:bidi w:val="0"/>
        <w:spacing w:before="0" w:after="0"/>
        <w:rPr/>
      </w:pPr>
      <w:r>
        <w:rPr/>
        <w:t>Integre los requisitos del SGIA en procesos de negocio, producto, compras, datos, tecnología, personas, riesgo y cambio.</w:t>
      </w:r>
    </w:p>
    <w:p>
      <w:pPr>
        <w:pStyle w:val="BodyText"/>
        <w:numPr>
          <w:ilvl w:val="0"/>
          <w:numId w:val="9"/>
        </w:numPr>
        <w:bidi w:val="0"/>
        <w:spacing w:before="0" w:after="0"/>
        <w:rPr/>
      </w:pPr>
      <w:r>
        <w:rPr/>
        <w:t>Proporcione personas competentes, tiempo, herramientas, datos, infraestructura, presupuesto, cuestionamiento independiente y autoridad.</w:t>
      </w:r>
    </w:p>
    <w:p>
      <w:pPr>
        <w:pStyle w:val="BodyText"/>
        <w:numPr>
          <w:ilvl w:val="0"/>
          <w:numId w:val="9"/>
        </w:numPr>
        <w:bidi w:val="0"/>
        <w:spacing w:before="0" w:after="0"/>
        <w:rPr/>
      </w:pPr>
      <w:r>
        <w:rPr/>
        <w:t>Comunique que la gestión eficaz de IA y la conformidad son importantes, incluso cuando la presión de entrega entre en conflicto con los controles.</w:t>
      </w:r>
    </w:p>
    <w:p>
      <w:pPr>
        <w:pStyle w:val="BodyText"/>
        <w:numPr>
          <w:ilvl w:val="0"/>
          <w:numId w:val="9"/>
        </w:numPr>
        <w:bidi w:val="0"/>
        <w:spacing w:before="0" w:after="0"/>
        <w:rPr/>
      </w:pPr>
      <w:r>
        <w:rPr/>
        <w:t>Revise el desempeño y apoye a las personas que contribuyen a la mejora o plantean preocupaciones.</w:t>
      </w:r>
    </w:p>
    <w:p>
      <w:pPr>
        <w:pStyle w:val="BodyText"/>
        <w:numPr>
          <w:ilvl w:val="0"/>
          <w:numId w:val="9"/>
        </w:numPr>
        <w:bidi w:val="0"/>
        <w:spacing w:before="0" w:after="0"/>
        <w:rPr/>
      </w:pPr>
      <w:r>
        <w:rPr/>
        <w:t>Asegure que se logren los resultados previstos en lugar de tratar la certificación como el único resultado.</w:t>
      </w:r>
    </w:p>
    <w:p>
      <w:pPr>
        <w:pStyle w:val="Heading2"/>
        <w:tabs>
          <w:tab w:val="clear" w:pos="709"/>
          <w:tab w:val="left" w:pos="0" w:leader="none"/>
        </w:tabs>
        <w:bidi w:val="0"/>
        <w:ind w:hanging="0" w:start="0"/>
        <w:jc w:val="left"/>
        <w:rPr/>
        <w:keepNext/>
      </w:pPr>
      <w:bookmarkStart w:id="17" w:name="política-de-ia"/>
      <w:r>
        <w:rPr/>
        <w:t>5.2 Política de IA</w:t>
      </w:r>
      <w:bookmarkEnd w:id="17"/>
    </w:p>
    <w:p>
      <w:pPr>
        <w:pStyle w:val="BodyText"/>
        <w:numPr>
          <w:ilvl w:val="0"/>
          <w:numId w:val="10"/>
        </w:numPr>
        <w:bidi w:val="0"/>
        <w:spacing w:before="0" w:after="0"/>
        <w:rPr/>
      </w:pPr>
      <w:r>
        <w:rPr/>
        <w:t>Declare propósito, principios, compromisos con requisitos aplicables, IA responsable basada en riesgos, objetivos y mejora continua.</w:t>
      </w:r>
    </w:p>
    <w:p>
      <w:pPr>
        <w:pStyle w:val="BodyText"/>
        <w:numPr>
          <w:ilvl w:val="0"/>
          <w:numId w:val="10"/>
        </w:numPr>
        <w:bidi w:val="0"/>
        <w:spacing w:before="0" w:after="0"/>
        <w:rPr/>
      </w:pPr>
      <w:r>
        <w:rPr/>
        <w:t>Adapte la política a las funciones de IA, contexto, cultura, impacto, ley, productos y apetito de riesgo de la organización.</w:t>
      </w:r>
    </w:p>
    <w:p>
      <w:pPr>
        <w:pStyle w:val="BodyText"/>
        <w:numPr>
          <w:ilvl w:val="0"/>
          <w:numId w:val="10"/>
        </w:numPr>
        <w:bidi w:val="0"/>
        <w:spacing w:before="0" w:after="0"/>
        <w:rPr/>
      </w:pPr>
      <w:r>
        <w:rPr/>
        <w:t>Alinee seguridad, privacidad, calidad, datos, ética, RR. HH., compras, producto, registros, seguridad funcional e incidentes.</w:t>
      </w:r>
    </w:p>
    <w:p>
      <w:pPr>
        <w:pStyle w:val="BodyText"/>
        <w:numPr>
          <w:ilvl w:val="0"/>
          <w:numId w:val="10"/>
        </w:numPr>
        <w:bidi w:val="0"/>
        <w:spacing w:before="0" w:after="0"/>
        <w:rPr/>
      </w:pPr>
      <w:r>
        <w:rPr/>
        <w:t>Apruebe al nivel adecuado, comunique a las personas pertinentes, póngala a disposición según corresponda y revísela a intervalos planificados y después de cambios materiales.</w:t>
      </w:r>
    </w:p>
    <w:p>
      <w:pPr>
        <w:pStyle w:val="Heading2"/>
        <w:tabs>
          <w:tab w:val="clear" w:pos="709"/>
          <w:tab w:val="left" w:pos="0" w:leader="none"/>
        </w:tabs>
        <w:bidi w:val="0"/>
        <w:ind w:hanging="0" w:start="0"/>
        <w:jc w:val="left"/>
        <w:rPr/>
        <w:keepNext/>
      </w:pPr>
      <w:bookmarkStart w:id="18" w:name="funciones-responsabilidades-y-autoridade"/>
      <w:r>
        <w:rPr/>
        <w:t>5.3 Funciones, responsabilidades y autoridades</w:t>
      </w:r>
      <w:bookmarkEnd w:id="18"/>
    </w:p>
    <w:p>
      <w:pPr>
        <w:pStyle w:val="BodyText"/>
        <w:numPr>
          <w:ilvl w:val="0"/>
          <w:numId w:val="11"/>
        </w:numPr>
        <w:bidi w:val="0"/>
        <w:spacing w:before="0" w:after="0"/>
        <w:rPr/>
      </w:pPr>
      <w:r>
        <w:rPr/>
        <w:t>Defina la responsabilidad por el SGIA y por informar su desempeño a la alta dirección.</w:t>
      </w:r>
    </w:p>
    <w:p>
      <w:pPr>
        <w:pStyle w:val="BodyText"/>
        <w:numPr>
          <w:ilvl w:val="0"/>
          <w:numId w:val="11"/>
        </w:numPr>
        <w:bidi w:val="0"/>
        <w:spacing w:before="0" w:after="0"/>
        <w:rPr/>
      </w:pPr>
      <w:r>
        <w:rPr/>
        <w:t>Asigne propietarios para cada sistema de IA, riesgo, impacto, fuente de datos, modelo, proveedor, control, métrica, incidente, cambio y acción correctiva.</w:t>
      </w:r>
    </w:p>
    <w:p>
      <w:pPr>
        <w:pStyle w:val="BodyText"/>
        <w:numPr>
          <w:ilvl w:val="0"/>
          <w:numId w:val="11"/>
        </w:numPr>
        <w:bidi w:val="0"/>
        <w:spacing w:before="0" w:after="0"/>
        <w:rPr/>
      </w:pPr>
      <w:r>
        <w:rPr/>
        <w:t>Defina autoridad de aprobación y escalamiento; evite conflictos donde el mismo equipo crea, valida, acepta y audita riesgos de alto impacto sin cuestionamiento suficiente.</w:t>
      </w:r>
    </w:p>
    <w:p>
      <w:pPr>
        <w:pStyle w:val="Heading1"/>
        <w:tabs>
          <w:tab w:val="clear" w:pos="709"/>
          <w:tab w:val="left" w:pos="0" w:leader="none"/>
        </w:tabs>
        <w:bidi w:val="0"/>
        <w:ind w:hanging="0" w:start="0"/>
        <w:jc w:val="left"/>
        <w:rPr/>
        <w:keepNext/>
      </w:pPr>
      <w:bookmarkStart w:id="19" w:name="cláusula-6.1-acciones-para-abordar-riesg"/>
      <w:r>
        <w:rPr/>
        <w:t>6. Cláusula 6.1: Acciones para abordar riesgos y oportunidades</w:t>
      </w:r>
      <w:bookmarkEnd w:id="19"/>
    </w:p>
    <w:p>
      <w:pPr>
        <w:pStyle w:val="Firstparagraph"/>
        <w:bidi w:val="0"/>
        <w:rPr>
          <w:i/>
          <w:iCs/>
        </w:rPr>
      </w:pPr>
      <w:r>
        <w:rPr>
          <w:i/>
          <w:iCs/>
        </w:rPr>
        <w:t>La planificación convierte el contexto en riesgos, oportunidades, controles, objetivos y cambios gestionados.</w:t>
      </w:r>
    </w:p>
    <w:p>
      <w:pPr>
        <w:pStyle w:val="Heading2"/>
        <w:tabs>
          <w:tab w:val="clear" w:pos="709"/>
          <w:tab w:val="left" w:pos="0" w:leader="none"/>
        </w:tabs>
        <w:bidi w:val="0"/>
        <w:ind w:hanging="0" w:start="0"/>
        <w:jc w:val="left"/>
        <w:rPr/>
        <w:keepNext/>
      </w:pPr>
      <w:bookmarkStart w:id="20" w:name="entradas-de-planificación"/>
      <w:r>
        <w:rPr/>
        <w:t>6.1 Entradas de planificación</w:t>
      </w:r>
      <w:bookmarkEnd w:id="20"/>
    </w:p>
    <w:p>
      <w:pPr>
        <w:pStyle w:val="BodyText"/>
        <w:numPr>
          <w:ilvl w:val="0"/>
          <w:numId w:val="12"/>
        </w:numPr>
        <w:bidi w:val="0"/>
        <w:spacing w:before="0" w:after="0"/>
        <w:rPr/>
      </w:pPr>
      <w:r>
        <w:rPr/>
        <w:t>Contexto y requisitos de partes interesadas; alcance y procesos del SGIA.</w:t>
      </w:r>
    </w:p>
    <w:p>
      <w:pPr>
        <w:pStyle w:val="BodyText"/>
        <w:numPr>
          <w:ilvl w:val="0"/>
          <w:numId w:val="12"/>
        </w:numPr>
        <w:bidi w:val="0"/>
        <w:spacing w:before="0" w:after="0"/>
        <w:rPr/>
      </w:pPr>
      <w:r>
        <w:rPr/>
        <w:t>Inventario de IA, funciones del sistema, etapa del ciclo de vida, personas afectadas, datos, modelos, proveedores, integraciones y condiciones de uso.</w:t>
      </w:r>
    </w:p>
    <w:p>
      <w:pPr>
        <w:pStyle w:val="BodyText"/>
        <w:numPr>
          <w:ilvl w:val="0"/>
          <w:numId w:val="12"/>
        </w:numPr>
        <w:bidi w:val="0"/>
        <w:spacing w:before="0" w:after="0"/>
        <w:rPr/>
      </w:pPr>
      <w:r>
        <w:rPr/>
        <w:t>Beneficios y oportunidades estratégicas, junto con amenazas, fallas, daños, incertidumbre y uso indebido razonablemente previsible.</w:t>
      </w:r>
    </w:p>
    <w:p>
      <w:pPr>
        <w:pStyle w:val="BodyText"/>
        <w:numPr>
          <w:ilvl w:val="0"/>
          <w:numId w:val="12"/>
        </w:numPr>
        <w:bidi w:val="0"/>
        <w:spacing w:before="0" w:after="0"/>
        <w:rPr/>
      </w:pPr>
      <w:r>
        <w:rPr/>
        <w:t>Obligaciones legales, regulatorias, contractuales, de seguridad, privacidad, seguridad funcional, calidad, registros, accesibilidad, empleo, propiedad intelectual, consumo y sectoriales aplicables.</w:t>
      </w:r>
    </w:p>
    <w:p>
      <w:pPr>
        <w:pStyle w:val="Heading2"/>
        <w:tabs>
          <w:tab w:val="clear" w:pos="709"/>
          <w:tab w:val="left" w:pos="0" w:leader="none"/>
        </w:tabs>
        <w:bidi w:val="0"/>
        <w:ind w:hanging="0" w:start="0"/>
        <w:jc w:val="left"/>
        <w:rPr/>
        <w:keepNext/>
      </w:pPr>
      <w:bookmarkStart w:id="21" w:name="acciones-sobre-riesgos-y-oportunidades"/>
      <w:r>
        <w:rPr/>
        <w:t>6.1.1 Acciones sobre riesgos y oportunidades</w:t>
      </w:r>
      <w:bookmarkEnd w:id="21"/>
    </w:p>
    <w:p>
      <w:pPr>
        <w:pStyle w:val="BodyText"/>
        <w:numPr>
          <w:ilvl w:val="0"/>
          <w:numId w:val="13"/>
        </w:numPr>
        <w:bidi w:val="0"/>
        <w:spacing w:before="0" w:after="0"/>
        <w:rPr/>
      </w:pPr>
      <w:r>
        <w:rPr/>
        <w:t>Planifique acciones proporcionales al efecto sobre los resultados del SGIA; intégrelas en los procesos en lugar de mantener únicamente un registro separado.</w:t>
      </w:r>
    </w:p>
    <w:p>
      <w:pPr>
        <w:pStyle w:val="BodyText"/>
        <w:numPr>
          <w:ilvl w:val="0"/>
          <w:numId w:val="13"/>
        </w:numPr>
        <w:bidi w:val="0"/>
        <w:spacing w:before="0" w:after="0"/>
        <w:rPr/>
      </w:pPr>
      <w:r>
        <w:rPr/>
        <w:t>Defina acción, propietario, recurso, fecha, medida, evidencia, dependencia, decisión residual y evaluación de eficacia.</w:t>
      </w:r>
    </w:p>
    <w:p>
      <w:pPr>
        <w:pStyle w:val="BodyText"/>
        <w:numPr>
          <w:ilvl w:val="0"/>
          <w:numId w:val="13"/>
        </w:numPr>
        <w:bidi w:val="0"/>
        <w:spacing w:before="0" w:after="0"/>
        <w:rPr/>
      </w:pPr>
      <w:r>
        <w:rPr/>
        <w:t>Las oportunidades pueden incluir mejor supervisión, calidad de datos, transparencia, evaluación, competencia, eficiencia, confianza de partes interesadas e innovación.</w:t>
      </w:r>
    </w:p>
    <w:p>
      <w:pPr>
        <w:pStyle w:val="BodyText"/>
        <w:numPr>
          <w:ilvl w:val="0"/>
          <w:numId w:val="13"/>
        </w:numPr>
        <w:bidi w:val="0"/>
        <w:spacing w:before="0" w:after="0"/>
        <w:rPr/>
      </w:pPr>
      <w:r>
        <w:rPr/>
        <w:t>Evite que los controles previstos creen nuevos riesgos, como vigilancia excesiva, avisos inaccesibles o sobrecarga de revisión.</w:t>
      </w:r>
    </w:p>
    <w:p>
      <w:pPr>
        <w:pStyle w:val="Heading1"/>
        <w:tabs>
          <w:tab w:val="clear" w:pos="709"/>
          <w:tab w:val="left" w:pos="0" w:leader="none"/>
        </w:tabs>
        <w:bidi w:val="0"/>
        <w:ind w:hanging="0" w:start="0"/>
        <w:jc w:val="left"/>
        <w:rPr/>
        <w:keepNext/>
      </w:pPr>
      <w:bookmarkStart w:id="22" w:name="cláusula-6.1.2-evaluación-de-riesgos-de-"/>
      <w:r>
        <w:rPr/>
        <w:t>7. Cláusula 6.1.2: Evaluación de riesgos de IA</w:t>
      </w:r>
      <w:bookmarkEnd w:id="22"/>
    </w:p>
    <w:p>
      <w:pPr>
        <w:pStyle w:val="Firstparagraph"/>
        <w:bidi w:val="0"/>
        <w:rPr>
          <w:i/>
          <w:iCs/>
        </w:rPr>
      </w:pPr>
      <w:r>
        <w:rPr>
          <w:i/>
          <w:iCs/>
        </w:rPr>
        <w:t>El proceso de evaluación de riesgos de IA debe utilizar criterios definidos y repetibles para identificar, analizar, evaluar y priorizar riesgos.</w:t>
      </w:r>
    </w:p>
    <w:p>
      <w:pPr>
        <w:pStyle w:val="FigureWithCaption"/>
        <w:keepNext w:val="true"/>
        <w:suppressLineNumbers/>
        <w:bidi w:val="0"/>
        <w:rPr/>
      </w:pPr>
      <w:r>
        <w:rPr/>
        <w:drawing>
          <wp:inline distT="0" distB="0" distL="0" distR="0">
            <wp:extent cx="5623560" cy="2955925"/>
            <wp:effectExtent l="0" t="0" r="0" b="0"/>
            <wp:docPr id="3" name="Manual 02 Figure 3" title="Figure 3" descr="Registre evidencia e incertidumbre para que distintos evaluadores puedan llegar a conclusiones compar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g3"/>
                    <pic:cNvPicPr>
                      <a:picLocks noChangeAspect="1" noChangeArrowheads="1"/>
                    </pic:cNvPicPr>
                  </pic:nvPicPr>
                  <pic:blipFill>
                    <a:blip r:embed="rId6">
                      <a:extLst>
                        <a:ext uri="{96DAC541-7B7A-43D3-8B79-37D633B846F1}">
                          <asvg:svgBlip xmlns:asvg="http://schemas.microsoft.com/office/drawing/2016/SVG/main" r:embed="rId7"/>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keepNext/>
      </w:pPr>
      <w:r>
        <w:rPr/>
        <w:t>Registre evidencia e incertidumbre para que distintos evaluadores puedan llegar a conclusiones comparables.</w:t>
      </w:r>
    </w:p>
    <w:p>
      <w:pPr>
        <w:pStyle w:val="Caption"/>
        <w:bidi w:val="0"/>
        <w:spacing w:before="86" w:after="86"/>
        <w:rPr/>
        <w:keepNext/>
      </w:pPr>
      <w:r>
        <w:rPr/>
        <w:t>Figura 3. Flujo de evaluación de riesgos de IA</w:t>
      </w:r>
    </w:p>
    <w:p>
      <w:pPr>
        <w:pStyle w:val="BlockQuotation"/>
        <w:bidi w:val="0"/>
        <w:ind w:hanging="0" w:start="720" w:end="0"/>
        <w:rPr/>
      </w:pPr>
      <w:r>
        <w:rPr>
          <w:b/>
          <w:bCs/>
        </w:rPr>
        <w:t>Explicación accesible:</w:t>
      </w:r>
      <w:r>
        <w:rPr/>
        <w:t xml:space="preserve"> La evaluación parte de un escenario de riesgo definido, analiza contexto, probabilidad, consecuencias, incertidumbre y controles existentes, compara el resultado con criterios establecidos, selecciona tratamiento y conserva evidencia para una decisión residual autorizada y una futura reevaluación.</w:t>
      </w:r>
    </w:p>
    <w:p>
      <w:pPr>
        <w:pStyle w:val="Heading2"/>
        <w:tabs>
          <w:tab w:val="clear" w:pos="709"/>
          <w:tab w:val="left" w:pos="0" w:leader="none"/>
        </w:tabs>
        <w:bidi w:val="0"/>
        <w:ind w:hanging="0" w:start="0"/>
        <w:jc w:val="left"/>
        <w:rPr/>
        <w:keepNext/>
      </w:pPr>
      <w:bookmarkStart w:id="23" w:name="método-de-riesgo"/>
      <w:r>
        <w:rPr/>
        <w:t>7.1 Método de riesgo</w:t>
      </w:r>
      <w:bookmarkEnd w:id="23"/>
    </w:p>
    <w:p>
      <w:pPr>
        <w:pStyle w:val="BodyText"/>
        <w:numPr>
          <w:ilvl w:val="0"/>
          <w:numId w:val="14"/>
        </w:numPr>
        <w:bidi w:val="0"/>
        <w:spacing w:before="0" w:after="0"/>
        <w:rPr/>
      </w:pPr>
      <w:r>
        <w:rPr/>
        <w:t>Defina alcance, unidad de análisis, categorías de riesgo, dimensiones de impacto, probabilidad, gravedad, escala, duración, reversibilidad, grupos afectados, incertidumbre, agregación, tolerancia y autoridad de decisión.</w:t>
      </w:r>
    </w:p>
    <w:p>
      <w:pPr>
        <w:pStyle w:val="BodyText"/>
        <w:numPr>
          <w:ilvl w:val="0"/>
          <w:numId w:val="14"/>
        </w:numPr>
        <w:bidi w:val="0"/>
        <w:spacing w:before="0" w:after="0"/>
        <w:rPr/>
      </w:pPr>
      <w:r>
        <w:rPr/>
        <w:t>Identifique escenarios de riesgo sobre uso previsto, uso indebido previsible, falla, ataque, datos, modelo, comportamiento humano, proveedores, entorno, ley y efecto social.</w:t>
      </w:r>
    </w:p>
    <w:p>
      <w:pPr>
        <w:pStyle w:val="BodyText"/>
        <w:numPr>
          <w:ilvl w:val="0"/>
          <w:numId w:val="14"/>
        </w:numPr>
        <w:bidi w:val="0"/>
        <w:spacing w:before="0" w:after="0"/>
        <w:rPr/>
      </w:pPr>
      <w:r>
        <w:rPr/>
        <w:t>Analice el riesgo inherente y los controles existentes con evidencia; distinga riesgo actual, objetivo y residual.</w:t>
      </w:r>
    </w:p>
    <w:p>
      <w:pPr>
        <w:pStyle w:val="BodyText"/>
        <w:numPr>
          <w:ilvl w:val="0"/>
          <w:numId w:val="14"/>
        </w:numPr>
        <w:bidi w:val="0"/>
        <w:spacing w:before="0" w:after="0"/>
        <w:rPr/>
      </w:pPr>
      <w:r>
        <w:rPr/>
        <w:t>Evalúe frente a criterios; priorice el tratamiento según las consecuencias para personas y negocio, no mediante una sola puntuación técnica.</w:t>
      </w:r>
    </w:p>
    <w:p>
      <w:pPr>
        <w:pStyle w:val="BodyText"/>
        <w:numPr>
          <w:ilvl w:val="0"/>
          <w:numId w:val="14"/>
        </w:numPr>
        <w:bidi w:val="0"/>
        <w:spacing w:before="0" w:after="0"/>
        <w:rPr/>
      </w:pPr>
      <w:r>
        <w:rPr/>
        <w:t>Asegure resultados coherentes, válidos y comparables y conserve la evaluación como información documentada.</w:t>
      </w:r>
    </w:p>
    <w:p>
      <w:pPr>
        <w:pStyle w:val="BodyText"/>
        <w:numPr>
          <w:ilvl w:val="0"/>
          <w:numId w:val="14"/>
        </w:numPr>
        <w:bidi w:val="0"/>
        <w:spacing w:before="0" w:after="0"/>
        <w:rPr/>
      </w:pPr>
      <w:r>
        <w:rPr/>
        <w:t>Reevalúe a intervalos planificados y después de cambios materiales, incidentes, nuevos grupos afectados, actualizaciones de modelos/proveedores, deriva, cambios legales o fallas de control.</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Registro de riesgo</w:t>
            </w:r>
          </w:p>
        </w:tc>
        <w:tc>
          <w:tcPr>
            <w:tcW w:w="4680" w:type="dxa"/>
            <w:tcBorders/>
            <w:vAlign w:val="center"/>
            <w:shd w:fill="1F4E78"/>
          </w:tcPr>
          <w:p>
            <w:pPr>
              <w:pStyle w:val="TableHeading"/>
              <w:bidi w:val="0"/>
              <w:spacing w:before="0" w:after="40"/>
              <w:rPr>
                <w:b/>
                <w:bCs/>
              </w:rPr>
            </w:pPr>
            <w:r>
              <w:rPr>
                <w:b/>
                <w:bCs/>
                <w:sz w:val="19"/>
                <w:color w:val="FFFFFF"/>
              </w:rPr>
              <w:t>Detalle mínimo</w:t>
            </w:r>
          </w:p>
        </w:tc>
      </w:tr>
      <w:tr>
        <w:trPr>
          <w:cantSplit/>
        </w:trPr>
        <w:tc>
          <w:tcPr>
            <w:tcW w:w="4680" w:type="dxa"/>
            <w:tcBorders/>
            <w:vAlign w:val="center"/>
          </w:tcPr>
          <w:p>
            <w:pPr>
              <w:pStyle w:val="TableContents"/>
              <w:suppressLineNumbers/>
              <w:bidi w:val="0"/>
              <w:spacing w:before="0" w:after="40"/>
              <w:ind w:hanging="0" w:start="43" w:end="43"/>
              <w:rPr/>
            </w:pPr>
            <w:r>
              <w:rPr>
                <w:sz w:val="19"/>
              </w:rPr>
              <w:t>Escenario</w:t>
            </w:r>
          </w:p>
        </w:tc>
        <w:tc>
          <w:tcPr>
            <w:tcW w:w="4680" w:type="dxa"/>
            <w:tcBorders/>
            <w:vAlign w:val="center"/>
          </w:tcPr>
          <w:p>
            <w:pPr>
              <w:pStyle w:val="TableContents"/>
              <w:suppressLineNumbers/>
              <w:bidi w:val="0"/>
              <w:spacing w:before="0" w:after="40"/>
              <w:ind w:hanging="0" w:start="43" w:end="43"/>
              <w:rPr/>
            </w:pPr>
            <w:r>
              <w:rPr>
                <w:sz w:val="19"/>
              </w:rPr>
              <w:t>Causa/actor, condición vulnerable, evento/acción, comportamiento del sistema, parte afectada y consecuencia</w:t>
            </w:r>
          </w:p>
        </w:tc>
      </w:tr>
      <w:tr>
        <w:trPr>
          <w:cantSplit/>
        </w:trPr>
        <w:tc>
          <w:tcPr>
            <w:tcW w:w="4680" w:type="dxa"/>
            <w:tcBorders/>
            <w:vAlign w:val="center"/>
          </w:tcPr>
          <w:p>
            <w:pPr>
              <w:pStyle w:val="TableContents"/>
              <w:suppressLineNumbers/>
              <w:bidi w:val="0"/>
              <w:spacing w:before="0" w:after="40"/>
              <w:ind w:hanging="0" w:start="43" w:end="43"/>
              <w:rPr/>
            </w:pPr>
            <w:r>
              <w:rPr>
                <w:sz w:val="19"/>
              </w:rPr>
              <w:t>Contexto</w:t>
            </w:r>
          </w:p>
        </w:tc>
        <w:tc>
          <w:tcPr>
            <w:tcW w:w="4680" w:type="dxa"/>
            <w:tcBorders/>
            <w:vAlign w:val="center"/>
          </w:tcPr>
          <w:p>
            <w:pPr>
              <w:pStyle w:val="TableContents"/>
              <w:suppressLineNumbers/>
              <w:bidi w:val="0"/>
              <w:spacing w:before="0" w:after="40"/>
              <w:ind w:hanging="0" w:start="43" w:end="43"/>
              <w:rPr/>
            </w:pPr>
            <w:r>
              <w:rPr>
                <w:sz w:val="19"/>
              </w:rPr>
              <w:t>Uso, personas, geografía, escala, datos, modelo/versión, herramientas, proveedor y supuestos</w:t>
            </w:r>
          </w:p>
        </w:tc>
      </w:tr>
      <w:tr>
        <w:trPr>
          <w:cantSplit/>
        </w:trPr>
        <w:tc>
          <w:tcPr>
            <w:tcW w:w="4680" w:type="dxa"/>
            <w:tcBorders/>
            <w:vAlign w:val="center"/>
          </w:tcPr>
          <w:p>
            <w:pPr>
              <w:pStyle w:val="TableContents"/>
              <w:suppressLineNumbers/>
              <w:bidi w:val="0"/>
              <w:spacing w:before="0" w:after="40"/>
              <w:ind w:hanging="0" w:start="43" w:end="43"/>
              <w:rPr/>
            </w:pPr>
            <w:r>
              <w:rPr>
                <w:sz w:val="19"/>
              </w:rPr>
              <w:t>Análisis</w:t>
            </w:r>
          </w:p>
        </w:tc>
        <w:tc>
          <w:tcPr>
            <w:tcW w:w="4680" w:type="dxa"/>
            <w:tcBorders/>
            <w:vAlign w:val="center"/>
          </w:tcPr>
          <w:p>
            <w:pPr>
              <w:pStyle w:val="TableContents"/>
              <w:suppressLineNumbers/>
              <w:bidi w:val="0"/>
              <w:spacing w:before="0" w:after="40"/>
              <w:ind w:hanging="0" w:start="43" w:end="43"/>
              <w:rPr/>
            </w:pPr>
            <w:r>
              <w:rPr>
                <w:sz w:val="19"/>
              </w:rPr>
              <w:t>Probabilidad, dimensiones de impacto, incertidumbre, evidencia y eficacia de controles existentes</w:t>
            </w:r>
          </w:p>
        </w:tc>
      </w:tr>
      <w:tr>
        <w:trPr>
          <w:cantSplit/>
        </w:trPr>
        <w:tc>
          <w:tcPr>
            <w:tcW w:w="4680" w:type="dxa"/>
            <w:tcBorders/>
            <w:vAlign w:val="center"/>
          </w:tcPr>
          <w:p>
            <w:pPr>
              <w:pStyle w:val="TableContents"/>
              <w:suppressLineNumbers/>
              <w:bidi w:val="0"/>
              <w:spacing w:before="0" w:after="40"/>
              <w:ind w:hanging="0" w:start="43" w:end="43"/>
              <w:rPr/>
            </w:pPr>
            <w:r>
              <w:rPr>
                <w:sz w:val="19"/>
              </w:rPr>
              <w:t>Tratamiento</w:t>
            </w:r>
          </w:p>
        </w:tc>
        <w:tc>
          <w:tcPr>
            <w:tcW w:w="4680" w:type="dxa"/>
            <w:tcBorders/>
            <w:vAlign w:val="center"/>
          </w:tcPr>
          <w:p>
            <w:pPr>
              <w:pStyle w:val="TableContents"/>
              <w:suppressLineNumbers/>
              <w:bidi w:val="0"/>
              <w:spacing w:before="0" w:after="40"/>
              <w:ind w:hanging="0" w:start="43" w:end="43"/>
              <w:rPr/>
            </w:pPr>
            <w:r>
              <w:rPr>
                <w:sz w:val="19"/>
              </w:rPr>
              <w:t>Evitar/reducir/compartir/aceptar, controles, propietario, fecha, medida y riesgo residual</w:t>
            </w:r>
          </w:p>
        </w:tc>
      </w:tr>
      <w:tr>
        <w:trPr>
          <w:cantSplit/>
        </w:trPr>
        <w:tc>
          <w:tcPr>
            <w:tcW w:w="4680" w:type="dxa"/>
            <w:tcBorders/>
            <w:vAlign w:val="center"/>
          </w:tcPr>
          <w:p>
            <w:pPr>
              <w:pStyle w:val="TableContents"/>
              <w:suppressLineNumbers/>
              <w:bidi w:val="0"/>
              <w:spacing w:before="0" w:after="40"/>
              <w:ind w:hanging="0" w:start="43" w:end="43"/>
              <w:rPr/>
            </w:pPr>
            <w:r>
              <w:rPr>
                <w:sz w:val="19"/>
              </w:rPr>
              <w:t>Decisión</w:t>
            </w:r>
          </w:p>
        </w:tc>
        <w:tc>
          <w:tcPr>
            <w:tcW w:w="4680" w:type="dxa"/>
            <w:tcBorders/>
            <w:vAlign w:val="center"/>
          </w:tcPr>
          <w:p>
            <w:pPr>
              <w:pStyle w:val="TableContents"/>
              <w:suppressLineNumbers/>
              <w:bidi w:val="0"/>
              <w:spacing w:before="0" w:after="40"/>
              <w:ind w:hanging="0" w:start="43" w:end="43"/>
              <w:rPr/>
            </w:pPr>
            <w:r>
              <w:rPr>
                <w:sz w:val="19"/>
              </w:rPr>
              <w:t>Aprobador autorizado, justificación, condiciones, vencimiento, seguimiento y disparador de revisión</w:t>
            </w:r>
          </w:p>
        </w:tc>
      </w:tr>
    </w:tbl>
    <w:p>
      <w:pPr>
        <w:pStyle w:val="Heading1"/>
        <w:tabs>
          <w:tab w:val="clear" w:pos="709"/>
          <w:tab w:val="left" w:pos="0" w:leader="none"/>
        </w:tabs>
        <w:bidi w:val="0"/>
        <w:ind w:hanging="0" w:start="0"/>
        <w:jc w:val="left"/>
        <w:rPr/>
        <w:keepNext/>
      </w:pPr>
      <w:bookmarkStart w:id="24" w:name="cláusula-6.1.3-tratamiento-del-riesgo-de"/>
      <w:r>
        <w:rPr/>
        <w:t>8. Cláusula 6.1.3: Tratamiento del riesgo de IA y Declaración de Aplicabilidad</w:t>
      </w:r>
      <w:bookmarkEnd w:id="24"/>
    </w:p>
    <w:p>
      <w:pPr>
        <w:pStyle w:val="Firstparagraph"/>
        <w:bidi w:val="0"/>
        <w:rPr>
          <w:i/>
          <w:iCs/>
        </w:rPr>
      </w:pPr>
      <w:r>
        <w:rPr>
          <w:i/>
          <w:iCs/>
        </w:rPr>
        <w:t>El tratamiento del riesgo selecciona controles, los compara con el Anexo A, produce la Declaración de Aplicabilidad y obtiene aprobación del riesgo residual.</w:t>
      </w:r>
    </w:p>
    <w:p>
      <w:pPr>
        <w:pStyle w:val="Heading2"/>
        <w:tabs>
          <w:tab w:val="clear" w:pos="709"/>
          <w:tab w:val="left" w:pos="0" w:leader="none"/>
        </w:tabs>
        <w:bidi w:val="0"/>
        <w:ind w:hanging="0" w:start="0"/>
        <w:jc w:val="left"/>
        <w:rPr/>
        <w:keepNext/>
      </w:pPr>
      <w:bookmarkStart w:id="25" w:name="proceso-de-tratamiento"/>
      <w:r>
        <w:rPr/>
        <w:t>8.1 Proceso de tratamiento</w:t>
      </w:r>
      <w:bookmarkEnd w:id="25"/>
    </w:p>
    <w:p>
      <w:pPr>
        <w:pStyle w:val="BodyText"/>
        <w:numPr>
          <w:ilvl w:val="0"/>
          <w:numId w:val="15"/>
        </w:numPr>
        <w:bidi w:val="0"/>
        <w:spacing w:before="0" w:after="0"/>
        <w:rPr/>
      </w:pPr>
      <w:r>
        <w:rPr/>
        <w:t>Elija opciones de tratamiento: evitar, cambiar/reducir, compartir/transferir, aceptar dentro de la autoridad o realizar un piloto estrictamente limitado para reducir incertidumbre.</w:t>
      </w:r>
    </w:p>
    <w:p>
      <w:pPr>
        <w:pStyle w:val="BodyText"/>
        <w:numPr>
          <w:ilvl w:val="0"/>
          <w:numId w:val="15"/>
        </w:numPr>
        <w:bidi w:val="0"/>
        <w:spacing w:before="0" w:after="0"/>
        <w:rPr/>
      </w:pPr>
      <w:r>
        <w:rPr/>
        <w:t>Determine los controles necesarios a partir de requisitos legales y contractuales, resultados de riesgo e impacto de IA, arquitectura, partes interesadas y objetivos.</w:t>
      </w:r>
    </w:p>
    <w:p>
      <w:pPr>
        <w:pStyle w:val="BodyText"/>
        <w:numPr>
          <w:ilvl w:val="0"/>
          <w:numId w:val="15"/>
        </w:numPr>
        <w:bidi w:val="0"/>
        <w:spacing w:before="0" w:after="0"/>
        <w:rPr/>
      </w:pPr>
      <w:r>
        <w:rPr/>
        <w:t>Compare los controles seleccionados con el Anexo A para verificar que no se haya omitido ningún control de referencia pertinente.</w:t>
      </w:r>
    </w:p>
    <w:p>
      <w:pPr>
        <w:pStyle w:val="BodyText"/>
        <w:numPr>
          <w:ilvl w:val="0"/>
          <w:numId w:val="15"/>
        </w:numPr>
        <w:bidi w:val="0"/>
        <w:spacing w:before="0" w:after="0"/>
        <w:rPr/>
      </w:pPr>
      <w:r>
        <w:rPr/>
        <w:t>Añada controles más allá del Anexo A cuando sean necesarios para seguridad, privacidad, seguridad funcional, calidad, evaluación técnica, accesibilidad, resiliencia u obligaciones sectoriales.</w:t>
      </w:r>
    </w:p>
    <w:p>
      <w:pPr>
        <w:pStyle w:val="BodyText"/>
        <w:numPr>
          <w:ilvl w:val="0"/>
          <w:numId w:val="15"/>
        </w:numPr>
        <w:bidi w:val="0"/>
        <w:spacing w:before="0" w:after="0"/>
        <w:rPr/>
      </w:pPr>
      <w:r>
        <w:rPr/>
        <w:t>Cree y apruebe un plan de tratamiento y obtenga autorización para el riesgo residual.</w:t>
      </w:r>
    </w:p>
    <w:p>
      <w:pPr>
        <w:pStyle w:val="BodyText"/>
        <w:numPr>
          <w:ilvl w:val="0"/>
          <w:numId w:val="15"/>
        </w:numPr>
        <w:bidi w:val="0"/>
        <w:spacing w:before="0" w:after="0"/>
        <w:rPr/>
      </w:pPr>
      <w:r>
        <w:rPr/>
        <w:t>Conserve los resultados y cambios del tratamiento como información documentada controlada.</w:t>
      </w:r>
    </w:p>
    <w:p>
      <w:pPr>
        <w:pStyle w:val="Heading2"/>
        <w:tabs>
          <w:tab w:val="clear" w:pos="709"/>
          <w:tab w:val="left" w:pos="0" w:leader="none"/>
        </w:tabs>
        <w:bidi w:val="0"/>
        <w:ind w:hanging="0" w:start="0"/>
        <w:jc w:val="left"/>
        <w:rPr/>
        <w:keepNext/>
      </w:pPr>
      <w:bookmarkStart w:id="26" w:name="campos-de-la-declaración-de-aplicabilida"/>
      <w:r>
        <w:rPr/>
        <w:t>8.2 Campos de la Declaración de Aplicabilidad</w:t>
      </w:r>
      <w:bookmarkEnd w:id="26"/>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Propósito</w:t>
            </w:r>
          </w:p>
        </w:tc>
      </w:tr>
      <w:tr>
        <w:trPr>
          <w:cantSplit/>
        </w:trPr>
        <w:tc>
          <w:tcPr>
            <w:tcW w:w="4680" w:type="dxa"/>
            <w:tcBorders/>
            <w:vAlign w:val="center"/>
          </w:tcPr>
          <w:p>
            <w:pPr>
              <w:pStyle w:val="TableContents"/>
              <w:suppressLineNumbers/>
              <w:bidi w:val="0"/>
              <w:spacing w:before="0" w:after="40"/>
              <w:ind w:hanging="0" w:start="43" w:end="43"/>
              <w:rPr/>
            </w:pPr>
            <w:r>
              <w:rPr>
                <w:sz w:val="19"/>
              </w:rPr>
              <w:t>Referencia/título del control</w:t>
            </w:r>
          </w:p>
        </w:tc>
        <w:tc>
          <w:tcPr>
            <w:tcW w:w="4680" w:type="dxa"/>
            <w:tcBorders/>
            <w:vAlign w:val="center"/>
          </w:tcPr>
          <w:p>
            <w:pPr>
              <w:pStyle w:val="TableContents"/>
              <w:suppressLineNumbers/>
              <w:bidi w:val="0"/>
              <w:spacing w:before="0" w:after="40"/>
              <w:ind w:hanging="0" w:start="43" w:end="43"/>
              <w:rPr/>
            </w:pPr>
            <w:r>
              <w:rPr>
                <w:sz w:val="19"/>
              </w:rPr>
              <w:t>Identidad del control del Anexo A o adicional</w:t>
            </w:r>
          </w:p>
        </w:tc>
      </w:tr>
      <w:tr>
        <w:trPr>
          <w:cantSplit/>
        </w:trPr>
        <w:tc>
          <w:tcPr>
            <w:tcW w:w="4680" w:type="dxa"/>
            <w:tcBorders/>
            <w:vAlign w:val="center"/>
          </w:tcPr>
          <w:p>
            <w:pPr>
              <w:pStyle w:val="TableContents"/>
              <w:suppressLineNumbers/>
              <w:bidi w:val="0"/>
              <w:spacing w:before="0" w:after="40"/>
              <w:ind w:hanging="0" w:start="43" w:end="43"/>
              <w:rPr/>
            </w:pPr>
            <w:r>
              <w:rPr>
                <w:sz w:val="19"/>
              </w:rPr>
              <w:t>¿Aplicable?</w:t>
            </w:r>
          </w:p>
        </w:tc>
        <w:tc>
          <w:tcPr>
            <w:tcW w:w="4680" w:type="dxa"/>
            <w:tcBorders/>
            <w:vAlign w:val="center"/>
          </w:tcPr>
          <w:p>
            <w:pPr>
              <w:pStyle w:val="TableContents"/>
              <w:suppressLineNumbers/>
              <w:bidi w:val="0"/>
              <w:spacing w:before="0" w:after="40"/>
              <w:ind w:hanging="0" w:start="43" w:end="43"/>
              <w:rPr/>
            </w:pPr>
            <w:r>
              <w:rPr>
                <w:sz w:val="19"/>
              </w:rPr>
              <w:t>Incluido o excluido para el alcance definido del SGIA</w:t>
            </w:r>
          </w:p>
        </w:tc>
      </w:tr>
      <w:tr>
        <w:trPr>
          <w:cantSplit/>
        </w:trPr>
        <w:tc>
          <w:tcPr>
            <w:tcW w:w="4680" w:type="dxa"/>
            <w:tcBorders/>
            <w:vAlign w:val="center"/>
          </w:tcPr>
          <w:p>
            <w:pPr>
              <w:pStyle w:val="TableContents"/>
              <w:suppressLineNumbers/>
              <w:bidi w:val="0"/>
              <w:spacing w:before="0" w:after="40"/>
              <w:ind w:hanging="0" w:start="43" w:end="43"/>
              <w:rPr/>
            </w:pPr>
            <w:r>
              <w:rPr>
                <w:sz w:val="19"/>
              </w:rPr>
              <w:t>Justificación</w:t>
            </w:r>
          </w:p>
        </w:tc>
        <w:tc>
          <w:tcPr>
            <w:tcW w:w="4680" w:type="dxa"/>
            <w:tcBorders/>
            <w:vAlign w:val="center"/>
          </w:tcPr>
          <w:p>
            <w:pPr>
              <w:pStyle w:val="TableContents"/>
              <w:suppressLineNumbers/>
              <w:bidi w:val="0"/>
              <w:spacing w:before="0" w:after="40"/>
              <w:ind w:hanging="0" w:start="43" w:end="43"/>
              <w:rPr/>
            </w:pPr>
            <w:r>
              <w:rPr>
                <w:sz w:val="19"/>
              </w:rPr>
              <w:t>Riesgo, obligación, objetivo, arquitectura o razón de exclusión</w:t>
            </w:r>
          </w:p>
        </w:tc>
      </w:tr>
      <w:tr>
        <w:trPr>
          <w:cantSplit/>
        </w:trPr>
        <w:tc>
          <w:tcPr>
            <w:tcW w:w="4680" w:type="dxa"/>
            <w:tcBorders/>
            <w:vAlign w:val="center"/>
          </w:tcPr>
          <w:p>
            <w:pPr>
              <w:pStyle w:val="TableContents"/>
              <w:suppressLineNumbers/>
              <w:bidi w:val="0"/>
              <w:spacing w:before="0" w:after="40"/>
              <w:ind w:hanging="0" w:start="43" w:end="43"/>
              <w:rPr/>
            </w:pPr>
            <w:r>
              <w:rPr>
                <w:sz w:val="19"/>
              </w:rPr>
              <w:t>Implementación</w:t>
            </w:r>
          </w:p>
        </w:tc>
        <w:tc>
          <w:tcPr>
            <w:tcW w:w="4680" w:type="dxa"/>
            <w:tcBorders/>
            <w:vAlign w:val="center"/>
          </w:tcPr>
          <w:p>
            <w:pPr>
              <w:pStyle w:val="TableContents"/>
              <w:suppressLineNumbers/>
              <w:bidi w:val="0"/>
              <w:spacing w:before="0" w:after="40"/>
              <w:ind w:hanging="0" w:start="43" w:end="43"/>
              <w:rPr/>
            </w:pPr>
            <w:r>
              <w:rPr>
                <w:sz w:val="19"/>
              </w:rPr>
              <w:t>Política/proceso/sistema y propietario responsable</w:t>
            </w:r>
          </w:p>
        </w:tc>
      </w:tr>
      <w:tr>
        <w:trPr>
          <w:cantSplit/>
        </w:trPr>
        <w:tc>
          <w:tcPr>
            <w:tcW w:w="4680" w:type="dxa"/>
            <w:tcBorders/>
            <w:vAlign w:val="center"/>
          </w:tcPr>
          <w:p>
            <w:pPr>
              <w:pStyle w:val="TableContents"/>
              <w:suppressLineNumbers/>
              <w:bidi w:val="0"/>
              <w:spacing w:before="0" w:after="40"/>
              <w:ind w:hanging="0" w:start="43" w:end="43"/>
              <w:rPr/>
            </w:pPr>
            <w:r>
              <w:rPr>
                <w:sz w:val="19"/>
              </w:rPr>
              <w:t>Estado</w:t>
            </w:r>
          </w:p>
        </w:tc>
        <w:tc>
          <w:tcPr>
            <w:tcW w:w="4680" w:type="dxa"/>
            <w:tcBorders/>
            <w:vAlign w:val="center"/>
          </w:tcPr>
          <w:p>
            <w:pPr>
              <w:pStyle w:val="TableContents"/>
              <w:suppressLineNumbers/>
              <w:bidi w:val="0"/>
              <w:spacing w:before="0" w:after="40"/>
              <w:ind w:hanging="0" w:start="43" w:end="43"/>
              <w:rPr/>
            </w:pPr>
            <w:r>
              <w:rPr>
                <w:sz w:val="19"/>
              </w:rPr>
              <w:t>Implementado, parcial, planificado o no aplicable</w:t>
            </w:r>
          </w:p>
        </w:tc>
      </w:tr>
      <w:tr>
        <w:trPr>
          <w:cantSplit/>
        </w:trPr>
        <w:tc>
          <w:tcPr>
            <w:tcW w:w="4680" w:type="dxa"/>
            <w:tcBorders/>
            <w:vAlign w:val="center"/>
          </w:tcPr>
          <w:p>
            <w:pPr>
              <w:pStyle w:val="TableContents"/>
              <w:suppressLineNumbers/>
              <w:bidi w:val="0"/>
              <w:spacing w:before="0" w:after="40"/>
              <w:ind w:hanging="0" w:start="43" w:end="43"/>
              <w:rPr/>
            </w:pPr>
            <w:r>
              <w:rPr>
                <w:sz w:val="19"/>
              </w:rPr>
              <w:t>Evidencia/prueba</w:t>
            </w:r>
          </w:p>
        </w:tc>
        <w:tc>
          <w:tcPr>
            <w:tcW w:w="4680" w:type="dxa"/>
            <w:tcBorders/>
            <w:vAlign w:val="center"/>
          </w:tcPr>
          <w:p>
            <w:pPr>
              <w:pStyle w:val="TableContents"/>
              <w:suppressLineNumbers/>
              <w:bidi w:val="0"/>
              <w:spacing w:before="0" w:after="40"/>
              <w:ind w:hanging="0" w:start="43" w:end="43"/>
              <w:rPr/>
            </w:pPr>
            <w:r>
              <w:rPr>
                <w:sz w:val="19"/>
              </w:rPr>
              <w:t>Evidencia actual y resultado de eficacia operacional</w:t>
            </w:r>
          </w:p>
        </w:tc>
      </w:tr>
      <w:tr>
        <w:trPr>
          <w:cantSplit/>
        </w:trPr>
        <w:tc>
          <w:tcPr>
            <w:tcW w:w="4680" w:type="dxa"/>
            <w:tcBorders/>
            <w:vAlign w:val="center"/>
          </w:tcPr>
          <w:p>
            <w:pPr>
              <w:pStyle w:val="TableContents"/>
              <w:suppressLineNumbers/>
              <w:bidi w:val="0"/>
              <w:spacing w:before="0" w:after="40"/>
              <w:ind w:hanging="0" w:start="43" w:end="43"/>
              <w:rPr/>
            </w:pPr>
            <w:r>
              <w:rPr>
                <w:sz w:val="19"/>
              </w:rPr>
              <w:t>Dependencias/brechas</w:t>
            </w:r>
          </w:p>
        </w:tc>
        <w:tc>
          <w:tcPr>
            <w:tcW w:w="4680" w:type="dxa"/>
            <w:tcBorders/>
            <w:vAlign w:val="center"/>
          </w:tcPr>
          <w:p>
            <w:pPr>
              <w:pStyle w:val="TableContents"/>
              <w:suppressLineNumbers/>
              <w:bidi w:val="0"/>
              <w:spacing w:before="0" w:after="40"/>
              <w:ind w:hanging="0" w:start="43" w:end="43"/>
              <w:rPr/>
            </w:pPr>
            <w:r>
              <w:rPr>
                <w:sz w:val="19"/>
              </w:rPr>
              <w:t>Controles compartidos de proveedor/cliente y hallazgos</w:t>
            </w:r>
          </w:p>
        </w:tc>
      </w:tr>
      <w:tr>
        <w:trPr>
          <w:cantSplit/>
        </w:trPr>
        <w:tc>
          <w:tcPr>
            <w:tcW w:w="4680" w:type="dxa"/>
            <w:tcBorders/>
            <w:vAlign w:val="center"/>
          </w:tcPr>
          <w:p>
            <w:pPr>
              <w:pStyle w:val="TableContents"/>
              <w:suppressLineNumbers/>
              <w:bidi w:val="0"/>
              <w:spacing w:before="0" w:after="40"/>
              <w:ind w:hanging="0" w:start="43" w:end="43"/>
              <w:rPr/>
            </w:pPr>
            <w:r>
              <w:rPr>
                <w:sz w:val="19"/>
              </w:rPr>
              <w:t>Revisión</w:t>
            </w:r>
          </w:p>
        </w:tc>
        <w:tc>
          <w:tcPr>
            <w:tcW w:w="4680" w:type="dxa"/>
            <w:tcBorders/>
            <w:vAlign w:val="center"/>
          </w:tcPr>
          <w:p>
            <w:pPr>
              <w:pStyle w:val="TableContents"/>
              <w:suppressLineNumbers/>
              <w:bidi w:val="0"/>
              <w:spacing w:before="0" w:after="40"/>
              <w:ind w:hanging="0" w:start="43" w:end="43"/>
              <w:rPr/>
            </w:pPr>
            <w:r>
              <w:rPr>
                <w:sz w:val="19"/>
              </w:rPr>
              <w:t>Última/próxima revisión y disparadores de cambio</w:t>
            </w:r>
          </w:p>
        </w:tc>
      </w:tr>
    </w:tbl>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Advertencia sobre la Declaración de Aplicabilidad:</w:t>
      </w:r>
      <w:r>
        <w:rPr/>
        <w:t xml:space="preserve"> No es una lista de verificación copiada. Debe concordar con el alcance vigente, las evaluaciones de riesgo e impacto, el plan de tratamiento, la implementación real, la evidencia y las decisiones de riesgo.</w:t>
      </w:r>
    </w:p>
    <w:p>
      <w:pPr>
        <w:pStyle w:val="Heading1"/>
        <w:tabs>
          <w:tab w:val="clear" w:pos="709"/>
          <w:tab w:val="left" w:pos="0" w:leader="none"/>
        </w:tabs>
        <w:bidi w:val="0"/>
        <w:ind w:hanging="0" w:start="0"/>
        <w:jc w:val="left"/>
        <w:rPr/>
        <w:keepNext/>
      </w:pPr>
      <w:bookmarkStart w:id="27" w:name="cláusula-6.1.4-evaluación-de-impacto-de-"/>
      <w:r>
        <w:rPr/>
        <w:t>9. Cláusula 6.1.4: Evaluación de impacto de sistemas de IA</w:t>
      </w:r>
      <w:bookmarkEnd w:id="27"/>
    </w:p>
    <w:p>
      <w:pPr>
        <w:pStyle w:val="Firstparagraph"/>
        <w:bidi w:val="0"/>
        <w:rPr>
          <w:i/>
          <w:iCs/>
        </w:rPr>
      </w:pPr>
      <w:r>
        <w:rPr>
          <w:i/>
          <w:iCs/>
        </w:rPr>
        <w:t>La evaluación de impacto de sistemas de IA examina cómo un sistema de IA puede afectar a personas, grupos y a la sociedad a lo largo de su ciclo de vida.</w:t>
      </w:r>
    </w:p>
    <w:p>
      <w:pPr>
        <w:pStyle w:val="FigureWithCaption"/>
        <w:keepNext w:val="true"/>
        <w:suppressLineNumbers/>
        <w:bidi w:val="0"/>
        <w:rPr/>
      </w:pPr>
      <w:r>
        <w:rPr/>
        <w:drawing>
          <wp:inline distT="0" distB="0" distL="0" distR="0">
            <wp:extent cx="5623560" cy="2955925"/>
            <wp:effectExtent l="0" t="0" r="0" b="0"/>
            <wp:docPr id="4" name="Manual 02 Figure 4" title="Figure 4" descr="ISO/IEC 42005:2025 proporciona orientación vigente que complementa ISO/IEC 4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g4"/>
                    <pic:cNvPicPr>
                      <a:picLocks noChangeAspect="1" noChangeArrowheads="1"/>
                    </pic:cNvPicPr>
                  </pic:nvPicPr>
                  <pic:blipFill>
                    <a:blip r:embed="rId8">
                      <a:extLst>
                        <a:ext uri="{96DAC541-7B7A-43D3-8B79-37D633B846F1}">
                          <asvg:svgBlip xmlns:asvg="http://schemas.microsoft.com/office/drawing/2016/SVG/main" r:embed="rId9"/>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keepNext/>
      </w:pPr>
      <w:r>
        <w:rPr/>
        <w:t>ISO/IEC 42005:2025 proporciona orientación vigente que complementa ISO/IEC 42001.</w:t>
      </w:r>
    </w:p>
    <w:p>
      <w:pPr>
        <w:pStyle w:val="Caption"/>
        <w:bidi w:val="0"/>
        <w:spacing w:before="86" w:after="86"/>
        <w:rPr/>
        <w:keepNext/>
      </w:pPr>
      <w:r>
        <w:rPr/>
        <w:t>Figura 4. Evaluación de impacto de sistemas de IA</w:t>
      </w:r>
    </w:p>
    <w:p>
      <w:pPr>
        <w:pStyle w:val="BlockQuotation"/>
        <w:bidi w:val="0"/>
        <w:ind w:hanging="0" w:start="720" w:end="0"/>
        <w:rPr/>
      </w:pPr>
      <w:r>
        <w:rPr>
          <w:b/>
          <w:bCs/>
        </w:rPr>
        <w:t>Explicación accesible:</w:t>
      </w:r>
      <w:r>
        <w:rPr/>
        <w:t xml:space="preserve"> La evaluación parte del propósito y contexto del sistema, identifica personas y grupos afectados, examina beneficios y efectos adversos directos, indirectos y sociales, valora gravedad, escala, duración, reversibilidad e incertidumbre, y convierte las mitigaciones en decisiones, supervisión, transparencia, reparación y seguimiento.</w:t>
      </w:r>
    </w:p>
    <w:p>
      <w:pPr>
        <w:pStyle w:val="Heading2"/>
        <w:tabs>
          <w:tab w:val="clear" w:pos="709"/>
          <w:tab w:val="left" w:pos="0" w:leader="none"/>
        </w:tabs>
        <w:bidi w:val="0"/>
        <w:ind w:hanging="0" w:start="0"/>
        <w:jc w:val="left"/>
        <w:rPr/>
        <w:keepNext/>
      </w:pPr>
      <w:bookmarkStart w:id="28" w:name="proceso-de-evaluación-de-impacto"/>
      <w:r>
        <w:rPr/>
        <w:t>9.1 Proceso de evaluación de impacto</w:t>
      </w:r>
      <w:bookmarkEnd w:id="28"/>
    </w:p>
    <w:p>
      <w:pPr>
        <w:pStyle w:val="BodyText"/>
        <w:numPr>
          <w:ilvl w:val="0"/>
          <w:numId w:val="16"/>
        </w:numPr>
        <w:bidi w:val="0"/>
        <w:spacing w:before="0" w:after="0"/>
        <w:rPr/>
      </w:pPr>
      <w:r>
        <w:rPr/>
        <w:t>Defina disparadores, alcance, funciones, independencia, métodos, participación de partes afectadas, aprobación, retención, revisión y relación con el tratamiento de riesgos y las decisiones.</w:t>
      </w:r>
    </w:p>
    <w:p>
      <w:pPr>
        <w:pStyle w:val="BodyText"/>
        <w:numPr>
          <w:ilvl w:val="0"/>
          <w:numId w:val="16"/>
        </w:numPr>
        <w:bidi w:val="0"/>
        <w:spacing w:before="0" w:after="0"/>
        <w:rPr/>
      </w:pPr>
      <w:r>
        <w:rPr/>
        <w:t>Describa propósito, usuarios, personas afectadas, decisiones/contenido, grado de automatización, alternativas, datos, modelo, proveedores, geografía, escala, duración y usos prohibidos o previsibles.</w:t>
      </w:r>
    </w:p>
    <w:p>
      <w:pPr>
        <w:pStyle w:val="BodyText"/>
        <w:numPr>
          <w:ilvl w:val="0"/>
          <w:numId w:val="16"/>
        </w:numPr>
        <w:bidi w:val="0"/>
        <w:spacing w:before="0" w:after="0"/>
        <w:rPr/>
      </w:pPr>
      <w:r>
        <w:rPr/>
        <w:t>Identifique beneficios previstos e impactos adversos sobre derechos, equidad, privacidad, seguridad funcional, ciberseguridad, salud, accesibilidad, empleo, finanzas, niños/grupos vulnerables, medio ambiente, cultura, servicios públicos, democracia y condiciones sociales/económicas según corresponda.</w:t>
      </w:r>
    </w:p>
    <w:p>
      <w:pPr>
        <w:pStyle w:val="BodyText"/>
        <w:numPr>
          <w:ilvl w:val="0"/>
          <w:numId w:val="16"/>
        </w:numPr>
        <w:bidi w:val="0"/>
        <w:spacing w:before="0" w:after="0"/>
        <w:rPr/>
      </w:pPr>
      <w:r>
        <w:rPr/>
        <w:t>Considere impactos directos, indirectos, acumulativos, diferidos, reversibles/irreversibles, individuales, grupales y sociales.</w:t>
      </w:r>
    </w:p>
    <w:p>
      <w:pPr>
        <w:pStyle w:val="BodyText"/>
        <w:numPr>
          <w:ilvl w:val="0"/>
          <w:numId w:val="16"/>
        </w:numPr>
        <w:bidi w:val="0"/>
        <w:spacing w:before="0" w:after="0"/>
        <w:rPr/>
      </w:pPr>
      <w:r>
        <w:rPr/>
        <w:t>Evalúe probabilidad, gravedad, escala, duración, reversibilidad, distribución, incertidumbre y opiniones de las partes afectadas.</w:t>
      </w:r>
    </w:p>
    <w:p>
      <w:pPr>
        <w:pStyle w:val="BodyText"/>
        <w:numPr>
          <w:ilvl w:val="0"/>
          <w:numId w:val="16"/>
        </w:numPr>
        <w:bidi w:val="0"/>
        <w:spacing w:before="0" w:after="0"/>
        <w:rPr/>
      </w:pPr>
      <w:r>
        <w:rPr/>
        <w:t>Seleccione mitigaciones, supervisión humana, avisos, opciones, reparación, seguimiento, umbrales y criterios de detención; obtenga aprobación responsable.</w:t>
      </w:r>
    </w:p>
    <w:p>
      <w:pPr>
        <w:pStyle w:val="BodyText"/>
        <w:numPr>
          <w:ilvl w:val="0"/>
          <w:numId w:val="16"/>
        </w:numPr>
        <w:bidi w:val="0"/>
        <w:spacing w:before="0" w:after="0"/>
        <w:rPr/>
      </w:pPr>
      <w:r>
        <w:rPr/>
        <w:t>Actualice antes de cambios importantes y después de incidentes, quejas, nueva evidencia, deriva o ampliación del uso.</w:t>
      </w:r>
    </w:p>
    <w:p>
      <w:pPr>
        <w:pStyle w:val="Heading2"/>
        <w:tabs>
          <w:tab w:val="clear" w:pos="709"/>
          <w:tab w:val="left" w:pos="0" w:leader="none"/>
        </w:tabs>
        <w:bidi w:val="0"/>
        <w:ind w:hanging="0" w:start="0"/>
        <w:jc w:val="left"/>
        <w:rPr/>
        <w:keepNext/>
      </w:pPr>
      <w:bookmarkStart w:id="29" w:name="evaluación-de-riesgos-frente-a-evaluació"/>
      <w:r>
        <w:rPr/>
        <w:t>9.2 Evaluación de riesgos frente a evaluación de impacto</w:t>
      </w:r>
      <w:bookmarkEnd w:id="29"/>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Evaluación de riesgos</w:t>
            </w:r>
          </w:p>
        </w:tc>
        <w:tc>
          <w:tcPr>
            <w:tcW w:w="4680" w:type="dxa"/>
            <w:tcBorders/>
            <w:vAlign w:val="center"/>
            <w:shd w:fill="1F4E78"/>
          </w:tcPr>
          <w:p>
            <w:pPr>
              <w:pStyle w:val="TableHeading"/>
              <w:bidi w:val="0"/>
              <w:spacing w:before="0" w:after="40"/>
              <w:rPr>
                <w:b/>
                <w:bCs/>
              </w:rPr>
            </w:pPr>
            <w:r>
              <w:rPr>
                <w:b/>
                <w:bCs/>
                <w:sz w:val="19"/>
                <w:color w:val="FFFFFF"/>
              </w:rPr>
              <w:t>Evaluación de impacto</w:t>
            </w:r>
          </w:p>
        </w:tc>
      </w:tr>
      <w:tr>
        <w:trPr>
          <w:cantSplit/>
        </w:trPr>
        <w:tc>
          <w:tcPr>
            <w:tcW w:w="4680" w:type="dxa"/>
            <w:tcBorders/>
            <w:vAlign w:val="center"/>
          </w:tcPr>
          <w:p>
            <w:pPr>
              <w:pStyle w:val="TableContents"/>
              <w:suppressLineNumbers/>
              <w:bidi w:val="0"/>
              <w:spacing w:before="0" w:after="40"/>
              <w:ind w:hanging="0" w:start="43" w:end="43"/>
              <w:rPr/>
            </w:pPr>
            <w:r>
              <w:rPr>
                <w:sz w:val="19"/>
              </w:rPr>
              <w:t>Gestiona incertidumbre que afecta objetivos, incluida la organización, las personas y la sociedad</w:t>
            </w:r>
          </w:p>
        </w:tc>
        <w:tc>
          <w:tcPr>
            <w:tcW w:w="4680" w:type="dxa"/>
            <w:tcBorders/>
            <w:vAlign w:val="center"/>
          </w:tcPr>
          <w:p>
            <w:pPr>
              <w:pStyle w:val="TableContents"/>
              <w:suppressLineNumbers/>
              <w:bidi w:val="0"/>
              <w:spacing w:before="0" w:after="40"/>
              <w:ind w:hanging="0" w:start="43" w:end="43"/>
              <w:rPr/>
            </w:pPr>
            <w:r>
              <w:rPr>
                <w:sz w:val="19"/>
              </w:rPr>
              <w:t>Se concentra específicamente en efectos potenciales de un sistema de IA sobre individuos, grupos y sociedad</w:t>
            </w:r>
          </w:p>
        </w:tc>
      </w:tr>
      <w:tr>
        <w:trPr>
          <w:cantSplit/>
        </w:trPr>
        <w:tc>
          <w:tcPr>
            <w:tcW w:w="4680" w:type="dxa"/>
            <w:tcBorders/>
            <w:vAlign w:val="center"/>
          </w:tcPr>
          <w:p>
            <w:pPr>
              <w:pStyle w:val="TableContents"/>
              <w:suppressLineNumbers/>
              <w:bidi w:val="0"/>
              <w:spacing w:before="0" w:after="40"/>
              <w:ind w:hanging="0" w:start="43" w:end="43"/>
              <w:rPr/>
            </w:pPr>
            <w:r>
              <w:rPr>
                <w:sz w:val="19"/>
              </w:rPr>
              <w:t>Puede agregar riesgo de cartera y de procesos</w:t>
            </w:r>
          </w:p>
        </w:tc>
        <w:tc>
          <w:tcPr>
            <w:tcW w:w="4680" w:type="dxa"/>
            <w:tcBorders/>
            <w:vAlign w:val="center"/>
          </w:tcPr>
          <w:p>
            <w:pPr>
              <w:pStyle w:val="TableContents"/>
              <w:suppressLineNumbers/>
              <w:bidi w:val="0"/>
              <w:spacing w:before="0" w:after="40"/>
              <w:ind w:hanging="0" w:start="43" w:end="43"/>
              <w:rPr/>
            </w:pPr>
            <w:r>
              <w:rPr>
                <w:sz w:val="19"/>
              </w:rPr>
              <w:t>Debe permanecer conectada con el sistema/uso particular y el contexto afectado</w:t>
            </w:r>
          </w:p>
        </w:tc>
      </w:tr>
      <w:tr>
        <w:trPr>
          <w:cantSplit/>
        </w:trPr>
        <w:tc>
          <w:tcPr>
            <w:tcW w:w="4680" w:type="dxa"/>
            <w:tcBorders/>
            <w:vAlign w:val="center"/>
          </w:tcPr>
          <w:p>
            <w:pPr>
              <w:pStyle w:val="TableContents"/>
              <w:suppressLineNumbers/>
              <w:bidi w:val="0"/>
              <w:spacing w:before="0" w:after="40"/>
              <w:ind w:hanging="0" w:start="43" w:end="43"/>
              <w:rPr/>
            </w:pPr>
            <w:r>
              <w:rPr>
                <w:sz w:val="19"/>
              </w:rPr>
              <w:t>Alimenta tratamiento, controles y aceptación residual</w:t>
            </w:r>
          </w:p>
        </w:tc>
        <w:tc>
          <w:tcPr>
            <w:tcW w:w="4680" w:type="dxa"/>
            <w:tcBorders/>
            <w:vAlign w:val="center"/>
          </w:tcPr>
          <w:p>
            <w:pPr>
              <w:pStyle w:val="TableContents"/>
              <w:suppressLineNumbers/>
              <w:bidi w:val="0"/>
              <w:spacing w:before="0" w:after="40"/>
              <w:ind w:hanging="0" w:start="43" w:end="43"/>
              <w:rPr/>
            </w:pPr>
            <w:r>
              <w:rPr>
                <w:sz w:val="19"/>
              </w:rPr>
              <w:t>Alimenta diseño, despliegue, uso, transparencia, supervisión, reparación y seguimiento</w:t>
            </w:r>
          </w:p>
        </w:tc>
      </w:tr>
      <w:tr>
        <w:trPr>
          <w:cantSplit/>
        </w:trPr>
        <w:tc>
          <w:tcPr>
            <w:tcW w:w="4680" w:type="dxa"/>
            <w:tcBorders/>
            <w:vAlign w:val="center"/>
          </w:tcPr>
          <w:p>
            <w:pPr>
              <w:pStyle w:val="TableContents"/>
              <w:suppressLineNumbers/>
              <w:bidi w:val="0"/>
              <w:spacing w:before="0" w:after="40"/>
              <w:ind w:hanging="0" w:start="43" w:end="43"/>
              <w:rPr/>
            </w:pPr>
            <w:r>
              <w:rPr>
                <w:sz w:val="19"/>
              </w:rPr>
              <w:t>Ambas deben intercambiar hallazgos y mantenerse coherentes</w:t>
            </w:r>
          </w:p>
        </w:tc>
        <w:tc>
          <w:tcPr>
            <w:tcW w:w="4680" w:type="dxa"/>
            <w:tcBorders/>
            <w:vAlign w:val="center"/>
          </w:tcPr>
          <w:p>
            <w:pPr>
              <w:pStyle w:val="TableContents"/>
              <w:suppressLineNumbers/>
              <w:bidi w:val="0"/>
              <w:spacing w:before="0" w:after="40"/>
              <w:ind w:hanging="0" w:start="43" w:end="43"/>
              <w:rPr/>
            </w:pPr>
            <w:r>
              <w:rPr>
                <w:sz w:val="19"/>
              </w:rPr>
              <w:t>Ambas requieren métodos documentados, evidencia, decisiones y revisión</w:t>
            </w:r>
          </w:p>
        </w:tc>
      </w:tr>
    </w:tbl>
    <w:p>
      <w:pPr>
        <w:pStyle w:val="Heading1"/>
        <w:tabs>
          <w:tab w:val="clear" w:pos="709"/>
          <w:tab w:val="left" w:pos="0" w:leader="none"/>
        </w:tabs>
        <w:bidi w:val="0"/>
        <w:ind w:hanging="0" w:start="0"/>
        <w:jc w:val="left"/>
        <w:rPr/>
        <w:keepNext/>
      </w:pPr>
      <w:bookmarkStart w:id="30" w:name="cláusulas-6.2-y-6.3-objetivos-y-planific"/>
      <w:r>
        <w:rPr/>
        <w:t>10. Cláusulas 6.2 y 6.3: Objetivos y planificación de cambios</w:t>
      </w:r>
      <w:bookmarkEnd w:id="30"/>
    </w:p>
    <w:p>
      <w:pPr>
        <w:pStyle w:val="Firstparagraph"/>
        <w:bidi w:val="0"/>
        <w:rPr>
          <w:i/>
          <w:iCs/>
        </w:rPr>
      </w:pPr>
      <w:r>
        <w:rPr>
          <w:i/>
          <w:iCs/>
        </w:rPr>
        <w:t>Los objetivos convierten las decisiones de política y riesgo en resultados medibles; los cambios deben planificarse y controlarse.</w:t>
      </w:r>
    </w:p>
    <w:p>
      <w:pPr>
        <w:pStyle w:val="Heading2"/>
        <w:tabs>
          <w:tab w:val="clear" w:pos="709"/>
          <w:tab w:val="left" w:pos="0" w:leader="none"/>
        </w:tabs>
        <w:bidi w:val="0"/>
        <w:ind w:hanging="0" w:start="0"/>
        <w:jc w:val="left"/>
        <w:rPr/>
        <w:keepNext/>
      </w:pPr>
      <w:bookmarkStart w:id="31" w:name="registro-de-objetivos"/>
      <w:r>
        <w:rPr/>
        <w:t>10.1 Registro de objetivos</w:t>
      </w:r>
      <w:bookmarkEnd w:id="31"/>
    </w:p>
    <w:p>
      <w:pPr>
        <w:pStyle w:val="BodyText"/>
        <w:numPr>
          <w:ilvl w:val="0"/>
          <w:numId w:val="17"/>
        </w:numPr>
        <w:bidi w:val="0"/>
        <w:spacing w:before="0" w:after="0"/>
        <w:rPr/>
      </w:pPr>
      <w:r>
        <w:rPr/>
        <w:t>Objetivo y resultado previsto, con la política/riesgo/requisito y alcance relacionados.</w:t>
      </w:r>
    </w:p>
    <w:p>
      <w:pPr>
        <w:pStyle w:val="BodyText"/>
        <w:numPr>
          <w:ilvl w:val="0"/>
          <w:numId w:val="17"/>
        </w:numPr>
        <w:bidi w:val="0"/>
        <w:spacing w:before="0" w:after="0"/>
        <w:rPr/>
      </w:pPr>
      <w:r>
        <w:rPr/>
        <w:t>Medida, cálculo, fuente de datos, población, línea base, meta, umbral, frecuencia, propietario, reporte y limitación.</w:t>
      </w:r>
    </w:p>
    <w:p>
      <w:pPr>
        <w:pStyle w:val="BodyText"/>
        <w:numPr>
          <w:ilvl w:val="0"/>
          <w:numId w:val="17"/>
        </w:numPr>
        <w:bidi w:val="0"/>
        <w:spacing w:before="0" w:after="0"/>
        <w:rPr/>
      </w:pPr>
      <w:r>
        <w:rPr/>
        <w:t>Acciones, recursos, responsabilidades, cronograma, dependencias, evidencia y método de evaluación.</w:t>
      </w:r>
    </w:p>
    <w:p>
      <w:pPr>
        <w:pStyle w:val="BodyText"/>
        <w:numPr>
          <w:ilvl w:val="0"/>
          <w:numId w:val="17"/>
        </w:numPr>
        <w:bidi w:val="0"/>
        <w:spacing w:before="0" w:after="0"/>
        <w:rPr/>
      </w:pPr>
      <w:r>
        <w:rPr/>
        <w:t>Respuesta cuando el desempeño no alcance la meta; reevaluación cuando la métrica genere incentivos perjudiciales.</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Ejemplo de objetivo</w:t>
            </w:r>
          </w:p>
        </w:tc>
        <w:tc>
          <w:tcPr>
            <w:tcW w:w="4680" w:type="dxa"/>
            <w:tcBorders/>
            <w:vAlign w:val="center"/>
            <w:shd w:fill="1F4E78"/>
          </w:tcPr>
          <w:p>
            <w:pPr>
              <w:pStyle w:val="TableHeading"/>
              <w:bidi w:val="0"/>
              <w:spacing w:before="0" w:after="40"/>
              <w:rPr>
                <w:b/>
                <w:bCs/>
              </w:rPr>
            </w:pPr>
            <w:r>
              <w:rPr>
                <w:b/>
                <w:bCs/>
                <w:sz w:val="19"/>
                <w:color w:val="FFFFFF"/>
              </w:rPr>
              <w:t>Mejor medida</w:t>
            </w:r>
          </w:p>
        </w:tc>
      </w:tr>
      <w:tr>
        <w:trPr>
          <w:cantSplit/>
        </w:trPr>
        <w:tc>
          <w:tcPr>
            <w:tcW w:w="4680" w:type="dxa"/>
            <w:tcBorders/>
            <w:vAlign w:val="center"/>
          </w:tcPr>
          <w:p>
            <w:pPr>
              <w:pStyle w:val="TableContents"/>
              <w:suppressLineNumbers/>
              <w:bidi w:val="0"/>
              <w:spacing w:before="0" w:after="40"/>
              <w:ind w:hanging="0" w:start="43" w:end="43"/>
              <w:rPr/>
            </w:pPr>
            <w:r>
              <w:rPr>
                <w:sz w:val="19"/>
              </w:rPr>
              <w:t>Completar inventario de IA</w:t>
            </w:r>
          </w:p>
        </w:tc>
        <w:tc>
          <w:tcPr>
            <w:tcW w:w="4680" w:type="dxa"/>
            <w:tcBorders/>
            <w:vAlign w:val="center"/>
          </w:tcPr>
          <w:p>
            <w:pPr>
              <w:pStyle w:val="TableContents"/>
              <w:suppressLineNumbers/>
              <w:bidi w:val="0"/>
              <w:spacing w:before="0" w:after="40"/>
              <w:ind w:hanging="0" w:start="43" w:end="43"/>
              <w:rPr/>
            </w:pPr>
            <w:r>
              <w:rPr>
                <w:sz w:val="19"/>
              </w:rPr>
              <w:t>Sistemas activos con propietario, uso, datos/modelo/proveedor, nivel de riesgo, evaluación y estado validados ÷ sistemas activos reconciliados</w:t>
            </w:r>
          </w:p>
        </w:tc>
      </w:tr>
      <w:tr>
        <w:trPr>
          <w:cantSplit/>
        </w:trPr>
        <w:tc>
          <w:tcPr>
            <w:tcW w:w="4680" w:type="dxa"/>
            <w:tcBorders/>
            <w:vAlign w:val="center"/>
          </w:tcPr>
          <w:p>
            <w:pPr>
              <w:pStyle w:val="TableContents"/>
              <w:suppressLineNumbers/>
              <w:bidi w:val="0"/>
              <w:spacing w:before="0" w:after="40"/>
              <w:ind w:hanging="0" w:start="43" w:end="43"/>
              <w:rPr/>
            </w:pPr>
            <w:r>
              <w:rPr>
                <w:sz w:val="19"/>
              </w:rPr>
              <w:t>Mejorar oportunidad de evaluaciones</w:t>
            </w:r>
          </w:p>
        </w:tc>
        <w:tc>
          <w:tcPr>
            <w:tcW w:w="4680" w:type="dxa"/>
            <w:tcBorders/>
            <w:vAlign w:val="center"/>
          </w:tcPr>
          <w:p>
            <w:pPr>
              <w:pStyle w:val="TableContents"/>
              <w:suppressLineNumbers/>
              <w:bidi w:val="0"/>
              <w:spacing w:before="0" w:after="40"/>
              <w:ind w:hanging="0" w:start="43" w:end="43"/>
              <w:rPr/>
            </w:pPr>
            <w:r>
              <w:rPr>
                <w:sz w:val="19"/>
              </w:rPr>
              <w:t>Mediana y días vencidos desde la admisión/cambio material hasta la decisión aprobada de riesgo e impacto, por nivel</w:t>
            </w:r>
          </w:p>
        </w:tc>
      </w:tr>
      <w:tr>
        <w:trPr>
          <w:cantSplit/>
        </w:trPr>
        <w:tc>
          <w:tcPr>
            <w:tcW w:w="4680" w:type="dxa"/>
            <w:tcBorders/>
            <w:vAlign w:val="center"/>
          </w:tcPr>
          <w:p>
            <w:pPr>
              <w:pStyle w:val="TableContents"/>
              <w:suppressLineNumbers/>
              <w:bidi w:val="0"/>
              <w:spacing w:before="0" w:after="40"/>
              <w:ind w:hanging="0" w:start="43" w:end="43"/>
              <w:rPr/>
            </w:pPr>
            <w:r>
              <w:rPr>
                <w:sz w:val="19"/>
              </w:rPr>
              <w:t>Fortalecer evaluación</w:t>
            </w:r>
          </w:p>
        </w:tc>
        <w:tc>
          <w:tcPr>
            <w:tcW w:w="4680" w:type="dxa"/>
            <w:tcBorders/>
            <w:vAlign w:val="center"/>
          </w:tcPr>
          <w:p>
            <w:pPr>
              <w:pStyle w:val="TableContents"/>
              <w:suppressLineNumbers/>
              <w:bidi w:val="0"/>
              <w:spacing w:before="0" w:after="40"/>
              <w:ind w:hanging="0" w:start="43" w:end="43"/>
              <w:rPr/>
            </w:pPr>
            <w:r>
              <w:rPr>
                <w:sz w:val="19"/>
              </w:rPr>
              <w:t>Sistemas de alto impacto que cumplen umbrales de aceptación definidos y similares a producción, incluidas vistas por subgrupos y fallas graves</w:t>
            </w:r>
          </w:p>
        </w:tc>
      </w:tr>
      <w:tr>
        <w:trPr>
          <w:cantSplit/>
        </w:trPr>
        <w:tc>
          <w:tcPr>
            <w:tcW w:w="4680" w:type="dxa"/>
            <w:tcBorders/>
            <w:vAlign w:val="center"/>
          </w:tcPr>
          <w:p>
            <w:pPr>
              <w:pStyle w:val="TableContents"/>
              <w:suppressLineNumbers/>
              <w:bidi w:val="0"/>
              <w:spacing w:before="0" w:after="40"/>
              <w:ind w:hanging="0" w:start="43" w:end="43"/>
              <w:rPr/>
            </w:pPr>
            <w:r>
              <w:rPr>
                <w:sz w:val="19"/>
              </w:rPr>
              <w:t>Mejorar control de proveedores</w:t>
            </w:r>
          </w:p>
        </w:tc>
        <w:tc>
          <w:tcPr>
            <w:tcW w:w="4680" w:type="dxa"/>
            <w:tcBorders/>
            <w:vAlign w:val="center"/>
          </w:tcPr>
          <w:p>
            <w:pPr>
              <w:pStyle w:val="TableContents"/>
              <w:suppressLineNumbers/>
              <w:bidi w:val="0"/>
              <w:spacing w:before="0" w:after="40"/>
              <w:ind w:hanging="0" w:start="43" w:end="43"/>
              <w:rPr/>
            </w:pPr>
            <w:r>
              <w:rPr>
                <w:sz w:val="19"/>
              </w:rPr>
              <w:t>Proveedores críticos de IA con revisión vigente y delimitada, obligaciones contractuales, evidencia y brechas materiales cerradas ÷ proveedores críticos</w:t>
            </w:r>
          </w:p>
        </w:tc>
      </w:tr>
      <w:tr>
        <w:trPr>
          <w:cantSplit/>
        </w:trPr>
        <w:tc>
          <w:tcPr>
            <w:tcW w:w="4680" w:type="dxa"/>
            <w:tcBorders/>
            <w:vAlign w:val="center"/>
          </w:tcPr>
          <w:p>
            <w:pPr>
              <w:pStyle w:val="TableContents"/>
              <w:suppressLineNumbers/>
              <w:bidi w:val="0"/>
              <w:spacing w:before="0" w:after="40"/>
              <w:ind w:hanging="0" w:start="43" w:end="43"/>
              <w:rPr/>
            </w:pPr>
            <w:r>
              <w:rPr>
                <w:sz w:val="19"/>
              </w:rPr>
              <w:t>Mejorar remediación</w:t>
            </w:r>
          </w:p>
        </w:tc>
        <w:tc>
          <w:tcPr>
            <w:tcW w:w="4680" w:type="dxa"/>
            <w:tcBorders/>
            <w:vAlign w:val="center"/>
          </w:tcPr>
          <w:p>
            <w:pPr>
              <w:pStyle w:val="TableContents"/>
              <w:suppressLineNumbers/>
              <w:bidi w:val="0"/>
              <w:spacing w:before="0" w:after="40"/>
              <w:ind w:hanging="0" w:start="43" w:end="43"/>
              <w:rPr/>
            </w:pPr>
            <w:r>
              <w:rPr>
                <w:sz w:val="19"/>
              </w:rPr>
              <w:t>Hallazgos corregidos y cuya eficacia fue reevaluada dentro del objetivo basado en riesgo, con antigüedad e impacto de excepciones</w:t>
            </w:r>
          </w:p>
        </w:tc>
      </w:tr>
    </w:tbl>
    <w:p>
      <w:pPr>
        <w:pStyle w:val="Heading2"/>
        <w:tabs>
          <w:tab w:val="clear" w:pos="709"/>
          <w:tab w:val="left" w:pos="0" w:leader="none"/>
        </w:tabs>
        <w:bidi w:val="0"/>
        <w:ind w:hanging="0" w:start="0"/>
        <w:jc w:val="left"/>
        <w:rPr/>
        <w:keepNext/>
      </w:pPr>
      <w:bookmarkStart w:id="32" w:name="planificación-de-cambios-del-sgia"/>
      <w:r>
        <w:rPr/>
        <w:t>10.2 Planificación de cambios del SGIA</w:t>
      </w:r>
      <w:bookmarkEnd w:id="32"/>
    </w:p>
    <w:p>
      <w:pPr>
        <w:pStyle w:val="BodyText"/>
        <w:numPr>
          <w:ilvl w:val="0"/>
          <w:numId w:val="18"/>
        </w:numPr>
        <w:bidi w:val="0"/>
        <w:spacing w:before="0" w:after="0"/>
        <w:rPr/>
      </w:pPr>
      <w:r>
        <w:rPr/>
        <w:t>Defina propósito, consecuencias, integridad del SGIA, recursos, responsabilidades, cronograma, transición, comunicación, evidencia y reversión.</w:t>
      </w:r>
    </w:p>
    <w:p>
      <w:pPr>
        <w:pStyle w:val="BodyText"/>
        <w:numPr>
          <w:ilvl w:val="0"/>
          <w:numId w:val="18"/>
        </w:numPr>
        <w:bidi w:val="0"/>
        <w:spacing w:before="0" w:after="0"/>
        <w:rPr/>
      </w:pPr>
      <w:r>
        <w:rPr/>
        <w:t>Los disparadores incluyen alcance, entidad, producto, uso, modelo, datos, proveedor, ley, certificación, proceso, organización, herramientas, método de auditoría y objetivos.</w:t>
      </w:r>
    </w:p>
    <w:p>
      <w:pPr>
        <w:pStyle w:val="Heading1"/>
        <w:tabs>
          <w:tab w:val="clear" w:pos="709"/>
          <w:tab w:val="left" w:pos="0" w:leader="none"/>
        </w:tabs>
        <w:bidi w:val="0"/>
        <w:ind w:hanging="0" w:start="0"/>
        <w:jc w:val="left"/>
        <w:rPr/>
        <w:keepNext/>
      </w:pPr>
      <w:bookmarkStart w:id="33" w:name="cláusula-7.1-recursos"/>
      <w:r>
        <w:rPr/>
        <w:t>11. Cláusula 7.1: Recursos</w:t>
      </w:r>
      <w:bookmarkEnd w:id="33"/>
    </w:p>
    <w:p>
      <w:pPr>
        <w:pStyle w:val="Firstparagraph"/>
        <w:bidi w:val="0"/>
        <w:rPr>
          <w:i/>
          <w:iCs/>
        </w:rPr>
      </w:pPr>
      <w:r>
        <w:rPr>
          <w:i/>
          <w:iCs/>
        </w:rPr>
        <w:t>La organización debe determinar y proporcionar los recursos necesarios para establecer, operar, evaluar y mejorar el SGIA.</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rPr>
          <w:tblHeader w:val="true"/>
          <w:cantSplit/>
        </w:trPr>
        <w:tc>
          <w:tcPr>
            <w:tcW w:w="3120" w:type="dxa"/>
            <w:tcBorders/>
            <w:vAlign w:val="center"/>
            <w:shd w:fill="1F4E78"/>
          </w:tcPr>
          <w:p>
            <w:pPr>
              <w:pStyle w:val="TableHeading"/>
              <w:bidi w:val="0"/>
              <w:spacing w:before="0" w:after="40"/>
              <w:rPr>
                <w:b/>
                <w:bCs/>
              </w:rPr>
            </w:pPr>
            <w:r>
              <w:rPr>
                <w:b/>
                <w:bCs/>
                <w:sz w:val="19"/>
                <w:color w:val="FFFFFF"/>
              </w:rPr>
              <w:t>Recurso</w:t>
            </w:r>
          </w:p>
        </w:tc>
        <w:tc>
          <w:tcPr>
            <w:tcW w:w="3120" w:type="dxa"/>
            <w:tcBorders/>
            <w:vAlign w:val="center"/>
            <w:shd w:fill="1F4E78"/>
          </w:tcPr>
          <w:p>
            <w:pPr>
              <w:pStyle w:val="TableHeading"/>
              <w:bidi w:val="0"/>
              <w:spacing w:before="0" w:after="40"/>
              <w:rPr>
                <w:b/>
                <w:bCs/>
              </w:rPr>
            </w:pPr>
            <w:r>
              <w:rPr>
                <w:b/>
                <w:bCs/>
                <w:sz w:val="19"/>
                <w:color w:val="FFFFFF"/>
              </w:rPr>
              <w:t>Ejemplos</w:t>
            </w:r>
          </w:p>
        </w:tc>
        <w:tc>
          <w:tcPr>
            <w:tcW w:w="3120" w:type="dxa"/>
            <w:tcBorders/>
            <w:vAlign w:val="center"/>
            <w:shd w:fill="1F4E78"/>
          </w:tcPr>
          <w:p>
            <w:pPr>
              <w:pStyle w:val="TableHeading"/>
              <w:bidi w:val="0"/>
              <w:spacing w:before="0" w:after="40"/>
              <w:rPr>
                <w:b/>
                <w:bCs/>
              </w:rPr>
            </w:pPr>
            <w:r>
              <w:rPr>
                <w:b/>
                <w:bCs/>
                <w:sz w:val="19"/>
                <w:color w:val="FFFFFF"/>
              </w:rPr>
              <w:t>Evidencia</w:t>
            </w:r>
          </w:p>
        </w:tc>
      </w:tr>
      <w:tr>
        <w:trPr>
          <w:cantSplit/>
        </w:trPr>
        <w:tc>
          <w:tcPr>
            <w:tcW w:w="3120" w:type="dxa"/>
            <w:tcBorders/>
            <w:vAlign w:val="center"/>
          </w:tcPr>
          <w:p>
            <w:pPr>
              <w:pStyle w:val="TableContents"/>
              <w:suppressLineNumbers/>
              <w:bidi w:val="0"/>
              <w:spacing w:before="0" w:after="40"/>
              <w:ind w:hanging="0" w:start="43" w:end="43"/>
              <w:rPr/>
            </w:pPr>
            <w:r>
              <w:rPr>
                <w:sz w:val="19"/>
              </w:rPr>
              <w:t>Personas</w:t>
            </w:r>
          </w:p>
        </w:tc>
        <w:tc>
          <w:tcPr>
            <w:tcW w:w="3120" w:type="dxa"/>
            <w:tcBorders/>
            <w:vAlign w:val="center"/>
          </w:tcPr>
          <w:p>
            <w:pPr>
              <w:pStyle w:val="TableContents"/>
              <w:suppressLineNumbers/>
              <w:bidi w:val="0"/>
              <w:spacing w:before="0" w:after="40"/>
              <w:ind w:hanging="0" w:start="43" w:end="43"/>
              <w:rPr/>
            </w:pPr>
            <w:r>
              <w:rPr>
                <w:sz w:val="19"/>
              </w:rPr>
              <w:t>SGIA, dominio, datos, ML, producto, seguridad, privacidad, legal, seguridad funcional, auditoría y factores humanos</w:t>
            </w:r>
          </w:p>
        </w:tc>
        <w:tc>
          <w:tcPr>
            <w:tcW w:w="3120" w:type="dxa"/>
            <w:tcBorders/>
            <w:vAlign w:val="center"/>
          </w:tcPr>
          <w:p>
            <w:pPr>
              <w:pStyle w:val="TableContents"/>
              <w:suppressLineNumbers/>
              <w:bidi w:val="0"/>
              <w:spacing w:before="0" w:after="40"/>
              <w:ind w:hanging="0" w:start="43" w:end="43"/>
              <w:rPr/>
            </w:pPr>
            <w:r>
              <w:rPr>
                <w:sz w:val="19"/>
              </w:rPr>
              <w:t>Plan de capacidad, funciones, competencia, independencia y carga de trabajo</w:t>
            </w:r>
          </w:p>
        </w:tc>
      </w:tr>
      <w:tr>
        <w:trPr>
          <w:cantSplit/>
        </w:trPr>
        <w:tc>
          <w:tcPr>
            <w:tcW w:w="3120" w:type="dxa"/>
            <w:tcBorders/>
            <w:vAlign w:val="center"/>
          </w:tcPr>
          <w:p>
            <w:pPr>
              <w:pStyle w:val="TableContents"/>
              <w:suppressLineNumbers/>
              <w:bidi w:val="0"/>
              <w:spacing w:before="0" w:after="40"/>
              <w:ind w:hanging="0" w:start="43" w:end="43"/>
              <w:rPr/>
            </w:pPr>
            <w:r>
              <w:rPr>
                <w:sz w:val="19"/>
              </w:rPr>
              <w:t>Datos</w:t>
            </w:r>
          </w:p>
        </w:tc>
        <w:tc>
          <w:tcPr>
            <w:tcW w:w="3120" w:type="dxa"/>
            <w:tcBorders/>
            <w:vAlign w:val="center"/>
          </w:tcPr>
          <w:p>
            <w:pPr>
              <w:pStyle w:val="TableContents"/>
              <w:suppressLineNumbers/>
              <w:bidi w:val="0"/>
              <w:spacing w:before="0" w:after="40"/>
              <w:ind w:hanging="0" w:start="43" w:end="43"/>
              <w:rPr/>
            </w:pPr>
            <w:r>
              <w:rPr>
                <w:sz w:val="19"/>
              </w:rPr>
              <w:t>Entrenamiento/validación/prueba/producción, etiquetas, metadatos, derechos y conjuntos de referencia</w:t>
            </w:r>
          </w:p>
        </w:tc>
        <w:tc>
          <w:tcPr>
            <w:tcW w:w="3120" w:type="dxa"/>
            <w:tcBorders/>
            <w:vAlign w:val="center"/>
          </w:tcPr>
          <w:p>
            <w:pPr>
              <w:pStyle w:val="TableContents"/>
              <w:suppressLineNumbers/>
              <w:bidi w:val="0"/>
              <w:spacing w:before="0" w:after="40"/>
              <w:ind w:hanging="0" w:start="43" w:end="43"/>
              <w:rPr/>
            </w:pPr>
            <w:r>
              <w:rPr>
                <w:sz w:val="19"/>
              </w:rPr>
              <w:t>Inventario, linaje, calidad, acceso, retención y procedencia</w:t>
            </w:r>
          </w:p>
        </w:tc>
      </w:tr>
      <w:tr>
        <w:trPr>
          <w:cantSplit/>
        </w:trPr>
        <w:tc>
          <w:tcPr>
            <w:tcW w:w="3120" w:type="dxa"/>
            <w:tcBorders/>
            <w:vAlign w:val="center"/>
          </w:tcPr>
          <w:p>
            <w:pPr>
              <w:pStyle w:val="TableContents"/>
              <w:suppressLineNumbers/>
              <w:bidi w:val="0"/>
              <w:spacing w:before="0" w:after="40"/>
              <w:ind w:hanging="0" w:start="43" w:end="43"/>
              <w:rPr/>
            </w:pPr>
            <w:r>
              <w:rPr>
                <w:sz w:val="19"/>
              </w:rPr>
              <w:t>Herramientas</w:t>
            </w:r>
          </w:p>
        </w:tc>
        <w:tc>
          <w:tcPr>
            <w:tcW w:w="3120" w:type="dxa"/>
            <w:tcBorders/>
            <w:vAlign w:val="center"/>
          </w:tcPr>
          <w:p>
            <w:pPr>
              <w:pStyle w:val="TableContents"/>
              <w:suppressLineNumbers/>
              <w:bidi w:val="0"/>
              <w:spacing w:before="0" w:after="40"/>
              <w:ind w:hanging="0" w:start="43" w:end="43"/>
              <w:rPr/>
            </w:pPr>
            <w:r>
              <w:rPr>
                <w:sz w:val="19"/>
              </w:rPr>
              <w:t>Desarrollo, anotación, evaluación, seguimiento, seguridad y documentación</w:t>
            </w:r>
          </w:p>
        </w:tc>
        <w:tc>
          <w:tcPr>
            <w:tcW w:w="3120" w:type="dxa"/>
            <w:tcBorders/>
            <w:vAlign w:val="center"/>
          </w:tcPr>
          <w:p>
            <w:pPr>
              <w:pStyle w:val="TableContents"/>
              <w:suppressLineNumbers/>
              <w:bidi w:val="0"/>
              <w:spacing w:before="0" w:after="40"/>
              <w:ind w:hanging="0" w:start="43" w:end="43"/>
              <w:rPr/>
            </w:pPr>
            <w:r>
              <w:rPr>
                <w:sz w:val="19"/>
              </w:rPr>
              <w:t>Inventario aprobado, versiones, validación, acceso y soporte</w:t>
            </w:r>
          </w:p>
        </w:tc>
      </w:tr>
      <w:tr>
        <w:trPr>
          <w:cantSplit/>
        </w:trPr>
        <w:tc>
          <w:tcPr>
            <w:tcW w:w="3120" w:type="dxa"/>
            <w:tcBorders/>
            <w:vAlign w:val="center"/>
          </w:tcPr>
          <w:p>
            <w:pPr>
              <w:pStyle w:val="TableContents"/>
              <w:suppressLineNumbers/>
              <w:bidi w:val="0"/>
              <w:spacing w:before="0" w:after="40"/>
              <w:ind w:hanging="0" w:start="43" w:end="43"/>
              <w:rPr/>
            </w:pPr>
            <w:r>
              <w:rPr>
                <w:sz w:val="19"/>
              </w:rPr>
              <w:t>Cómputo/sistema</w:t>
            </w:r>
          </w:p>
        </w:tc>
        <w:tc>
          <w:tcPr>
            <w:tcW w:w="3120" w:type="dxa"/>
            <w:tcBorders/>
            <w:vAlign w:val="center"/>
          </w:tcPr>
          <w:p>
            <w:pPr>
              <w:pStyle w:val="TableContents"/>
              <w:suppressLineNumbers/>
              <w:bidi w:val="0"/>
              <w:spacing w:before="0" w:after="40"/>
              <w:ind w:hanging="0" w:start="43" w:end="43"/>
              <w:rPr/>
            </w:pPr>
            <w:r>
              <w:rPr>
                <w:sz w:val="19"/>
              </w:rPr>
              <w:t>Nube/local/borde, almacenamiento, red, registro, logging y sandbox</w:t>
            </w:r>
          </w:p>
        </w:tc>
        <w:tc>
          <w:tcPr>
            <w:tcW w:w="3120" w:type="dxa"/>
            <w:tcBorders/>
            <w:vAlign w:val="center"/>
          </w:tcPr>
          <w:p>
            <w:pPr>
              <w:pStyle w:val="TableContents"/>
              <w:suppressLineNumbers/>
              <w:bidi w:val="0"/>
              <w:spacing w:before="0" w:after="40"/>
              <w:ind w:hanging="0" w:start="43" w:end="43"/>
              <w:rPr/>
            </w:pPr>
            <w:r>
              <w:rPr>
                <w:sz w:val="19"/>
              </w:rPr>
              <w:t>Arquitectura, propiedad, capacidad, resiliencia e impacto ambiental</w:t>
            </w:r>
          </w:p>
        </w:tc>
      </w:tr>
      <w:tr>
        <w:trPr>
          <w:cantSplit/>
        </w:trPr>
        <w:tc>
          <w:tcPr>
            <w:tcW w:w="3120" w:type="dxa"/>
            <w:tcBorders/>
            <w:vAlign w:val="center"/>
          </w:tcPr>
          <w:p>
            <w:pPr>
              <w:pStyle w:val="TableContents"/>
              <w:suppressLineNumbers/>
              <w:bidi w:val="0"/>
              <w:spacing w:before="0" w:after="40"/>
              <w:ind w:hanging="0" w:start="43" w:end="43"/>
              <w:rPr/>
            </w:pPr>
            <w:r>
              <w:rPr>
                <w:sz w:val="19"/>
              </w:rPr>
              <w:t>Finanzas/tiempo</w:t>
            </w:r>
          </w:p>
        </w:tc>
        <w:tc>
          <w:tcPr>
            <w:tcW w:w="3120" w:type="dxa"/>
            <w:tcBorders/>
            <w:vAlign w:val="center"/>
          </w:tcPr>
          <w:p>
            <w:pPr>
              <w:pStyle w:val="TableContents"/>
              <w:suppressLineNumbers/>
              <w:bidi w:val="0"/>
              <w:spacing w:before="0" w:after="40"/>
              <w:ind w:hanging="0" w:start="43" w:end="43"/>
              <w:rPr/>
            </w:pPr>
            <w:r>
              <w:rPr>
                <w:sz w:val="19"/>
              </w:rPr>
              <w:t>Presupuesto, costo de evaluación, revisión de proveedores, participación de partes y remediación</w:t>
            </w:r>
          </w:p>
        </w:tc>
        <w:tc>
          <w:tcPr>
            <w:tcW w:w="3120" w:type="dxa"/>
            <w:tcBorders/>
            <w:vAlign w:val="center"/>
          </w:tcPr>
          <w:p>
            <w:pPr>
              <w:pStyle w:val="TableContents"/>
              <w:suppressLineNumbers/>
              <w:bidi w:val="0"/>
              <w:spacing w:before="0" w:after="40"/>
              <w:ind w:hanging="0" w:start="43" w:end="43"/>
              <w:rPr/>
            </w:pPr>
            <w:r>
              <w:rPr>
                <w:sz w:val="19"/>
              </w:rPr>
              <w:t>Planes, aprobaciones, ejecución real, restricciones y decisiones</w:t>
            </w:r>
          </w:p>
        </w:tc>
      </w:tr>
    </w:tbl>
    <w:p>
      <w:pPr>
        <w:pStyle w:val="Heading2"/>
        <w:tabs>
          <w:tab w:val="clear" w:pos="709"/>
          <w:tab w:val="left" w:pos="0" w:leader="none"/>
        </w:tabs>
        <w:bidi w:val="0"/>
        <w:ind w:hanging="0" w:start="0"/>
        <w:jc w:val="left"/>
        <w:rPr/>
        <w:keepNext/>
      </w:pPr>
      <w:bookmarkStart w:id="34" w:name="decisiones-sobre-recursos"/>
      <w:r>
        <w:rPr/>
        <w:t>11.1 Decisiones sobre recursos</w:t>
      </w:r>
      <w:bookmarkEnd w:id="34"/>
    </w:p>
    <w:p>
      <w:pPr>
        <w:pStyle w:val="BodyText"/>
        <w:numPr>
          <w:ilvl w:val="0"/>
          <w:numId w:val="19"/>
        </w:numPr>
        <w:bidi w:val="0"/>
        <w:spacing w:before="0" w:after="0"/>
        <w:rPr/>
      </w:pPr>
      <w:r>
        <w:rPr/>
        <w:t>Ajuste la profundidad de recursos al alcance, riesgo, complejidad del sistema, escala, obligaciones legales y personas afectadas.</w:t>
      </w:r>
    </w:p>
    <w:p>
      <w:pPr>
        <w:pStyle w:val="BodyText"/>
        <w:numPr>
          <w:ilvl w:val="0"/>
          <w:numId w:val="19"/>
        </w:numPr>
        <w:bidi w:val="0"/>
        <w:spacing w:before="0" w:after="0"/>
        <w:rPr/>
      </w:pPr>
      <w:r>
        <w:rPr/>
        <w:t>Separe suficientemente desarrollo, validación, aprobación y auditoría para gestionar conflictos de interés.</w:t>
      </w:r>
    </w:p>
    <w:p>
      <w:pPr>
        <w:pStyle w:val="BodyText"/>
        <w:numPr>
          <w:ilvl w:val="0"/>
          <w:numId w:val="19"/>
        </w:numPr>
        <w:bidi w:val="0"/>
        <w:spacing w:before="0" w:after="0"/>
        <w:rPr/>
      </w:pPr>
      <w:r>
        <w:rPr/>
        <w:t>Vigile sobrecarga de revisores, cobertura de evaluación, brechas de datos, límites de proveedores, licencias por vencer, obsolescencia de modelos y deuda técnica.</w:t>
      </w:r>
    </w:p>
    <w:p>
      <w:pPr>
        <w:pStyle w:val="BodyText"/>
        <w:numPr>
          <w:ilvl w:val="0"/>
          <w:numId w:val="19"/>
        </w:numPr>
        <w:bidi w:val="0"/>
        <w:spacing w:before="0" w:after="0"/>
        <w:rPr/>
      </w:pPr>
      <w:r>
        <w:rPr/>
        <w:t>Documente las restricciones aceptadas y su efecto sobre objetivos y riesgo residual.</w:t>
      </w:r>
    </w:p>
    <w:p>
      <w:pPr>
        <w:pStyle w:val="Heading1"/>
        <w:tabs>
          <w:tab w:val="clear" w:pos="709"/>
          <w:tab w:val="left" w:pos="0" w:leader="none"/>
        </w:tabs>
        <w:bidi w:val="0"/>
        <w:ind w:hanging="0" w:start="0"/>
        <w:jc w:val="left"/>
        <w:rPr/>
        <w:keepNext/>
      </w:pPr>
      <w:bookmarkStart w:id="35" w:name="cláusulas-7.27.4-competencia-toma-de-con"/>
      <w:r>
        <w:rPr/>
        <w:t>12. Cláusulas 7.2–7.4: Competencia, toma de conciencia y comunicación</w:t>
      </w:r>
      <w:bookmarkEnd w:id="35"/>
    </w:p>
    <w:p>
      <w:pPr>
        <w:pStyle w:val="Firstparagraph"/>
        <w:bidi w:val="0"/>
        <w:rPr>
          <w:i/>
          <w:iCs/>
        </w:rPr>
      </w:pPr>
      <w:r>
        <w:rPr>
          <w:i/>
          <w:iCs/>
        </w:rPr>
        <w:t>La competencia, la toma de conciencia y la comunicación hacen que las políticas y controles sean utilizables en decisiones reales.</w:t>
      </w:r>
    </w:p>
    <w:p>
      <w:pPr>
        <w:pStyle w:val="Heading2"/>
        <w:tabs>
          <w:tab w:val="clear" w:pos="709"/>
          <w:tab w:val="left" w:pos="0" w:leader="none"/>
        </w:tabs>
        <w:bidi w:val="0"/>
        <w:ind w:hanging="0" w:start="0"/>
        <w:jc w:val="left"/>
        <w:rPr/>
        <w:keepNext/>
      </w:pPr>
      <w:bookmarkStart w:id="36" w:name="competencia"/>
      <w:r>
        <w:rPr/>
        <w:t>12.1 Competencia</w:t>
      </w:r>
      <w:bookmarkEnd w:id="36"/>
    </w:p>
    <w:p>
      <w:pPr>
        <w:pStyle w:val="BodyText"/>
        <w:numPr>
          <w:ilvl w:val="0"/>
          <w:numId w:val="20"/>
        </w:numPr>
        <w:bidi w:val="0"/>
        <w:spacing w:before="0" w:after="0"/>
        <w:rPr/>
      </w:pPr>
      <w:r>
        <w:rPr/>
        <w:t>Defina educación, formación, habilidad, experiencia, independencia, comportamiento y autoridad requeridos por función y nivel de riesgo.</w:t>
      </w:r>
    </w:p>
    <w:p>
      <w:pPr>
        <w:pStyle w:val="BodyText"/>
        <w:numPr>
          <w:ilvl w:val="0"/>
          <w:numId w:val="20"/>
        </w:numPr>
        <w:bidi w:val="0"/>
        <w:spacing w:before="0" w:after="0"/>
        <w:rPr/>
      </w:pPr>
      <w:r>
        <w:rPr/>
        <w:t>Evalúe la competencia actual; proporcione formación, mentoría, práctica supervisada, apoyo especializado o reasignación.</w:t>
      </w:r>
    </w:p>
    <w:p>
      <w:pPr>
        <w:pStyle w:val="BodyText"/>
        <w:numPr>
          <w:ilvl w:val="0"/>
          <w:numId w:val="20"/>
        </w:numPr>
        <w:bidi w:val="0"/>
        <w:spacing w:before="0" w:after="0"/>
        <w:rPr/>
      </w:pPr>
      <w:r>
        <w:rPr/>
        <w:t>Evalúe la eficacia mediante observación, revisión del producto de trabajo, ejercicios de escenarios, pruebas y resultados, no solo asistencia.</w:t>
      </w:r>
    </w:p>
    <w:p>
      <w:pPr>
        <w:pStyle w:val="BodyText"/>
        <w:numPr>
          <w:ilvl w:val="0"/>
          <w:numId w:val="20"/>
        </w:numPr>
        <w:bidi w:val="0"/>
        <w:spacing w:before="0" w:after="0"/>
        <w:rPr/>
      </w:pPr>
      <w:r>
        <w:rPr/>
        <w:t>Conserve evidencia y reevalúe después de cambios de función, sistema, riesgo, ley, método o incidente.</w:t>
      </w:r>
    </w:p>
    <w:p>
      <w:pPr>
        <w:pStyle w:val="Heading2"/>
        <w:tabs>
          <w:tab w:val="clear" w:pos="709"/>
          <w:tab w:val="left" w:pos="0" w:leader="none"/>
        </w:tabs>
        <w:bidi w:val="0"/>
        <w:ind w:hanging="0" w:start="0"/>
        <w:jc w:val="left"/>
        <w:rPr/>
        <w:keepNext/>
      </w:pPr>
      <w:bookmarkStart w:id="37" w:name="toma-de-conciencia"/>
      <w:r>
        <w:rPr/>
        <w:t>12.2 Toma de conciencia</w:t>
      </w:r>
      <w:bookmarkEnd w:id="37"/>
    </w:p>
    <w:p>
      <w:pPr>
        <w:pStyle w:val="BodyText"/>
        <w:numPr>
          <w:ilvl w:val="0"/>
          <w:numId w:val="21"/>
        </w:numPr>
        <w:bidi w:val="0"/>
        <w:spacing w:before="0" w:after="0"/>
        <w:rPr/>
      </w:pPr>
      <w:r>
        <w:rPr/>
        <w:t>Las personas comprenden la política, su contribución, los beneficios de mejorar el desempeño, las consecuencias de la no conformidad, el canal de preocupaciones y el escalamiento.</w:t>
      </w:r>
    </w:p>
    <w:p>
      <w:pPr>
        <w:pStyle w:val="BodyText"/>
        <w:numPr>
          <w:ilvl w:val="0"/>
          <w:numId w:val="21"/>
        </w:numPr>
        <w:bidi w:val="0"/>
        <w:spacing w:before="0" w:after="0"/>
        <w:rPr/>
      </w:pPr>
      <w:r>
        <w:rPr/>
        <w:t>Los usuarios comprenden usos aprobados/prohibidos, restricciones de datos, verificación, supervisión humana, limitaciones, manejo de incidentes/quejas y condiciones de detención.</w:t>
      </w:r>
    </w:p>
    <w:p>
      <w:pPr>
        <w:pStyle w:val="Heading2"/>
        <w:tabs>
          <w:tab w:val="clear" w:pos="709"/>
          <w:tab w:val="left" w:pos="0" w:leader="none"/>
        </w:tabs>
        <w:bidi w:val="0"/>
        <w:ind w:hanging="0" w:start="0"/>
        <w:jc w:val="left"/>
        <w:rPr/>
        <w:keepNext/>
      </w:pPr>
      <w:bookmarkStart w:id="38" w:name="plan-de-comunicación"/>
      <w:r>
        <w:rPr/>
        <w:t>12.3 Plan de comunicación</w:t>
      </w:r>
      <w:bookmarkEnd w:id="38"/>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Pregunta</w:t>
            </w:r>
          </w:p>
        </w:tc>
      </w:tr>
      <w:tr>
        <w:trPr>
          <w:cantSplit/>
        </w:trPr>
        <w:tc>
          <w:tcPr>
            <w:tcW w:w="4680" w:type="dxa"/>
            <w:tcBorders/>
            <w:vAlign w:val="center"/>
          </w:tcPr>
          <w:p>
            <w:pPr>
              <w:pStyle w:val="TableContents"/>
              <w:suppressLineNumbers/>
              <w:bidi w:val="0"/>
              <w:spacing w:before="0" w:after="40"/>
              <w:ind w:hanging="0" w:start="43" w:end="43"/>
              <w:rPr/>
            </w:pPr>
            <w:r>
              <w:rPr>
                <w:sz w:val="19"/>
              </w:rPr>
              <w:t>Qué</w:t>
            </w:r>
          </w:p>
        </w:tc>
        <w:tc>
          <w:tcPr>
            <w:tcW w:w="4680" w:type="dxa"/>
            <w:tcBorders/>
            <w:vAlign w:val="center"/>
          </w:tcPr>
          <w:p>
            <w:pPr>
              <w:pStyle w:val="TableContents"/>
              <w:suppressLineNumbers/>
              <w:bidi w:val="0"/>
              <w:spacing w:before="0" w:after="40"/>
              <w:ind w:hanging="0" w:start="43" w:end="43"/>
              <w:rPr/>
            </w:pPr>
            <w:r>
              <w:rPr>
                <w:sz w:val="19"/>
              </w:rPr>
              <w:t>Política, sistema/uso, límites, impactos, incidentes, resultados, cambios y deberes</w:t>
            </w:r>
          </w:p>
        </w:tc>
      </w:tr>
      <w:tr>
        <w:trPr>
          <w:cantSplit/>
        </w:trPr>
        <w:tc>
          <w:tcPr>
            <w:tcW w:w="4680" w:type="dxa"/>
            <w:tcBorders/>
            <w:vAlign w:val="center"/>
          </w:tcPr>
          <w:p>
            <w:pPr>
              <w:pStyle w:val="TableContents"/>
              <w:suppressLineNumbers/>
              <w:bidi w:val="0"/>
              <w:spacing w:before="0" w:after="40"/>
              <w:ind w:hanging="0" w:start="43" w:end="43"/>
              <w:rPr/>
            </w:pPr>
            <w:r>
              <w:rPr>
                <w:sz w:val="19"/>
              </w:rPr>
              <w:t>Por qué/audiencia</w:t>
            </w:r>
          </w:p>
        </w:tc>
        <w:tc>
          <w:tcPr>
            <w:tcW w:w="4680" w:type="dxa"/>
            <w:tcBorders/>
            <w:vAlign w:val="center"/>
          </w:tcPr>
          <w:p>
            <w:pPr>
              <w:pStyle w:val="TableContents"/>
              <w:suppressLineNumbers/>
              <w:bidi w:val="0"/>
              <w:spacing w:before="0" w:after="40"/>
              <w:ind w:hanging="0" w:start="43" w:end="43"/>
              <w:rPr/>
            </w:pPr>
            <w:r>
              <w:rPr>
                <w:sz w:val="19"/>
              </w:rPr>
              <w:t>Responsable de decisión, trabajador, usuario, persona afectada, cliente, proveedor, regulador o público</w:t>
            </w:r>
          </w:p>
        </w:tc>
      </w:tr>
      <w:tr>
        <w:trPr>
          <w:cantSplit/>
        </w:trPr>
        <w:tc>
          <w:tcPr>
            <w:tcW w:w="4680" w:type="dxa"/>
            <w:tcBorders/>
            <w:vAlign w:val="center"/>
          </w:tcPr>
          <w:p>
            <w:pPr>
              <w:pStyle w:val="TableContents"/>
              <w:suppressLineNumbers/>
              <w:bidi w:val="0"/>
              <w:spacing w:before="0" w:after="40"/>
              <w:ind w:hanging="0" w:start="43" w:end="43"/>
              <w:rPr/>
            </w:pPr>
            <w:r>
              <w:rPr>
                <w:sz w:val="19"/>
              </w:rPr>
              <w:t>Cuándo</w:t>
            </w:r>
          </w:p>
        </w:tc>
        <w:tc>
          <w:tcPr>
            <w:tcW w:w="4680" w:type="dxa"/>
            <w:tcBorders/>
            <w:vAlign w:val="center"/>
          </w:tcPr>
          <w:p>
            <w:pPr>
              <w:pStyle w:val="TableContents"/>
              <w:suppressLineNumbers/>
              <w:bidi w:val="0"/>
              <w:spacing w:before="0" w:after="40"/>
              <w:ind w:hanging="0" w:start="43" w:end="43"/>
              <w:rPr/>
            </w:pPr>
            <w:r>
              <w:rPr>
                <w:sz w:val="19"/>
              </w:rPr>
              <w:t>Puerta del ciclo de vida, intervalo planificado, incidente, queja, cambio o disparador legal</w:t>
            </w:r>
          </w:p>
        </w:tc>
      </w:tr>
      <w:tr>
        <w:trPr>
          <w:cantSplit/>
        </w:trPr>
        <w:tc>
          <w:tcPr>
            <w:tcW w:w="4680" w:type="dxa"/>
            <w:tcBorders/>
            <w:vAlign w:val="center"/>
          </w:tcPr>
          <w:p>
            <w:pPr>
              <w:pStyle w:val="TableContents"/>
              <w:suppressLineNumbers/>
              <w:bidi w:val="0"/>
              <w:spacing w:before="0" w:after="40"/>
              <w:ind w:hanging="0" w:start="43" w:end="43"/>
              <w:rPr/>
            </w:pPr>
            <w:r>
              <w:rPr>
                <w:sz w:val="19"/>
              </w:rPr>
              <w:t>Cómo</w:t>
            </w:r>
          </w:p>
        </w:tc>
        <w:tc>
          <w:tcPr>
            <w:tcW w:w="4680" w:type="dxa"/>
            <w:tcBorders/>
            <w:vAlign w:val="center"/>
          </w:tcPr>
          <w:p>
            <w:pPr>
              <w:pStyle w:val="TableContents"/>
              <w:suppressLineNumbers/>
              <w:bidi w:val="0"/>
              <w:spacing w:before="0" w:after="40"/>
              <w:ind w:hanging="0" w:start="43" w:end="43"/>
              <w:rPr/>
            </w:pPr>
            <w:r>
              <w:rPr>
                <w:sz w:val="19"/>
              </w:rPr>
              <w:t>Formación, aviso, ficha del sistema, informe, contrato, tablero, reunión o alerta</w:t>
            </w:r>
          </w:p>
        </w:tc>
      </w:tr>
      <w:tr>
        <w:trPr>
          <w:cantSplit/>
        </w:trPr>
        <w:tc>
          <w:tcPr>
            <w:tcW w:w="4680" w:type="dxa"/>
            <w:tcBorders/>
            <w:vAlign w:val="center"/>
          </w:tcPr>
          <w:p>
            <w:pPr>
              <w:pStyle w:val="TableContents"/>
              <w:suppressLineNumbers/>
              <w:bidi w:val="0"/>
              <w:spacing w:before="0" w:after="40"/>
              <w:ind w:hanging="0" w:start="43" w:end="43"/>
              <w:rPr/>
            </w:pPr>
            <w:r>
              <w:rPr>
                <w:sz w:val="19"/>
              </w:rPr>
              <w:t>Propietario/aprobación</w:t>
            </w:r>
          </w:p>
        </w:tc>
        <w:tc>
          <w:tcPr>
            <w:tcW w:w="4680" w:type="dxa"/>
            <w:tcBorders/>
            <w:vAlign w:val="center"/>
          </w:tcPr>
          <w:p>
            <w:pPr>
              <w:pStyle w:val="TableContents"/>
              <w:suppressLineNumbers/>
              <w:bidi w:val="0"/>
              <w:spacing w:before="0" w:after="40"/>
              <w:ind w:hanging="0" w:start="43" w:end="43"/>
              <w:rPr/>
            </w:pPr>
            <w:r>
              <w:rPr>
                <w:sz w:val="19"/>
              </w:rPr>
              <w:t>¿Quién prepara, valida, aprueba, entrega y registra?</w:t>
            </w:r>
          </w:p>
        </w:tc>
      </w:tr>
      <w:tr>
        <w:trPr>
          <w:cantSplit/>
        </w:trPr>
        <w:tc>
          <w:tcPr>
            <w:tcW w:w="4680" w:type="dxa"/>
            <w:tcBorders/>
            <w:vAlign w:val="center"/>
          </w:tcPr>
          <w:p>
            <w:pPr>
              <w:pStyle w:val="TableContents"/>
              <w:suppressLineNumbers/>
              <w:bidi w:val="0"/>
              <w:spacing w:before="0" w:after="40"/>
              <w:ind w:hanging="0" w:start="43" w:end="43"/>
              <w:rPr/>
            </w:pPr>
            <w:r>
              <w:rPr>
                <w:sz w:val="19"/>
              </w:rPr>
              <w:t>Retroalimentación</w:t>
            </w:r>
          </w:p>
        </w:tc>
        <w:tc>
          <w:tcPr>
            <w:tcW w:w="4680" w:type="dxa"/>
            <w:tcBorders/>
            <w:vAlign w:val="center"/>
          </w:tcPr>
          <w:p>
            <w:pPr>
              <w:pStyle w:val="TableContents"/>
              <w:suppressLineNumbers/>
              <w:bidi w:val="0"/>
              <w:spacing w:before="0" w:after="40"/>
              <w:ind w:hanging="0" w:start="43" w:end="43"/>
              <w:rPr/>
            </w:pPr>
            <w:r>
              <w:rPr>
                <w:sz w:val="19"/>
              </w:rPr>
              <w:t>¿Cómo se gestionan preguntas, accesibilidad, comprensión, preocupaciones y corrección?</w:t>
            </w:r>
          </w:p>
        </w:tc>
      </w:tr>
    </w:tbl>
    <w:p>
      <w:pPr>
        <w:pStyle w:val="Heading1"/>
        <w:tabs>
          <w:tab w:val="clear" w:pos="709"/>
          <w:tab w:val="left" w:pos="0" w:leader="none"/>
        </w:tabs>
        <w:bidi w:val="0"/>
        <w:ind w:hanging="0" w:start="0"/>
        <w:jc w:val="left"/>
        <w:rPr/>
        <w:keepNext/>
      </w:pPr>
      <w:bookmarkStart w:id="39" w:name="cláusula-7.5-información-documentada"/>
      <w:r>
        <w:rPr/>
        <w:t>13. Cláusula 7.5: Información documentada</w:t>
      </w:r>
      <w:bookmarkEnd w:id="39"/>
    </w:p>
    <w:p>
      <w:pPr>
        <w:pStyle w:val="Firstparagraph"/>
        <w:bidi w:val="0"/>
        <w:rPr>
          <w:i/>
          <w:iCs/>
        </w:rPr>
      </w:pPr>
      <w:r>
        <w:rPr>
          <w:i/>
          <w:iCs/>
        </w:rPr>
        <w:t>La información documentada debe controlarse lo suficiente para ser confiable, localizable, protegida, vigente, conservada y utilizable.</w:t>
      </w:r>
    </w:p>
    <w:p>
      <w:pPr>
        <w:pStyle w:val="Heading2"/>
        <w:tabs>
          <w:tab w:val="clear" w:pos="709"/>
          <w:tab w:val="left" w:pos="0" w:leader="none"/>
        </w:tabs>
        <w:bidi w:val="0"/>
        <w:ind w:hanging="0" w:start="0"/>
        <w:jc w:val="left"/>
        <w:rPr/>
        <w:keepNext/>
      </w:pPr>
      <w:bookmarkStart w:id="40" w:name="ciclo-de-vida-del-control-documental"/>
      <w:r>
        <w:rPr/>
        <w:t>13.1 Ciclo de vida del control documental</w:t>
      </w:r>
      <w:bookmarkEnd w:id="40"/>
    </w:p>
    <w:p>
      <w:pPr>
        <w:pStyle w:val="BodyText"/>
        <w:numPr>
          <w:ilvl w:val="0"/>
          <w:numId w:val="22"/>
        </w:numPr>
        <w:bidi w:val="0"/>
        <w:spacing w:before="0" w:after="0"/>
        <w:rPr/>
      </w:pPr>
      <w:r>
        <w:rPr/>
        <w:t>Crear/identificar: título, propietario, ID, versión, fecha, formato, clasificación, alcance, sistema/modelo/datos relacionados y aprobación.</w:t>
      </w:r>
    </w:p>
    <w:p>
      <w:pPr>
        <w:pStyle w:val="BodyText"/>
        <w:numPr>
          <w:ilvl w:val="0"/>
          <w:numId w:val="22"/>
        </w:numPr>
        <w:bidi w:val="0"/>
        <w:spacing w:before="0" w:after="0"/>
        <w:rPr/>
      </w:pPr>
      <w:r>
        <w:rPr/>
        <w:t>Revisar/aprobar: revisor competente, conflictos, criterios, comentarios, disposición y autorización.</w:t>
      </w:r>
    </w:p>
    <w:p>
      <w:pPr>
        <w:pStyle w:val="BodyText"/>
        <w:numPr>
          <w:ilvl w:val="0"/>
          <w:numId w:val="22"/>
        </w:numPr>
        <w:bidi w:val="0"/>
        <w:spacing w:before="0" w:after="0"/>
        <w:rPr/>
      </w:pPr>
      <w:r>
        <w:rPr/>
        <w:t>Publicar/utilizar: audiencia correcta, acceso, formación, fecha de vigencia, disponibilidad en el punto de uso y retiro de versiones obsoletas.</w:t>
      </w:r>
    </w:p>
    <w:p>
      <w:pPr>
        <w:pStyle w:val="BodyText"/>
        <w:numPr>
          <w:ilvl w:val="0"/>
          <w:numId w:val="22"/>
        </w:numPr>
        <w:bidi w:val="0"/>
        <w:spacing w:before="0" w:after="0"/>
        <w:rPr/>
      </w:pPr>
      <w:r>
        <w:rPr/>
        <w:t>Cambiar: motivo, requisitos/procesos/sistemas afectados, aprobaciones, historial de versiones, transición y reversión.</w:t>
      </w:r>
    </w:p>
    <w:p>
      <w:pPr>
        <w:pStyle w:val="BodyText"/>
        <w:numPr>
          <w:ilvl w:val="0"/>
          <w:numId w:val="22"/>
        </w:numPr>
        <w:bidi w:val="0"/>
        <w:spacing w:before="0" w:after="0"/>
        <w:rPr/>
      </w:pPr>
      <w:r>
        <w:rPr/>
        <w:t>Proteger: confidencialidad, integridad, disponibilidad, privacidad, seguridad, respaldo, recuperación y preservación de evidencia.</w:t>
      </w:r>
    </w:p>
    <w:p>
      <w:pPr>
        <w:pStyle w:val="BodyText"/>
        <w:numPr>
          <w:ilvl w:val="0"/>
          <w:numId w:val="22"/>
        </w:numPr>
        <w:bidi w:val="0"/>
        <w:spacing w:before="0" w:after="0"/>
        <w:rPr/>
      </w:pPr>
      <w:r>
        <w:rPr/>
        <w:t>Retener/eliminar: periodo legal/comercial, retenciones, archivo, eliminación, copias de proveedores, datos derivados y verificación.</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Registros requeridos/importantes</w:t>
            </w:r>
          </w:p>
        </w:tc>
        <w:tc>
          <w:tcPr>
            <w:tcW w:w="4680" w:type="dxa"/>
            <w:tcBorders/>
            <w:vAlign w:val="center"/>
            <w:shd w:fill="1F4E78"/>
          </w:tcPr>
          <w:p>
            <w:pPr>
              <w:pStyle w:val="TableHeading"/>
              <w:bidi w:val="0"/>
              <w:spacing w:before="0" w:after="40"/>
              <w:rPr>
                <w:b/>
                <w:bCs/>
              </w:rPr>
            </w:pPr>
            <w:r>
              <w:rPr>
                <w:b/>
                <w:bCs/>
                <w:sz w:val="19"/>
                <w:color w:val="FFFFFF"/>
              </w:rPr>
              <w:t>Ejemplo</w:t>
            </w:r>
          </w:p>
        </w:tc>
      </w:tr>
      <w:tr>
        <w:trPr>
          <w:cantSplit/>
        </w:trPr>
        <w:tc>
          <w:tcPr>
            <w:tcW w:w="4680" w:type="dxa"/>
            <w:tcBorders/>
            <w:vAlign w:val="center"/>
          </w:tcPr>
          <w:p>
            <w:pPr>
              <w:pStyle w:val="TableContents"/>
              <w:suppressLineNumbers/>
              <w:bidi w:val="0"/>
              <w:spacing w:before="0" w:after="40"/>
              <w:ind w:hanging="0" w:start="43" w:end="43"/>
              <w:rPr/>
            </w:pPr>
            <w:r>
              <w:rPr>
                <w:sz w:val="19"/>
              </w:rPr>
              <w:t>Fundamento del SGIA</w:t>
            </w:r>
          </w:p>
        </w:tc>
        <w:tc>
          <w:tcPr>
            <w:tcW w:w="4680" w:type="dxa"/>
            <w:tcBorders/>
            <w:vAlign w:val="center"/>
          </w:tcPr>
          <w:p>
            <w:pPr>
              <w:pStyle w:val="TableContents"/>
              <w:suppressLineNumbers/>
              <w:bidi w:val="0"/>
              <w:spacing w:before="0" w:after="40"/>
              <w:ind w:hanging="0" w:start="43" w:end="43"/>
              <w:rPr/>
            </w:pPr>
            <w:r>
              <w:rPr>
                <w:sz w:val="19"/>
              </w:rPr>
              <w:t>Contexto, partes interesadas, alcance, política, mapa de procesos y funciones</w:t>
            </w:r>
          </w:p>
        </w:tc>
      </w:tr>
      <w:tr>
        <w:trPr>
          <w:cantSplit/>
        </w:trPr>
        <w:tc>
          <w:tcPr>
            <w:tcW w:w="4680" w:type="dxa"/>
            <w:tcBorders/>
            <w:vAlign w:val="center"/>
          </w:tcPr>
          <w:p>
            <w:pPr>
              <w:pStyle w:val="TableContents"/>
              <w:suppressLineNumbers/>
              <w:bidi w:val="0"/>
              <w:spacing w:before="0" w:after="40"/>
              <w:ind w:hanging="0" w:start="43" w:end="43"/>
              <w:rPr/>
            </w:pPr>
            <w:r>
              <w:rPr>
                <w:sz w:val="19"/>
              </w:rPr>
              <w:t>Planificación</w:t>
            </w:r>
          </w:p>
        </w:tc>
        <w:tc>
          <w:tcPr>
            <w:tcW w:w="4680" w:type="dxa"/>
            <w:tcBorders/>
            <w:vAlign w:val="center"/>
          </w:tcPr>
          <w:p>
            <w:pPr>
              <w:pStyle w:val="TableContents"/>
              <w:suppressLineNumbers/>
              <w:bidi w:val="0"/>
              <w:spacing w:before="0" w:after="40"/>
              <w:ind w:hanging="0" w:start="43" w:end="43"/>
              <w:rPr/>
            </w:pPr>
            <w:r>
              <w:rPr>
                <w:sz w:val="19"/>
              </w:rPr>
              <w:t>Método/evaluación de riesgo, tratamiento, Declaración de Aplicabilidad, proceso/registros de impacto, objetivos y cambios</w:t>
            </w:r>
          </w:p>
        </w:tc>
      </w:tr>
      <w:tr>
        <w:trPr>
          <w:cantSplit/>
        </w:trPr>
        <w:tc>
          <w:tcPr>
            <w:tcW w:w="4680" w:type="dxa"/>
            <w:tcBorders/>
            <w:vAlign w:val="center"/>
          </w:tcPr>
          <w:p>
            <w:pPr>
              <w:pStyle w:val="TableContents"/>
              <w:suppressLineNumbers/>
              <w:bidi w:val="0"/>
              <w:spacing w:before="0" w:after="40"/>
              <w:ind w:hanging="0" w:start="43" w:end="43"/>
              <w:rPr/>
            </w:pPr>
            <w:r>
              <w:rPr>
                <w:sz w:val="19"/>
              </w:rPr>
              <w:t>Operaciones</w:t>
            </w:r>
          </w:p>
        </w:tc>
        <w:tc>
          <w:tcPr>
            <w:tcW w:w="4680" w:type="dxa"/>
            <w:tcBorders/>
            <w:vAlign w:val="center"/>
          </w:tcPr>
          <w:p>
            <w:pPr>
              <w:pStyle w:val="TableContents"/>
              <w:suppressLineNumbers/>
              <w:bidi w:val="0"/>
              <w:spacing w:before="0" w:after="40"/>
              <w:ind w:hanging="0" w:start="43" w:end="43"/>
              <w:rPr/>
            </w:pPr>
            <w:r>
              <w:rPr>
                <w:sz w:val="19"/>
              </w:rPr>
              <w:t>Inventario de IA, recursos, ciclo de vida, datos, proveedor/uso, comunicación e incidentes</w:t>
            </w:r>
          </w:p>
        </w:tc>
      </w:tr>
      <w:tr>
        <w:trPr>
          <w:cantSplit/>
        </w:trPr>
        <w:tc>
          <w:tcPr>
            <w:tcW w:w="4680" w:type="dxa"/>
            <w:tcBorders/>
            <w:vAlign w:val="center"/>
          </w:tcPr>
          <w:p>
            <w:pPr>
              <w:pStyle w:val="TableContents"/>
              <w:suppressLineNumbers/>
              <w:bidi w:val="0"/>
              <w:spacing w:before="0" w:after="40"/>
              <w:ind w:hanging="0" w:start="43" w:end="43"/>
              <w:rPr/>
            </w:pPr>
            <w:r>
              <w:rPr>
                <w:sz w:val="19"/>
              </w:rPr>
              <w:t>Evaluación</w:t>
            </w:r>
          </w:p>
        </w:tc>
        <w:tc>
          <w:tcPr>
            <w:tcW w:w="4680" w:type="dxa"/>
            <w:tcBorders/>
            <w:vAlign w:val="center"/>
          </w:tcPr>
          <w:p>
            <w:pPr>
              <w:pStyle w:val="TableContents"/>
              <w:suppressLineNumbers/>
              <w:bidi w:val="0"/>
              <w:spacing w:before="0" w:after="40"/>
              <w:ind w:hanging="0" w:start="43" w:end="43"/>
              <w:rPr/>
            </w:pPr>
            <w:r>
              <w:rPr>
                <w:sz w:val="19"/>
              </w:rPr>
              <w:t>Métricas, análisis, auditoría interna y revisión por la dirección</w:t>
            </w:r>
          </w:p>
        </w:tc>
      </w:tr>
      <w:tr>
        <w:trPr>
          <w:cantSplit/>
        </w:trPr>
        <w:tc>
          <w:tcPr>
            <w:tcW w:w="4680" w:type="dxa"/>
            <w:tcBorders/>
            <w:vAlign w:val="center"/>
          </w:tcPr>
          <w:p>
            <w:pPr>
              <w:pStyle w:val="TableContents"/>
              <w:suppressLineNumbers/>
              <w:bidi w:val="0"/>
              <w:spacing w:before="0" w:after="40"/>
              <w:ind w:hanging="0" w:start="43" w:end="43"/>
              <w:rPr/>
            </w:pPr>
            <w:r>
              <w:rPr>
                <w:sz w:val="19"/>
              </w:rPr>
              <w:t>Mejora</w:t>
            </w:r>
          </w:p>
        </w:tc>
        <w:tc>
          <w:tcPr>
            <w:tcW w:w="4680" w:type="dxa"/>
            <w:tcBorders/>
            <w:vAlign w:val="center"/>
          </w:tcPr>
          <w:p>
            <w:pPr>
              <w:pStyle w:val="TableContents"/>
              <w:suppressLineNumbers/>
              <w:bidi w:val="0"/>
              <w:spacing w:before="0" w:after="40"/>
              <w:ind w:hanging="0" w:start="43" w:end="43"/>
              <w:rPr/>
            </w:pPr>
            <w:r>
              <w:rPr>
                <w:sz w:val="19"/>
              </w:rPr>
              <w:t>No conformidad, corrección, causa raíz, acción correctiva y eficacia</w:t>
            </w:r>
          </w:p>
        </w:tc>
      </w:tr>
      <w:tr>
        <w:trPr>
          <w:cantSplit/>
        </w:trPr>
        <w:tc>
          <w:tcPr>
            <w:tcW w:w="4680" w:type="dxa"/>
            <w:tcBorders/>
            <w:vAlign w:val="center"/>
          </w:tcPr>
          <w:p>
            <w:pPr>
              <w:pStyle w:val="TableContents"/>
              <w:suppressLineNumbers/>
              <w:bidi w:val="0"/>
              <w:spacing w:before="0" w:after="40"/>
              <w:ind w:hanging="0" w:start="43" w:end="43"/>
              <w:rPr/>
            </w:pPr>
            <w:r>
              <w:rPr>
                <w:sz w:val="19"/>
              </w:rPr>
              <w:t>Trazabilidad del sistema</w:t>
            </w:r>
          </w:p>
        </w:tc>
        <w:tc>
          <w:tcPr>
            <w:tcW w:w="4680" w:type="dxa"/>
            <w:tcBorders/>
            <w:vAlign w:val="center"/>
          </w:tcPr>
          <w:p>
            <w:pPr>
              <w:pStyle w:val="TableContents"/>
              <w:suppressLineNumbers/>
              <w:bidi w:val="0"/>
              <w:spacing w:before="0" w:after="40"/>
              <w:ind w:hanging="0" w:start="43" w:end="43"/>
              <w:rPr/>
            </w:pPr>
            <w:r>
              <w:rPr>
                <w:sz w:val="19"/>
              </w:rPr>
              <w:t>Versiones de modelo/datos/prompt/herramienta/configuración, aprobaciones, evaluaciones, logs y decisiones</w:t>
            </w:r>
          </w:p>
        </w:tc>
      </w:tr>
    </w:tbl>
    <w:p>
      <w:pPr>
        <w:pStyle w:val="Heading1"/>
        <w:tabs>
          <w:tab w:val="clear" w:pos="709"/>
          <w:tab w:val="left" w:pos="0" w:leader="none"/>
        </w:tabs>
        <w:bidi w:val="0"/>
        <w:ind w:hanging="0" w:start="0"/>
        <w:jc w:val="left"/>
        <w:rPr/>
        <w:keepNext/>
      </w:pPr>
      <w:bookmarkStart w:id="41" w:name="cláusula-8.1-planificación-y-control-ope"/>
      <w:r>
        <w:rPr/>
        <w:t>14. Cláusula 8.1: Planificación y control operacional</w:t>
      </w:r>
      <w:bookmarkEnd w:id="41"/>
    </w:p>
    <w:p>
      <w:pPr>
        <w:pStyle w:val="Firstparagraph"/>
        <w:bidi w:val="0"/>
        <w:rPr>
          <w:i/>
          <w:iCs/>
        </w:rPr>
      </w:pPr>
      <w:r>
        <w:rPr>
          <w:i/>
          <w:iCs/>
        </w:rPr>
        <w:t>La planificación operacional convierte los requisitos del SGIA en controles repetibles para admisión, diseño, adquisición, despliegue, uso, cambio, incidente y retiro de IA.</w:t>
      </w:r>
    </w:p>
    <w:p>
      <w:pPr>
        <w:pStyle w:val="Heading2"/>
        <w:tabs>
          <w:tab w:val="clear" w:pos="709"/>
          <w:tab w:val="left" w:pos="0" w:leader="none"/>
        </w:tabs>
        <w:bidi w:val="0"/>
        <w:ind w:hanging="0" w:start="0"/>
        <w:jc w:val="left"/>
        <w:rPr/>
        <w:keepNext/>
      </w:pPr>
      <w:bookmarkStart w:id="42" w:name="control-operacional"/>
      <w:r>
        <w:rPr/>
        <w:t>14.1 Control operacional</w:t>
      </w:r>
      <w:bookmarkEnd w:id="42"/>
    </w:p>
    <w:p>
      <w:pPr>
        <w:pStyle w:val="BodyText"/>
        <w:numPr>
          <w:ilvl w:val="0"/>
          <w:numId w:val="23"/>
        </w:numPr>
        <w:bidi w:val="0"/>
        <w:spacing w:before="0" w:after="0"/>
        <w:rPr/>
      </w:pPr>
      <w:r>
        <w:rPr/>
        <w:t>Defina criterios y controles para los procesos; opérelos según lo planificado; conserve evidencia suficiente para demostrar desempeño.</w:t>
      </w:r>
    </w:p>
    <w:p>
      <w:pPr>
        <w:pStyle w:val="BodyText"/>
        <w:numPr>
          <w:ilvl w:val="0"/>
          <w:numId w:val="23"/>
        </w:numPr>
        <w:bidi w:val="0"/>
        <w:spacing w:before="0" w:after="0"/>
        <w:rPr/>
      </w:pPr>
      <w:r>
        <w:rPr/>
        <w:t>Controle los cambios planificados y revise los cambios no intencionados; reduzca efectos adversos.</w:t>
      </w:r>
    </w:p>
    <w:p>
      <w:pPr>
        <w:pStyle w:val="BodyText"/>
        <w:numPr>
          <w:ilvl w:val="0"/>
          <w:numId w:val="23"/>
        </w:numPr>
        <w:bidi w:val="0"/>
        <w:spacing w:before="0" w:after="0"/>
        <w:rPr/>
      </w:pPr>
      <w:r>
        <w:rPr/>
        <w:t>Controle procesos, productos y servicios proporcionados externamente según riesgo y responsabilidad.</w:t>
      </w:r>
    </w:p>
    <w:p>
      <w:pPr>
        <w:pStyle w:val="BodyText"/>
        <w:numPr>
          <w:ilvl w:val="0"/>
          <w:numId w:val="23"/>
        </w:numPr>
        <w:bidi w:val="0"/>
        <w:spacing w:before="0" w:after="0"/>
        <w:rPr/>
      </w:pPr>
      <w:r>
        <w:rPr/>
        <w:t>Utilice niveles de riesgo y puertas del ciclo de vida para ajustar revisión, independencia, pruebas, aprobación, seguimiento y escalamiento al impacto.</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Puerta</w:t>
            </w:r>
          </w:p>
        </w:tc>
        <w:tc>
          <w:tcPr>
            <w:tcW w:w="4680" w:type="dxa"/>
            <w:tcBorders/>
            <w:vAlign w:val="center"/>
            <w:shd w:fill="1F4E78"/>
          </w:tcPr>
          <w:p>
            <w:pPr>
              <w:pStyle w:val="TableHeading"/>
              <w:bidi w:val="0"/>
              <w:spacing w:before="0" w:after="40"/>
              <w:rPr>
                <w:b/>
                <w:bCs/>
              </w:rPr>
            </w:pPr>
            <w:r>
              <w:rPr>
                <w:b/>
                <w:bCs/>
                <w:sz w:val="19"/>
                <w:color w:val="FFFFFF"/>
              </w:rPr>
              <w:t>Evidencia requerida para la decisión</w:t>
            </w:r>
          </w:p>
        </w:tc>
      </w:tr>
      <w:tr>
        <w:trPr>
          <w:cantSplit/>
        </w:trPr>
        <w:tc>
          <w:tcPr>
            <w:tcW w:w="4680" w:type="dxa"/>
            <w:tcBorders/>
            <w:vAlign w:val="center"/>
          </w:tcPr>
          <w:p>
            <w:pPr>
              <w:pStyle w:val="TableContents"/>
              <w:suppressLineNumbers/>
              <w:bidi w:val="0"/>
              <w:spacing w:before="0" w:after="40"/>
              <w:ind w:hanging="0" w:start="43" w:end="43"/>
              <w:rPr/>
            </w:pPr>
            <w:r>
              <w:rPr>
                <w:sz w:val="19"/>
              </w:rPr>
              <w:t>Admisión</w:t>
            </w:r>
          </w:p>
        </w:tc>
        <w:tc>
          <w:tcPr>
            <w:tcW w:w="4680" w:type="dxa"/>
            <w:tcBorders/>
            <w:vAlign w:val="center"/>
          </w:tcPr>
          <w:p>
            <w:pPr>
              <w:pStyle w:val="TableContents"/>
              <w:suppressLineNumbers/>
              <w:bidi w:val="0"/>
              <w:spacing w:before="0" w:after="40"/>
              <w:ind w:hanging="0" w:start="43" w:end="43"/>
              <w:rPr/>
            </w:pPr>
            <w:r>
              <w:rPr>
                <w:sz w:val="19"/>
              </w:rPr>
              <w:t>Propósito, propietario, función de IA, personas afectadas, datos, proveedor, riesgo preliminar y verificación de usos prohibidos</w:t>
            </w:r>
          </w:p>
        </w:tc>
      </w:tr>
      <w:tr>
        <w:trPr>
          <w:cantSplit/>
        </w:trPr>
        <w:tc>
          <w:tcPr>
            <w:tcW w:w="4680" w:type="dxa"/>
            <w:tcBorders/>
            <w:vAlign w:val="center"/>
          </w:tcPr>
          <w:p>
            <w:pPr>
              <w:pStyle w:val="TableContents"/>
              <w:suppressLineNumbers/>
              <w:bidi w:val="0"/>
              <w:spacing w:before="0" w:after="40"/>
              <w:ind w:hanging="0" w:start="43" w:end="43"/>
              <w:rPr/>
            </w:pPr>
            <w:r>
              <w:rPr>
                <w:sz w:val="19"/>
              </w:rPr>
              <w:t>Diseño/adquisición</w:t>
            </w:r>
          </w:p>
        </w:tc>
        <w:tc>
          <w:tcPr>
            <w:tcW w:w="4680" w:type="dxa"/>
            <w:tcBorders/>
            <w:vAlign w:val="center"/>
          </w:tcPr>
          <w:p>
            <w:pPr>
              <w:pStyle w:val="TableContents"/>
              <w:suppressLineNumbers/>
              <w:bidi w:val="0"/>
              <w:spacing w:before="0" w:after="40"/>
              <w:ind w:hanging="0" w:start="43" w:end="43"/>
              <w:rPr/>
            </w:pPr>
            <w:r>
              <w:rPr>
                <w:sz w:val="19"/>
              </w:rPr>
              <w:t>Requisitos, riesgo/impacto, arquitectura, recursos, datos, deberes del proveedor, controles y pruebas</w:t>
            </w:r>
          </w:p>
        </w:tc>
      </w:tr>
      <w:tr>
        <w:trPr>
          <w:cantSplit/>
        </w:trPr>
        <w:tc>
          <w:tcPr>
            <w:tcW w:w="4680" w:type="dxa"/>
            <w:tcBorders/>
            <w:vAlign w:val="center"/>
          </w:tcPr>
          <w:p>
            <w:pPr>
              <w:pStyle w:val="TableContents"/>
              <w:suppressLineNumbers/>
              <w:bidi w:val="0"/>
              <w:spacing w:before="0" w:after="40"/>
              <w:ind w:hanging="0" w:start="43" w:end="43"/>
              <w:rPr/>
            </w:pPr>
            <w:r>
              <w:rPr>
                <w:sz w:val="19"/>
              </w:rPr>
              <w:t>Construcción/configuración</w:t>
            </w:r>
          </w:p>
        </w:tc>
        <w:tc>
          <w:tcPr>
            <w:tcW w:w="4680" w:type="dxa"/>
            <w:tcBorders/>
            <w:vAlign w:val="center"/>
          </w:tcPr>
          <w:p>
            <w:pPr>
              <w:pStyle w:val="TableContents"/>
              <w:suppressLineNumbers/>
              <w:bidi w:val="0"/>
              <w:spacing w:before="0" w:after="40"/>
              <w:ind w:hanging="0" w:start="43" w:end="43"/>
              <w:rPr/>
            </w:pPr>
            <w:r>
              <w:rPr>
                <w:sz w:val="19"/>
              </w:rPr>
              <w:t>Versiones, linaje, desarrollo seguro, documentación y preparación para evaluación</w:t>
            </w:r>
          </w:p>
        </w:tc>
      </w:tr>
      <w:tr>
        <w:trPr>
          <w:cantSplit/>
        </w:trPr>
        <w:tc>
          <w:tcPr>
            <w:tcW w:w="4680" w:type="dxa"/>
            <w:tcBorders/>
            <w:vAlign w:val="center"/>
          </w:tcPr>
          <w:p>
            <w:pPr>
              <w:pStyle w:val="TableContents"/>
              <w:suppressLineNumbers/>
              <w:bidi w:val="0"/>
              <w:spacing w:before="0" w:after="40"/>
              <w:ind w:hanging="0" w:start="43" w:end="43"/>
              <w:rPr/>
            </w:pPr>
            <w:r>
              <w:rPr>
                <w:sz w:val="19"/>
              </w:rPr>
              <w:t>Validación</w:t>
            </w:r>
          </w:p>
        </w:tc>
        <w:tc>
          <w:tcPr>
            <w:tcW w:w="4680" w:type="dxa"/>
            <w:tcBorders/>
            <w:vAlign w:val="center"/>
          </w:tcPr>
          <w:p>
            <w:pPr>
              <w:pStyle w:val="TableContents"/>
              <w:suppressLineNumbers/>
              <w:bidi w:val="0"/>
              <w:spacing w:before="0" w:after="40"/>
              <w:ind w:hanging="0" w:start="43" w:end="43"/>
              <w:rPr/>
            </w:pPr>
            <w:r>
              <w:rPr>
                <w:sz w:val="19"/>
              </w:rPr>
              <w:t>Pruebas representativas, umbrales, fallas, cuestionamiento independiente, limitaciones y acción correctiva</w:t>
            </w:r>
          </w:p>
        </w:tc>
      </w:tr>
      <w:tr>
        <w:trPr>
          <w:cantSplit/>
        </w:trPr>
        <w:tc>
          <w:tcPr>
            <w:tcW w:w="4680" w:type="dxa"/>
            <w:tcBorders/>
            <w:vAlign w:val="center"/>
          </w:tcPr>
          <w:p>
            <w:pPr>
              <w:pStyle w:val="TableContents"/>
              <w:suppressLineNumbers/>
              <w:bidi w:val="0"/>
              <w:spacing w:before="0" w:after="40"/>
              <w:ind w:hanging="0" w:start="43" w:end="43"/>
              <w:rPr/>
            </w:pPr>
            <w:r>
              <w:rPr>
                <w:sz w:val="19"/>
              </w:rPr>
              <w:t>Despliegue</w:t>
            </w:r>
          </w:p>
        </w:tc>
        <w:tc>
          <w:tcPr>
            <w:tcW w:w="4680" w:type="dxa"/>
            <w:tcBorders/>
            <w:vAlign w:val="center"/>
          </w:tcPr>
          <w:p>
            <w:pPr>
              <w:pStyle w:val="TableContents"/>
              <w:suppressLineNumbers/>
              <w:bidi w:val="0"/>
              <w:spacing w:before="0" w:after="40"/>
              <w:ind w:hanging="0" w:start="43" w:end="43"/>
              <w:rPr/>
            </w:pPr>
            <w:r>
              <w:rPr>
                <w:sz w:val="19"/>
              </w:rPr>
              <w:t>Aprobación, condiciones, información al usuario, supervisión, seguimiento, incidente, reversión y soporte</w:t>
            </w:r>
          </w:p>
        </w:tc>
      </w:tr>
      <w:tr>
        <w:trPr>
          <w:cantSplit/>
        </w:trPr>
        <w:tc>
          <w:tcPr>
            <w:tcW w:w="4680" w:type="dxa"/>
            <w:tcBorders/>
            <w:vAlign w:val="center"/>
          </w:tcPr>
          <w:p>
            <w:pPr>
              <w:pStyle w:val="TableContents"/>
              <w:suppressLineNumbers/>
              <w:bidi w:val="0"/>
              <w:spacing w:before="0" w:after="40"/>
              <w:ind w:hanging="0" w:start="43" w:end="43"/>
              <w:rPr/>
            </w:pPr>
            <w:r>
              <w:rPr>
                <w:sz w:val="19"/>
              </w:rPr>
              <w:t>Operación/cambio</w:t>
            </w:r>
          </w:p>
        </w:tc>
        <w:tc>
          <w:tcPr>
            <w:tcW w:w="4680" w:type="dxa"/>
            <w:tcBorders/>
            <w:vAlign w:val="center"/>
          </w:tcPr>
          <w:p>
            <w:pPr>
              <w:pStyle w:val="TableContents"/>
              <w:suppressLineNumbers/>
              <w:bidi w:val="0"/>
              <w:spacing w:before="0" w:after="40"/>
              <w:ind w:hanging="0" w:start="43" w:end="43"/>
              <w:rPr/>
            </w:pPr>
            <w:r>
              <w:rPr>
                <w:sz w:val="19"/>
              </w:rPr>
              <w:t>Desempeño, deriva, quejas, incidentes, cambios del proveedor, regresión y reevaluación</w:t>
            </w:r>
          </w:p>
        </w:tc>
      </w:tr>
      <w:tr>
        <w:trPr>
          <w:cantSplit/>
        </w:trPr>
        <w:tc>
          <w:tcPr>
            <w:tcW w:w="4680" w:type="dxa"/>
            <w:tcBorders/>
            <w:vAlign w:val="center"/>
          </w:tcPr>
          <w:p>
            <w:pPr>
              <w:pStyle w:val="TableContents"/>
              <w:suppressLineNumbers/>
              <w:bidi w:val="0"/>
              <w:spacing w:before="0" w:after="40"/>
              <w:ind w:hanging="0" w:start="43" w:end="43"/>
              <w:rPr/>
            </w:pPr>
            <w:r>
              <w:rPr>
                <w:sz w:val="19"/>
              </w:rPr>
              <w:t>Retiro</w:t>
            </w:r>
          </w:p>
        </w:tc>
        <w:tc>
          <w:tcPr>
            <w:tcW w:w="4680" w:type="dxa"/>
            <w:tcBorders/>
            <w:vAlign w:val="center"/>
          </w:tcPr>
          <w:p>
            <w:pPr>
              <w:pStyle w:val="TableContents"/>
              <w:suppressLineNumbers/>
              <w:bidi w:val="0"/>
              <w:spacing w:before="0" w:after="40"/>
              <w:ind w:hanging="0" w:start="43" w:end="43"/>
              <w:rPr/>
            </w:pPr>
            <w:r>
              <w:rPr>
                <w:sz w:val="19"/>
              </w:rPr>
              <w:t>Sustitución, comunicación a usuarios/partes, acceso, integraciones, datos, modelos, registros y eliminación</w:t>
            </w:r>
          </w:p>
        </w:tc>
      </w:tr>
    </w:tbl>
    <w:p>
      <w:pPr>
        <w:pStyle w:val="Heading1"/>
        <w:tabs>
          <w:tab w:val="clear" w:pos="709"/>
          <w:tab w:val="left" w:pos="0" w:leader="none"/>
        </w:tabs>
        <w:bidi w:val="0"/>
        <w:ind w:hanging="0" w:start="0"/>
        <w:jc w:val="left"/>
        <w:rPr/>
        <w:keepNext/>
      </w:pPr>
      <w:bookmarkStart w:id="43" w:name="cláusulas-8.28.4-riesgo-operacional-trat"/>
      <w:r>
        <w:rPr/>
        <w:t>15. Cláusulas 8.2–8.4: Riesgo operacional, tratamiento y evaluación de impacto</w:t>
      </w:r>
      <w:bookmarkEnd w:id="43"/>
    </w:p>
    <w:p>
      <w:pPr>
        <w:pStyle w:val="Firstparagraph"/>
        <w:bidi w:val="0"/>
        <w:rPr>
          <w:i/>
          <w:iCs/>
        </w:rPr>
      </w:pPr>
      <w:r>
        <w:rPr>
          <w:i/>
          <w:iCs/>
        </w:rPr>
        <w:t>La organización debe ejecutar evaluación de riesgos, tratamiento del riesgo y evaluación de impacto a intervalos planificados y cuando ocurra un cambio significativo.</w:t>
      </w:r>
    </w:p>
    <w:p>
      <w:pPr>
        <w:pStyle w:val="Heading2"/>
        <w:tabs>
          <w:tab w:val="clear" w:pos="709"/>
          <w:tab w:val="left" w:pos="0" w:leader="none"/>
        </w:tabs>
        <w:bidi w:val="0"/>
        <w:ind w:hanging="0" w:start="0"/>
        <w:jc w:val="left"/>
        <w:rPr/>
        <w:keepNext/>
      </w:pPr>
      <w:bookmarkStart w:id="44" w:name="disparadores-operacionales"/>
      <w:r>
        <w:rPr/>
        <w:t>15.1 Disparadores operacionales</w:t>
      </w:r>
      <w:bookmarkEnd w:id="44"/>
    </w:p>
    <w:p>
      <w:pPr>
        <w:pStyle w:val="BodyText"/>
        <w:numPr>
          <w:ilvl w:val="0"/>
          <w:numId w:val="24"/>
        </w:numPr>
        <w:bidi w:val="0"/>
        <w:spacing w:before="0" w:after="0"/>
        <w:rPr/>
      </w:pPr>
      <w:r>
        <w:rPr/>
        <w:t>Sistema de IA nuevo o modificado, uso previsto, población afectada, geografía, escala, automatización, autoridad de decisión, modelo, datos, prompt, herramienta, integración, proveedor o infraestructura.</w:t>
      </w:r>
    </w:p>
    <w:p>
      <w:pPr>
        <w:pStyle w:val="BodyText"/>
        <w:numPr>
          <w:ilvl w:val="0"/>
          <w:numId w:val="24"/>
        </w:numPr>
        <w:bidi w:val="0"/>
        <w:spacing w:before="0" w:after="0"/>
        <w:rPr/>
      </w:pPr>
      <w:r>
        <w:rPr/>
        <w:t>Nueva ley, contrato, incidente, queja, hallazgo de auditoría, vulnerabilidad, inteligencia de amenazas, preocupación de seguridad funcional, deriva, falla de evaluación, impacto inesperado o aviso del proveedor.</w:t>
      </w:r>
    </w:p>
    <w:p>
      <w:pPr>
        <w:pStyle w:val="BodyText"/>
        <w:numPr>
          <w:ilvl w:val="0"/>
          <w:numId w:val="24"/>
        </w:numPr>
        <w:bidi w:val="0"/>
        <w:spacing w:before="0" w:after="0"/>
        <w:rPr/>
      </w:pPr>
      <w:r>
        <w:rPr/>
        <w:t>Cambios en criterios de riesgo, objetivos, controles, seguimiento, propiedad organizacional, alcance de certificación o capacidad de recursos.</w:t>
      </w:r>
    </w:p>
    <w:p>
      <w:pPr>
        <w:pStyle w:val="Heading2"/>
        <w:tabs>
          <w:tab w:val="clear" w:pos="709"/>
          <w:tab w:val="left" w:pos="0" w:leader="none"/>
        </w:tabs>
        <w:bidi w:val="0"/>
        <w:ind w:hanging="0" w:start="0"/>
        <w:jc w:val="left"/>
        <w:rPr/>
        <w:keepNext/>
      </w:pPr>
      <w:bookmarkStart w:id="45" w:name="evidencia-operacional"/>
      <w:r>
        <w:rPr/>
        <w:t>15.2 Evidencia operacional</w:t>
      </w:r>
      <w:bookmarkEnd w:id="45"/>
    </w:p>
    <w:p>
      <w:pPr>
        <w:pStyle w:val="BodyText"/>
        <w:numPr>
          <w:ilvl w:val="0"/>
          <w:numId w:val="25"/>
        </w:numPr>
        <w:bidi w:val="0"/>
        <w:spacing w:before="0" w:after="0"/>
        <w:rPr/>
      </w:pPr>
      <w:r>
        <w:rPr/>
        <w:t>Evaluación aprobada y vigente vinculada a la versión exacta de sistema/modelo/datos/configuración/uso.</w:t>
      </w:r>
    </w:p>
    <w:p>
      <w:pPr>
        <w:pStyle w:val="BodyText"/>
        <w:numPr>
          <w:ilvl w:val="0"/>
          <w:numId w:val="25"/>
        </w:numPr>
        <w:bidi w:val="0"/>
        <w:spacing w:before="0" w:after="0"/>
        <w:rPr/>
      </w:pPr>
      <w:r>
        <w:rPr/>
        <w:t>El plan de tratamiento y la Declaración de Aplicabilidad concuerdan con controles implementados, brechas, excepciones, aprobación residual y seguimiento.</w:t>
      </w:r>
    </w:p>
    <w:p>
      <w:pPr>
        <w:pStyle w:val="BodyText"/>
        <w:numPr>
          <w:ilvl w:val="0"/>
          <w:numId w:val="25"/>
        </w:numPr>
        <w:bidi w:val="0"/>
        <w:spacing w:before="0" w:after="0"/>
        <w:rPr/>
      </w:pPr>
      <w:r>
        <w:rPr/>
        <w:t>La evaluación de impacto incluye partes afectadas, efectos directos/indirectos y sociales, mitigaciones, reparación y disparadores de revisión.</w:t>
      </w:r>
    </w:p>
    <w:p>
      <w:pPr>
        <w:pStyle w:val="BodyText"/>
        <w:numPr>
          <w:ilvl w:val="0"/>
          <w:numId w:val="25"/>
        </w:numPr>
        <w:bidi w:val="0"/>
        <w:spacing w:before="0" w:after="0"/>
        <w:rPr/>
      </w:pPr>
      <w:r>
        <w:rPr/>
        <w:t>Las acciones están integradas en flujos de producto, datos, seguridad, privacidad, proveedores, usuarios, incidentes y cambios.</w:t>
      </w:r>
    </w:p>
    <w:p>
      <w:pPr>
        <w:pStyle w:val="BodyText"/>
        <w:numPr>
          <w:ilvl w:val="0"/>
          <w:numId w:val="25"/>
        </w:numPr>
        <w:bidi w:val="0"/>
        <w:spacing w:before="0" w:after="0"/>
        <w:rPr/>
      </w:pPr>
      <w:r>
        <w:rPr/>
        <w:t>Los resultados y cambios se conservan como información documentada controlada.</w:t>
      </w:r>
    </w:p>
    <w:p>
      <w:pPr>
        <w:pStyle w:val="Heading1"/>
        <w:tabs>
          <w:tab w:val="clear" w:pos="709"/>
          <w:tab w:val="left" w:pos="0" w:leader="none"/>
        </w:tabs>
        <w:bidi w:val="0"/>
        <w:ind w:hanging="0" w:start="0"/>
        <w:jc w:val="left"/>
        <w:rPr/>
        <w:keepNext/>
      </w:pPr>
      <w:bookmarkStart w:id="46" w:name="cláusula-9.1-seguimiento-medición-anális"/>
      <w:r>
        <w:rPr/>
        <w:t>16. Cláusula 9.1: Seguimiento, medición, análisis y evaluación</w:t>
      </w:r>
      <w:bookmarkEnd w:id="46"/>
    </w:p>
    <w:p>
      <w:pPr>
        <w:pStyle w:val="Firstparagraph"/>
        <w:bidi w:val="0"/>
        <w:rPr>
          <w:i/>
          <w:iCs/>
        </w:rPr>
      </w:pPr>
      <w:r>
        <w:rPr>
          <w:i/>
          <w:iCs/>
        </w:rPr>
        <w:t>La evaluación del desempeño determina si el SGIA y sus controles logran los resultados previstos.</w:t>
      </w:r>
    </w:p>
    <w:p>
      <w:pPr>
        <w:pStyle w:val="Heading2"/>
        <w:tabs>
          <w:tab w:val="clear" w:pos="709"/>
          <w:tab w:val="left" w:pos="0" w:leader="none"/>
        </w:tabs>
        <w:bidi w:val="0"/>
        <w:ind w:hanging="0" w:start="0"/>
        <w:jc w:val="left"/>
        <w:rPr/>
        <w:keepNext/>
      </w:pPr>
      <w:bookmarkStart w:id="47" w:name="diseño-de-la-medición"/>
      <w:r>
        <w:rPr/>
        <w:t>16.1 Diseño de la medición</w:t>
      </w:r>
      <w:bookmarkEnd w:id="47"/>
    </w:p>
    <w:p>
      <w:pPr>
        <w:pStyle w:val="BodyText"/>
        <w:numPr>
          <w:ilvl w:val="0"/>
          <w:numId w:val="26"/>
        </w:numPr>
        <w:bidi w:val="0"/>
        <w:spacing w:before="0" w:after="0"/>
        <w:rPr/>
      </w:pPr>
      <w:r>
        <w:rPr/>
        <w:t>Decida qué seguir/medir, métodos, momento, responsabilidad, criterios de aceptación, análisis, evaluación, reporte y retención.</w:t>
      </w:r>
    </w:p>
    <w:p>
      <w:pPr>
        <w:pStyle w:val="BodyText"/>
        <w:numPr>
          <w:ilvl w:val="0"/>
          <w:numId w:val="26"/>
        </w:numPr>
        <w:bidi w:val="0"/>
        <w:spacing w:before="0" w:after="0"/>
        <w:rPr/>
      </w:pPr>
      <w:r>
        <w:rPr/>
        <w:t>Verifique fuentes de datos, definiciones, poblaciones, integridad, exactitud, tiempo, acceso, transformaciones y limitaciones.</w:t>
      </w:r>
    </w:p>
    <w:p>
      <w:pPr>
        <w:pStyle w:val="BodyText"/>
        <w:numPr>
          <w:ilvl w:val="0"/>
          <w:numId w:val="26"/>
        </w:numPr>
        <w:bidi w:val="0"/>
        <w:spacing w:before="0" w:after="0"/>
        <w:rPr/>
      </w:pPr>
      <w:r>
        <w:rPr/>
        <w:t>Utilice indicadores adelantados y rezagados sobre gobierno, riesgo, impacto, ciclo de vida, datos, proveedores, uso, quejas, incidentes, auditoría y mejora.</w:t>
      </w:r>
    </w:p>
    <w:p>
      <w:pPr>
        <w:pStyle w:val="BodyText"/>
        <w:numPr>
          <w:ilvl w:val="0"/>
          <w:numId w:val="26"/>
        </w:numPr>
        <w:bidi w:val="0"/>
        <w:spacing w:before="0" w:after="0"/>
        <w:rPr/>
      </w:pPr>
      <w:r>
        <w:rPr/>
        <w:t>Evite promedios que oculten fallas graves o efectos en subgrupos; combine evidencia cuantitativa y cualitativa.</w:t>
      </w:r>
    </w:p>
    <w:p>
      <w:pPr>
        <w:pStyle w:val="BodyText"/>
        <w:numPr>
          <w:ilvl w:val="0"/>
          <w:numId w:val="26"/>
        </w:numPr>
        <w:bidi w:val="0"/>
        <w:spacing w:before="0" w:after="0"/>
        <w:rPr/>
      </w:pPr>
      <w:r>
        <w:rPr/>
        <w:t>Evalúe tendencias y causas, compare con objetivos y genere decisiones/acciones cuando no se alcancen umbrales.</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Medida del SGIA</w:t>
            </w:r>
          </w:p>
        </w:tc>
        <w:tc>
          <w:tcPr>
            <w:tcW w:w="4680" w:type="dxa"/>
            <w:tcBorders/>
            <w:vAlign w:val="center"/>
            <w:shd w:fill="1F4E78"/>
          </w:tcPr>
          <w:p>
            <w:pPr>
              <w:pStyle w:val="TableHeading"/>
              <w:bidi w:val="0"/>
              <w:spacing w:before="0" w:after="40"/>
              <w:rPr>
                <w:b/>
                <w:bCs/>
              </w:rPr>
            </w:pPr>
            <w:r>
              <w:rPr>
                <w:b/>
                <w:bCs/>
                <w:sz w:val="19"/>
                <w:color w:val="FFFFFF"/>
              </w:rPr>
              <w:t>Decisión que permite</w:t>
            </w:r>
          </w:p>
        </w:tc>
      </w:tr>
      <w:tr>
        <w:trPr>
          <w:cantSplit/>
        </w:trPr>
        <w:tc>
          <w:tcPr>
            <w:tcW w:w="4680" w:type="dxa"/>
            <w:tcBorders/>
            <w:vAlign w:val="center"/>
          </w:tcPr>
          <w:p>
            <w:pPr>
              <w:pStyle w:val="TableContents"/>
              <w:suppressLineNumbers/>
              <w:bidi w:val="0"/>
              <w:spacing w:before="0" w:after="40"/>
              <w:ind w:hanging="0" w:start="43" w:end="43"/>
              <w:rPr/>
            </w:pPr>
            <w:r>
              <w:rPr>
                <w:sz w:val="19"/>
              </w:rPr>
              <w:t>Cobertura de inventario/controles</w:t>
            </w:r>
          </w:p>
        </w:tc>
        <w:tc>
          <w:tcPr>
            <w:tcW w:w="4680" w:type="dxa"/>
            <w:tcBorders/>
            <w:vAlign w:val="center"/>
          </w:tcPr>
          <w:p>
            <w:pPr>
              <w:pStyle w:val="TableContents"/>
              <w:suppressLineNumbers/>
              <w:bidi w:val="0"/>
              <w:spacing w:before="0" w:after="40"/>
              <w:ind w:hanging="0" w:start="43" w:end="43"/>
              <w:rPr/>
            </w:pPr>
            <w:r>
              <w:rPr>
                <w:sz w:val="19"/>
              </w:rPr>
              <w:t>Uso de IA desconocido o sin propietario y brechas de evaluación</w:t>
            </w:r>
          </w:p>
        </w:tc>
      </w:tr>
      <w:tr>
        <w:trPr>
          <w:cantSplit/>
        </w:trPr>
        <w:tc>
          <w:tcPr>
            <w:tcW w:w="4680" w:type="dxa"/>
            <w:tcBorders/>
            <w:vAlign w:val="center"/>
          </w:tcPr>
          <w:p>
            <w:pPr>
              <w:pStyle w:val="TableContents"/>
              <w:suppressLineNumbers/>
              <w:bidi w:val="0"/>
              <w:spacing w:before="0" w:after="40"/>
              <w:ind w:hanging="0" w:start="43" w:end="43"/>
              <w:rPr/>
            </w:pPr>
            <w:r>
              <w:rPr>
                <w:sz w:val="19"/>
              </w:rPr>
              <w:t>Antigüedad de riesgo/impacto y cobertura de cambios</w:t>
            </w:r>
          </w:p>
        </w:tc>
        <w:tc>
          <w:tcPr>
            <w:tcW w:w="4680" w:type="dxa"/>
            <w:tcBorders/>
            <w:vAlign w:val="center"/>
          </w:tcPr>
          <w:p>
            <w:pPr>
              <w:pStyle w:val="TableContents"/>
              <w:suppressLineNumbers/>
              <w:bidi w:val="0"/>
              <w:spacing w:before="0" w:after="40"/>
              <w:ind w:hanging="0" w:start="43" w:end="43"/>
              <w:rPr/>
            </w:pPr>
            <w:r>
              <w:rPr>
                <w:sz w:val="19"/>
              </w:rPr>
              <w:t>Si las decisiones siguen vigentes después de cambios del sistema/contexto</w:t>
            </w:r>
          </w:p>
        </w:tc>
      </w:tr>
      <w:tr>
        <w:trPr>
          <w:cantSplit/>
        </w:trPr>
        <w:tc>
          <w:tcPr>
            <w:tcW w:w="4680" w:type="dxa"/>
            <w:tcBorders/>
            <w:vAlign w:val="center"/>
          </w:tcPr>
          <w:p>
            <w:pPr>
              <w:pStyle w:val="TableContents"/>
              <w:suppressLineNumbers/>
              <w:bidi w:val="0"/>
              <w:spacing w:before="0" w:after="40"/>
              <w:ind w:hanging="0" w:start="43" w:end="43"/>
              <w:rPr/>
            </w:pPr>
            <w:r>
              <w:rPr>
                <w:sz w:val="19"/>
              </w:rPr>
              <w:t>Resultados de evaluación</w:t>
            </w:r>
          </w:p>
        </w:tc>
        <w:tc>
          <w:tcPr>
            <w:tcW w:w="4680" w:type="dxa"/>
            <w:tcBorders/>
            <w:vAlign w:val="center"/>
          </w:tcPr>
          <w:p>
            <w:pPr>
              <w:pStyle w:val="TableContents"/>
              <w:suppressLineNumbers/>
              <w:bidi w:val="0"/>
              <w:spacing w:before="0" w:after="40"/>
              <w:ind w:hanging="0" w:start="43" w:end="43"/>
              <w:rPr/>
            </w:pPr>
            <w:r>
              <w:rPr>
                <w:sz w:val="19"/>
              </w:rPr>
              <w:t>Liberar, restringir, rediseñar, revertir o añadir supervisión</w:t>
            </w:r>
          </w:p>
        </w:tc>
      </w:tr>
      <w:tr>
        <w:trPr>
          <w:cantSplit/>
        </w:trPr>
        <w:tc>
          <w:tcPr>
            <w:tcW w:w="4680" w:type="dxa"/>
            <w:tcBorders/>
            <w:vAlign w:val="center"/>
          </w:tcPr>
          <w:p>
            <w:pPr>
              <w:pStyle w:val="TableContents"/>
              <w:suppressLineNumbers/>
              <w:bidi w:val="0"/>
              <w:spacing w:before="0" w:after="40"/>
              <w:ind w:hanging="0" w:start="43" w:end="43"/>
              <w:rPr/>
            </w:pPr>
            <w:r>
              <w:rPr>
                <w:sz w:val="19"/>
              </w:rPr>
              <w:t>Quejas/incidentes/reparación</w:t>
            </w:r>
          </w:p>
        </w:tc>
        <w:tc>
          <w:tcPr>
            <w:tcW w:w="4680" w:type="dxa"/>
            <w:tcBorders/>
            <w:vAlign w:val="center"/>
          </w:tcPr>
          <w:p>
            <w:pPr>
              <w:pStyle w:val="TableContents"/>
              <w:suppressLineNumbers/>
              <w:bidi w:val="0"/>
              <w:spacing w:before="0" w:after="40"/>
              <w:ind w:hanging="0" w:start="43" w:end="43"/>
              <w:rPr/>
            </w:pPr>
            <w:r>
              <w:rPr>
                <w:sz w:val="19"/>
              </w:rPr>
              <w:t>Impactos sobre personas, recurrencia, comunicación y acción correctiva</w:t>
            </w:r>
          </w:p>
        </w:tc>
      </w:tr>
      <w:tr>
        <w:trPr>
          <w:cantSplit/>
        </w:trPr>
        <w:tc>
          <w:tcPr>
            <w:tcW w:w="4680" w:type="dxa"/>
            <w:tcBorders/>
            <w:vAlign w:val="center"/>
          </w:tcPr>
          <w:p>
            <w:pPr>
              <w:pStyle w:val="TableContents"/>
              <w:suppressLineNumbers/>
              <w:bidi w:val="0"/>
              <w:spacing w:before="0" w:after="40"/>
              <w:ind w:hanging="0" w:start="43" w:end="43"/>
              <w:rPr/>
            </w:pPr>
            <w:r>
              <w:rPr>
                <w:sz w:val="19"/>
              </w:rPr>
              <w:t>Cambios/evidencia de proveedores</w:t>
            </w:r>
          </w:p>
        </w:tc>
        <w:tc>
          <w:tcPr>
            <w:tcW w:w="4680" w:type="dxa"/>
            <w:tcBorders/>
            <w:vAlign w:val="center"/>
          </w:tcPr>
          <w:p>
            <w:pPr>
              <w:pStyle w:val="TableContents"/>
              <w:suppressLineNumbers/>
              <w:bidi w:val="0"/>
              <w:spacing w:before="0" w:after="40"/>
              <w:ind w:hanging="0" w:start="43" w:end="43"/>
              <w:rPr/>
            </w:pPr>
            <w:r>
              <w:rPr>
                <w:sz w:val="19"/>
              </w:rPr>
              <w:t>Reevaluación, acción contractual, alternativa o salida</w:t>
            </w:r>
          </w:p>
        </w:tc>
      </w:tr>
      <w:tr>
        <w:trPr>
          <w:cantSplit/>
        </w:trPr>
        <w:tc>
          <w:tcPr>
            <w:tcW w:w="4680" w:type="dxa"/>
            <w:tcBorders/>
            <w:vAlign w:val="center"/>
          </w:tcPr>
          <w:p>
            <w:pPr>
              <w:pStyle w:val="TableContents"/>
              <w:suppressLineNumbers/>
              <w:bidi w:val="0"/>
              <w:spacing w:before="0" w:after="40"/>
              <w:ind w:hanging="0" w:start="43" w:end="43"/>
              <w:rPr/>
            </w:pPr>
            <w:r>
              <w:rPr>
                <w:sz w:val="19"/>
              </w:rPr>
              <w:t>Antigüedad de auditoría/no conformidad</w:t>
            </w:r>
          </w:p>
        </w:tc>
        <w:tc>
          <w:tcPr>
            <w:tcW w:w="4680" w:type="dxa"/>
            <w:tcBorders/>
            <w:vAlign w:val="center"/>
          </w:tcPr>
          <w:p>
            <w:pPr>
              <w:pStyle w:val="TableContents"/>
              <w:suppressLineNumbers/>
              <w:bidi w:val="0"/>
              <w:spacing w:before="0" w:after="40"/>
              <w:ind w:hanging="0" w:start="43" w:end="43"/>
              <w:rPr/>
            </w:pPr>
            <w:r>
              <w:rPr>
                <w:sz w:val="19"/>
              </w:rPr>
              <w:t>Debilidad de control, causa raíz, recursos y atención de la dirección</w:t>
            </w:r>
          </w:p>
        </w:tc>
      </w:tr>
    </w:tbl>
    <w:p>
      <w:pPr>
        <w:pStyle w:val="Heading1"/>
        <w:tabs>
          <w:tab w:val="clear" w:pos="709"/>
          <w:tab w:val="left" w:pos="0" w:leader="none"/>
        </w:tabs>
        <w:bidi w:val="0"/>
        <w:ind w:hanging="0" w:start="0"/>
        <w:jc w:val="left"/>
        <w:rPr/>
        <w:keepNext/>
      </w:pPr>
      <w:bookmarkStart w:id="48" w:name="cláusula-9.2-auditoría-interna"/>
      <w:r>
        <w:rPr/>
        <w:t>17. Cláusula 9.2: Auditoría interna</w:t>
      </w:r>
      <w:bookmarkEnd w:id="48"/>
    </w:p>
    <w:p>
      <w:pPr>
        <w:pStyle w:val="Firstparagraph"/>
        <w:bidi w:val="0"/>
        <w:rPr>
          <w:i/>
          <w:iCs/>
        </w:rPr>
      </w:pPr>
      <w:r>
        <w:rPr>
          <w:i/>
          <w:iCs/>
        </w:rPr>
        <w:t>La auditoría interna proporciona evidencia independiente y basada en riesgos de que el SGIA es conforme y funciona eficazmente.</w:t>
      </w:r>
    </w:p>
    <w:p>
      <w:pPr>
        <w:pStyle w:val="FigureWithCaption"/>
        <w:keepNext w:val="true"/>
        <w:suppressLineNumbers/>
        <w:bidi w:val="0"/>
        <w:rPr/>
      </w:pPr>
      <w:r>
        <w:rPr/>
        <w:drawing>
          <wp:inline distT="0" distB="0" distL="0" distR="0">
            <wp:extent cx="5623560" cy="2955925"/>
            <wp:effectExtent l="0" t="0" r="0" b="0"/>
            <wp:docPr id="5" name="Manual 02 Figure 5" title="Figure 5" descr="ISO 19011:2026 proporciona orientación vigente para el programa de auditoría; ISO/IEC 42001 proporciona los criterios de auditor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g5"/>
                    <pic:cNvPicPr>
                      <a:picLocks noChangeAspect="1" noChangeArrowheads="1"/>
                    </pic:cNvPicPr>
                  </pic:nvPicPr>
                  <pic:blipFill>
                    <a:blip r:embed="rId10">
                      <a:extLst>
                        <a:ext uri="{96DAC541-7B7A-43D3-8B79-37D633B846F1}">
                          <asvg:svgBlip xmlns:asvg="http://schemas.microsoft.com/office/drawing/2016/SVG/main" r:embed="rId11"/>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keepNext/>
      </w:pPr>
      <w:r>
        <w:rPr/>
        <w:t>ISO 19011:2026 proporciona orientación vigente para el programa de auditoría; ISO/IEC 42001 proporciona los criterios de auditoría.</w:t>
      </w:r>
    </w:p>
    <w:p>
      <w:pPr>
        <w:pStyle w:val="Caption"/>
        <w:bidi w:val="0"/>
        <w:spacing w:before="86" w:after="86"/>
        <w:rPr/>
        <w:keepNext/>
      </w:pPr>
      <w:r>
        <w:rPr/>
        <w:t>Figura 5. Cadena de auditoría del SGIA</w:t>
      </w:r>
    </w:p>
    <w:p>
      <w:pPr>
        <w:pStyle w:val="BlockQuotation"/>
        <w:bidi w:val="0"/>
        <w:ind w:hanging="0" w:start="720" w:end="0"/>
        <w:rPr/>
      </w:pPr>
      <w:r>
        <w:rPr>
          <w:b/>
          <w:bCs/>
        </w:rPr>
        <w:t>Explicación accesible:</w:t>
      </w:r>
      <w:r>
        <w:rPr/>
        <w:t xml:space="preserve"> La cadena de auditoría conecta criterios definidos, alcance y muestreo con evidencia verificable, pruebas, conclusiones, hallazgos y seguimiento. La independencia y la competencia del auditor deben ser proporcionales al riesgo y la complejidad de los sistemas evaluados.</w:t>
      </w:r>
    </w:p>
    <w:p>
      <w:pPr>
        <w:pStyle w:val="Heading2"/>
        <w:tabs>
          <w:tab w:val="clear" w:pos="709"/>
          <w:tab w:val="left" w:pos="0" w:leader="none"/>
        </w:tabs>
        <w:bidi w:val="0"/>
        <w:ind w:hanging="0" w:start="0"/>
        <w:jc w:val="left"/>
        <w:rPr/>
        <w:keepNext/>
      </w:pPr>
      <w:bookmarkStart w:id="49" w:name="programa-de-auditoría"/>
      <w:r>
        <w:rPr/>
        <w:t>17.1 Programa de auditoría</w:t>
      </w:r>
      <w:bookmarkEnd w:id="49"/>
    </w:p>
    <w:p>
      <w:pPr>
        <w:pStyle w:val="BodyText"/>
        <w:numPr>
          <w:ilvl w:val="0"/>
          <w:numId w:val="27"/>
        </w:numPr>
        <w:bidi w:val="0"/>
        <w:spacing w:before="0" w:after="0"/>
        <w:rPr/>
      </w:pPr>
      <w:r>
        <w:rPr/>
        <w:t>Defina objetivos, alcance, frecuencia, métodos, responsabilidades, planificación, criterios, reporte, seguimiento, recursos, riesgos y registros.</w:t>
      </w:r>
    </w:p>
    <w:p>
      <w:pPr>
        <w:pStyle w:val="BodyText"/>
        <w:numPr>
          <w:ilvl w:val="0"/>
          <w:numId w:val="27"/>
        </w:numPr>
        <w:bidi w:val="0"/>
        <w:spacing w:before="0" w:after="0"/>
        <w:rPr/>
      </w:pPr>
      <w:r>
        <w:rPr/>
        <w:t>Priorice sistemas de alto impacto, modelos/usos nuevos, controles débiles, incidentes, quejas, cambios, proveedores, hallazgos anteriores y evidencia desactualizada.</w:t>
      </w:r>
    </w:p>
    <w:p>
      <w:pPr>
        <w:pStyle w:val="BodyText"/>
        <w:numPr>
          <w:ilvl w:val="0"/>
          <w:numId w:val="27"/>
        </w:numPr>
        <w:bidi w:val="0"/>
        <w:spacing w:before="0" w:after="0"/>
        <w:rPr/>
      </w:pPr>
      <w:r>
        <w:rPr/>
        <w:t>Seleccione auditores por competencia en sistemas de gestión y dominio de IA, objetividad, confidencialidad, comunicación e independencia.</w:t>
      </w:r>
    </w:p>
    <w:p>
      <w:pPr>
        <w:pStyle w:val="BodyText"/>
        <w:numPr>
          <w:ilvl w:val="0"/>
          <w:numId w:val="27"/>
        </w:numPr>
        <w:bidi w:val="0"/>
        <w:spacing w:before="0" w:after="0"/>
        <w:rPr/>
      </w:pPr>
      <w:r>
        <w:rPr/>
        <w:t>Utilice entrevistas, revisión documental, observación, trazabilidad de extremo a extremo, análisis de datos, muestreo, repetición de pruebas y demostraciones técnicas seguras.</w:t>
      </w:r>
    </w:p>
    <w:p>
      <w:pPr>
        <w:pStyle w:val="BodyText"/>
        <w:numPr>
          <w:ilvl w:val="0"/>
          <w:numId w:val="27"/>
        </w:numPr>
        <w:bidi w:val="0"/>
        <w:spacing w:before="0" w:after="0"/>
        <w:rPr/>
      </w:pPr>
      <w:r>
        <w:rPr/>
        <w:t>Informe resultados a la dirección pertinente y asegure corrección/acción correctiva y seguimiento de eficacia.</w:t>
      </w:r>
    </w:p>
    <w:p>
      <w:pPr>
        <w:pStyle w:val="Heading2"/>
        <w:tabs>
          <w:tab w:val="clear" w:pos="709"/>
          <w:tab w:val="left" w:pos="0" w:leader="none"/>
        </w:tabs>
        <w:bidi w:val="0"/>
        <w:ind w:hanging="0" w:start="0"/>
        <w:jc w:val="left"/>
        <w:rPr/>
        <w:keepNext/>
      </w:pPr>
      <w:bookmarkStart w:id="50" w:name="papel-de-trabajo-de-auditoría"/>
      <w:r>
        <w:rPr/>
        <w:t>17.2 Papel de trabajo de auditoría</w:t>
      </w:r>
      <w:bookmarkEnd w:id="50"/>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Ejemplo</w:t>
            </w:r>
          </w:p>
        </w:tc>
      </w:tr>
      <w:tr>
        <w:trPr>
          <w:cantSplit/>
        </w:trPr>
        <w:tc>
          <w:tcPr>
            <w:tcW w:w="4680" w:type="dxa"/>
            <w:tcBorders/>
            <w:vAlign w:val="center"/>
          </w:tcPr>
          <w:p>
            <w:pPr>
              <w:pStyle w:val="TableContents"/>
              <w:suppressLineNumbers/>
              <w:bidi w:val="0"/>
              <w:spacing w:before="0" w:after="40"/>
              <w:ind w:hanging="0" w:start="43" w:end="43"/>
              <w:rPr/>
            </w:pPr>
            <w:r>
              <w:rPr>
                <w:sz w:val="19"/>
              </w:rPr>
              <w:t>Criterios</w:t>
            </w:r>
          </w:p>
        </w:tc>
        <w:tc>
          <w:tcPr>
            <w:tcW w:w="4680" w:type="dxa"/>
            <w:tcBorders/>
            <w:vAlign w:val="center"/>
          </w:tcPr>
          <w:p>
            <w:pPr>
              <w:pStyle w:val="TableContents"/>
              <w:suppressLineNumbers/>
              <w:bidi w:val="0"/>
              <w:spacing w:before="0" w:after="40"/>
              <w:ind w:hanging="0" w:start="43" w:end="43"/>
              <w:rPr/>
            </w:pPr>
            <w:r>
              <w:rPr>
                <w:sz w:val="19"/>
              </w:rPr>
              <w:t>Cláusula/control exacto, procedimiento interno, ley/contrato según corresponda</w:t>
            </w:r>
          </w:p>
        </w:tc>
      </w:tr>
      <w:tr>
        <w:trPr>
          <w:cantSplit/>
        </w:trPr>
        <w:tc>
          <w:tcPr>
            <w:tcW w:w="4680" w:type="dxa"/>
            <w:tcBorders/>
            <w:vAlign w:val="center"/>
          </w:tcPr>
          <w:p>
            <w:pPr>
              <w:pStyle w:val="TableContents"/>
              <w:suppressLineNumbers/>
              <w:bidi w:val="0"/>
              <w:spacing w:before="0" w:after="40"/>
              <w:ind w:hanging="0" w:start="43" w:end="43"/>
              <w:rPr/>
            </w:pPr>
            <w:r>
              <w:rPr>
                <w:sz w:val="19"/>
              </w:rPr>
              <w:t>Alcance/muestra</w:t>
            </w:r>
          </w:p>
        </w:tc>
        <w:tc>
          <w:tcPr>
            <w:tcW w:w="4680" w:type="dxa"/>
            <w:tcBorders/>
            <w:vAlign w:val="center"/>
          </w:tcPr>
          <w:p>
            <w:pPr>
              <w:pStyle w:val="TableContents"/>
              <w:suppressLineNumbers/>
              <w:bidi w:val="0"/>
              <w:spacing w:before="0" w:after="40"/>
              <w:ind w:hanging="0" w:start="43" w:end="43"/>
              <w:rPr/>
            </w:pPr>
            <w:r>
              <w:rPr>
                <w:sz w:val="19"/>
              </w:rPr>
              <w:t>Proceso, sistema/versión de IA, periodo, población y justificación de selección</w:t>
            </w:r>
          </w:p>
        </w:tc>
      </w:tr>
      <w:tr>
        <w:trPr>
          <w:cantSplit/>
        </w:trPr>
        <w:tc>
          <w:tcPr>
            <w:tcW w:w="4680" w:type="dxa"/>
            <w:tcBorders/>
            <w:vAlign w:val="center"/>
          </w:tcPr>
          <w:p>
            <w:pPr>
              <w:pStyle w:val="TableContents"/>
              <w:suppressLineNumbers/>
              <w:bidi w:val="0"/>
              <w:spacing w:before="0" w:after="40"/>
              <w:ind w:hanging="0" w:start="43" w:end="43"/>
              <w:rPr/>
            </w:pPr>
            <w:r>
              <w:rPr>
                <w:sz w:val="19"/>
              </w:rPr>
              <w:t>Evidencia</w:t>
            </w:r>
          </w:p>
        </w:tc>
        <w:tc>
          <w:tcPr>
            <w:tcW w:w="4680" w:type="dxa"/>
            <w:tcBorders/>
            <w:vAlign w:val="center"/>
          </w:tcPr>
          <w:p>
            <w:pPr>
              <w:pStyle w:val="TableContents"/>
              <w:suppressLineNumbers/>
              <w:bidi w:val="0"/>
              <w:spacing w:before="0" w:after="40"/>
              <w:ind w:hanging="0" w:start="43" w:end="43"/>
              <w:rPr/>
            </w:pPr>
            <w:r>
              <w:rPr>
                <w:sz w:val="19"/>
              </w:rPr>
              <w:t>Fuente, propietario, fecha, versión, consulta, observación y confiabilidad</w:t>
            </w:r>
          </w:p>
        </w:tc>
      </w:tr>
      <w:tr>
        <w:trPr>
          <w:cantSplit/>
        </w:trPr>
        <w:tc>
          <w:tcPr>
            <w:tcW w:w="4680" w:type="dxa"/>
            <w:tcBorders/>
            <w:vAlign w:val="center"/>
          </w:tcPr>
          <w:p>
            <w:pPr>
              <w:pStyle w:val="TableContents"/>
              <w:suppressLineNumbers/>
              <w:bidi w:val="0"/>
              <w:spacing w:before="0" w:after="40"/>
              <w:ind w:hanging="0" w:start="43" w:end="43"/>
              <w:rPr/>
            </w:pPr>
            <w:r>
              <w:rPr>
                <w:sz w:val="19"/>
              </w:rPr>
              <w:t>Prueba/resultado</w:t>
            </w:r>
          </w:p>
        </w:tc>
        <w:tc>
          <w:tcPr>
            <w:tcW w:w="4680" w:type="dxa"/>
            <w:tcBorders/>
            <w:vAlign w:val="center"/>
          </w:tcPr>
          <w:p>
            <w:pPr>
              <w:pStyle w:val="TableContents"/>
              <w:suppressLineNumbers/>
              <w:bidi w:val="0"/>
              <w:spacing w:before="0" w:after="40"/>
              <w:ind w:hanging="0" w:start="43" w:end="43"/>
              <w:rPr/>
            </w:pPr>
            <w:r>
              <w:rPr>
                <w:sz w:val="19"/>
              </w:rPr>
              <w:t>Diseño y operación, esperado frente a observado y excepciones</w:t>
            </w:r>
          </w:p>
        </w:tc>
      </w:tr>
      <w:tr>
        <w:trPr>
          <w:cantSplit/>
        </w:trPr>
        <w:tc>
          <w:tcPr>
            <w:tcW w:w="4680" w:type="dxa"/>
            <w:tcBorders/>
            <w:vAlign w:val="center"/>
          </w:tcPr>
          <w:p>
            <w:pPr>
              <w:pStyle w:val="TableContents"/>
              <w:suppressLineNumbers/>
              <w:bidi w:val="0"/>
              <w:spacing w:before="0" w:after="40"/>
              <w:ind w:hanging="0" w:start="43" w:end="43"/>
              <w:rPr/>
            </w:pPr>
            <w:r>
              <w:rPr>
                <w:sz w:val="19"/>
              </w:rPr>
              <w:t>Conclusión</w:t>
            </w:r>
          </w:p>
        </w:tc>
        <w:tc>
          <w:tcPr>
            <w:tcW w:w="4680" w:type="dxa"/>
            <w:tcBorders/>
            <w:vAlign w:val="center"/>
          </w:tcPr>
          <w:p>
            <w:pPr>
              <w:pStyle w:val="TableContents"/>
              <w:suppressLineNumbers/>
              <w:bidi w:val="0"/>
              <w:spacing w:before="0" w:after="40"/>
              <w:ind w:hanging="0" w:start="43" w:end="43"/>
              <w:rPr/>
            </w:pPr>
            <w:r>
              <w:rPr>
                <w:sz w:val="19"/>
              </w:rPr>
              <w:t>Conforme, oportunidad, observación o no conformidad con fundamento objetivo</w:t>
            </w:r>
          </w:p>
        </w:tc>
      </w:tr>
      <w:tr>
        <w:trPr>
          <w:cantSplit/>
        </w:trPr>
        <w:tc>
          <w:tcPr>
            <w:tcW w:w="4680" w:type="dxa"/>
            <w:tcBorders/>
            <w:vAlign w:val="center"/>
          </w:tcPr>
          <w:p>
            <w:pPr>
              <w:pStyle w:val="TableContents"/>
              <w:suppressLineNumbers/>
              <w:bidi w:val="0"/>
              <w:spacing w:before="0" w:after="40"/>
              <w:ind w:hanging="0" w:start="43" w:end="43"/>
              <w:rPr/>
            </w:pPr>
            <w:r>
              <w:rPr>
                <w:sz w:val="19"/>
              </w:rPr>
              <w:t>Seguimiento</w:t>
            </w:r>
          </w:p>
        </w:tc>
        <w:tc>
          <w:tcPr>
            <w:tcW w:w="4680" w:type="dxa"/>
            <w:tcBorders/>
            <w:vAlign w:val="center"/>
          </w:tcPr>
          <w:p>
            <w:pPr>
              <w:pStyle w:val="TableContents"/>
              <w:suppressLineNumbers/>
              <w:bidi w:val="0"/>
              <w:spacing w:before="0" w:after="40"/>
              <w:ind w:hanging="0" w:start="43" w:end="43"/>
              <w:rPr/>
            </w:pPr>
            <w:r>
              <w:rPr>
                <w:sz w:val="19"/>
              </w:rPr>
              <w:t>Corrección, causa raíz, acción correctiva, propietario/fecha y eficacia</w:t>
            </w:r>
          </w:p>
        </w:tc>
      </w:tr>
    </w:tbl>
    <w:p>
      <w:pPr>
        <w:pStyle w:val="Heading1"/>
        <w:tabs>
          <w:tab w:val="clear" w:pos="709"/>
          <w:tab w:val="left" w:pos="0" w:leader="none"/>
        </w:tabs>
        <w:bidi w:val="0"/>
        <w:ind w:hanging="0" w:start="0"/>
        <w:jc w:val="left"/>
        <w:rPr/>
        <w:keepNext/>
      </w:pPr>
      <w:bookmarkStart w:id="51" w:name="cláusula-9.3-revisión-por-la-dirección"/>
      <w:r>
        <w:rPr/>
        <w:t>18. Cláusula 9.3: Revisión por la dirección</w:t>
      </w:r>
      <w:bookmarkEnd w:id="51"/>
    </w:p>
    <w:p>
      <w:pPr>
        <w:pStyle w:val="Firstparagraph"/>
        <w:bidi w:val="0"/>
        <w:rPr>
          <w:i/>
          <w:iCs/>
        </w:rPr>
      </w:pPr>
      <w:r>
        <w:rPr>
          <w:i/>
          <w:iCs/>
        </w:rPr>
        <w:t>La revisión por la dirección asegura que la alta dirección evalúe conveniencia, adecuación, eficacia, dirección, recursos y mejora.</w:t>
      </w:r>
    </w:p>
    <w:p>
      <w:pPr>
        <w:pStyle w:val="Heading2"/>
        <w:tabs>
          <w:tab w:val="clear" w:pos="709"/>
          <w:tab w:val="left" w:pos="0" w:leader="none"/>
        </w:tabs>
        <w:bidi w:val="0"/>
        <w:ind w:hanging="0" w:start="0"/>
        <w:jc w:val="left"/>
        <w:rPr/>
        <w:keepNext/>
      </w:pPr>
      <w:bookmarkStart w:id="52" w:name="entradas"/>
      <w:r>
        <w:rPr/>
        <w:t>18.1 Entradas</w:t>
      </w:r>
      <w:bookmarkEnd w:id="52"/>
    </w:p>
    <w:p>
      <w:pPr>
        <w:pStyle w:val="BodyText"/>
        <w:numPr>
          <w:ilvl w:val="0"/>
          <w:numId w:val="28"/>
        </w:numPr>
        <w:bidi w:val="0"/>
        <w:spacing w:before="0" w:after="0"/>
        <w:rPr/>
      </w:pPr>
      <w:r>
        <w:rPr/>
        <w:t>Estado de acciones de revisiones anteriores y cambios en cuestiones internas/externas o requisitos de partes interesadas.</w:t>
      </w:r>
    </w:p>
    <w:p>
      <w:pPr>
        <w:pStyle w:val="BodyText"/>
        <w:numPr>
          <w:ilvl w:val="0"/>
          <w:numId w:val="28"/>
        </w:numPr>
        <w:bidi w:val="0"/>
        <w:spacing w:before="0" w:after="0"/>
        <w:rPr/>
      </w:pPr>
      <w:r>
        <w:rPr/>
        <w:t>Desempeño y tendencias del SGIA: objetivos, no conformidades/acciones correctivas, seguimiento/medición, auditorías internas y aseguramiento externo pertinente.</w:t>
      </w:r>
    </w:p>
    <w:p>
      <w:pPr>
        <w:pStyle w:val="BodyText"/>
        <w:numPr>
          <w:ilvl w:val="0"/>
          <w:numId w:val="28"/>
        </w:numPr>
        <w:bidi w:val="0"/>
        <w:spacing w:before="0" w:after="0"/>
        <w:rPr/>
      </w:pPr>
      <w:r>
        <w:rPr/>
        <w:t>Resultados de evaluaciones de riesgo e impacto, estado del tratamiento, cambios en la Declaración de Aplicabilidad, incidentes, quejas, preocupaciones, reparación y cambios legales y de proveedores.</w:t>
      </w:r>
    </w:p>
    <w:p>
      <w:pPr>
        <w:pStyle w:val="BodyText"/>
        <w:numPr>
          <w:ilvl w:val="0"/>
          <w:numId w:val="28"/>
        </w:numPr>
        <w:bidi w:val="0"/>
        <w:spacing w:before="0" w:after="0"/>
        <w:rPr/>
      </w:pPr>
      <w:r>
        <w:rPr/>
        <w:t>Adecuación de recursos, competencia, independencia, infraestructura, datos, herramientas y presupuesto.</w:t>
      </w:r>
    </w:p>
    <w:p>
      <w:pPr>
        <w:pStyle w:val="BodyText"/>
        <w:numPr>
          <w:ilvl w:val="0"/>
          <w:numId w:val="28"/>
        </w:numPr>
        <w:bidi w:val="0"/>
        <w:spacing w:before="0" w:after="0"/>
        <w:rPr/>
      </w:pPr>
      <w:r>
        <w:rPr/>
        <w:t>Oportunidades de mejora continua y alineación estratégica.</w:t>
      </w:r>
    </w:p>
    <w:p>
      <w:pPr>
        <w:pStyle w:val="Heading2"/>
        <w:tabs>
          <w:tab w:val="clear" w:pos="709"/>
          <w:tab w:val="left" w:pos="0" w:leader="none"/>
        </w:tabs>
        <w:bidi w:val="0"/>
        <w:ind w:hanging="0" w:start="0"/>
        <w:jc w:val="left"/>
        <w:rPr/>
        <w:keepNext/>
      </w:pPr>
      <w:bookmarkStart w:id="53" w:name="salidas"/>
      <w:r>
        <w:rPr/>
        <w:t>18.2 Salidas</w:t>
      </w:r>
      <w:bookmarkEnd w:id="53"/>
    </w:p>
    <w:p>
      <w:pPr>
        <w:pStyle w:val="BodyText"/>
        <w:numPr>
          <w:ilvl w:val="0"/>
          <w:numId w:val="29"/>
        </w:numPr>
        <w:bidi w:val="0"/>
        <w:spacing w:before="0" w:after="0"/>
        <w:rPr/>
      </w:pPr>
      <w:r>
        <w:rPr/>
        <w:t>Decisiones y acciones sobre mejora, cambios al alcance/política/objetivos/procesos/controles del SGIA, necesidades de recursos, decisiones de riesgo y dirección estratégica.</w:t>
      </w:r>
    </w:p>
    <w:p>
      <w:pPr>
        <w:pStyle w:val="BodyText"/>
        <w:numPr>
          <w:ilvl w:val="0"/>
          <w:numId w:val="29"/>
        </w:numPr>
        <w:bidi w:val="0"/>
        <w:spacing w:before="0" w:after="0"/>
        <w:rPr/>
      </w:pPr>
      <w:r>
        <w:rPr/>
        <w:t>Para cada acción: justificación, propietario, fecha límite, recursos, resultado esperado, medida, dependencia, escalamiento y seguimiento.</w:t>
      </w:r>
    </w:p>
    <w:p>
      <w:pPr>
        <w:pStyle w:val="BodyText"/>
        <w:numPr>
          <w:ilvl w:val="0"/>
          <w:numId w:val="29"/>
        </w:numPr>
        <w:bidi w:val="0"/>
        <w:spacing w:before="0" w:after="0"/>
        <w:rPr/>
      </w:pPr>
      <w:r>
        <w:rPr/>
        <w:t>Conserve agenda, materiales, asistentes/autoridad, discusión, decisiones, disenso/preocupaciones, acciones y evidencia de cierre.</w:t>
      </w:r>
    </w:p>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Evite una revisión que sea solo una presentación:</w:t>
      </w:r>
      <w:r>
        <w:rPr/>
        <w:t xml:space="preserve"> La revisión por la dirección es un proceso de decisión. Un tablero sin cuestionamientos, decisiones de riesgo, compromisos de recursos, acciones y seguimiento constituye evidencia débil.</w:t>
      </w:r>
    </w:p>
    <w:p>
      <w:pPr>
        <w:pStyle w:val="Heading1"/>
        <w:tabs>
          <w:tab w:val="clear" w:pos="709"/>
          <w:tab w:val="left" w:pos="0" w:leader="none"/>
        </w:tabs>
        <w:bidi w:val="0"/>
        <w:ind w:hanging="0" w:start="0"/>
        <w:jc w:val="left"/>
        <w:rPr/>
        <w:keepNext/>
      </w:pPr>
      <w:bookmarkStart w:id="54" w:name="cláusula-10-no-conformidad-acción-correc"/>
      <w:r>
        <w:rPr/>
        <w:t>19. Cláusula 10: No conformidad, acción correctiva y mejora continua</w:t>
      </w:r>
      <w:bookmarkEnd w:id="54"/>
    </w:p>
    <w:p>
      <w:pPr>
        <w:pStyle w:val="Firstparagraph"/>
        <w:bidi w:val="0"/>
        <w:rPr>
          <w:i/>
          <w:iCs/>
        </w:rPr>
      </w:pPr>
      <w:r>
        <w:rPr>
          <w:i/>
          <w:iCs/>
        </w:rPr>
        <w:t>La mejora corrige problemas, elimina causas, comprueba eficacia y fortalece el SGIA a medida que cambian el riesgo y la tecnología.</w:t>
      </w:r>
    </w:p>
    <w:p>
      <w:pPr>
        <w:pStyle w:val="Heading2"/>
        <w:tabs>
          <w:tab w:val="clear" w:pos="709"/>
          <w:tab w:val="left" w:pos="0" w:leader="none"/>
        </w:tabs>
        <w:bidi w:val="0"/>
        <w:ind w:hanging="0" w:start="0"/>
        <w:jc w:val="left"/>
        <w:rPr/>
        <w:keepNext/>
      </w:pPr>
      <w:bookmarkStart w:id="55" w:name="método-de-acción-correctiva"/>
      <w:r>
        <w:rPr/>
        <w:t>19.1 Método de acción correctiva</w:t>
      </w:r>
      <w:bookmarkEnd w:id="55"/>
    </w:p>
    <w:p>
      <w:pPr>
        <w:pStyle w:val="BodyText"/>
        <w:numPr>
          <w:ilvl w:val="0"/>
          <w:numId w:val="30"/>
        </w:numPr>
        <w:bidi w:val="0"/>
        <w:spacing w:before="0" w:after="0"/>
        <w:rPr/>
      </w:pPr>
      <w:r>
        <w:rPr/>
        <w:t>Reaccione ante la no conformidad; contrólela/corríjala; atienda consecuencias, personas afectadas, decisiones, datos, sistemas y comunicaciones.</w:t>
      </w:r>
    </w:p>
    <w:p>
      <w:pPr>
        <w:pStyle w:val="BodyText"/>
        <w:numPr>
          <w:ilvl w:val="0"/>
          <w:numId w:val="30"/>
        </w:numPr>
        <w:bidi w:val="0"/>
        <w:spacing w:before="0" w:after="0"/>
        <w:rPr/>
      </w:pPr>
      <w:r>
        <w:rPr/>
        <w:t>Evalúe causa y recurrencia: revise evidencia, determine por qué fallaron o fueron evitados los controles y busque condiciones similares en otras áreas.</w:t>
      </w:r>
    </w:p>
    <w:p>
      <w:pPr>
        <w:pStyle w:val="BodyText"/>
        <w:numPr>
          <w:ilvl w:val="0"/>
          <w:numId w:val="30"/>
        </w:numPr>
        <w:bidi w:val="0"/>
        <w:spacing w:before="0" w:after="0"/>
        <w:rPr/>
      </w:pPr>
      <w:r>
        <w:rPr/>
        <w:t>Implemente acciones proporcionales con propietario, fecha, recursos, protección interina, control de cambios y reevaluación de riesgo/impacto.</w:t>
      </w:r>
    </w:p>
    <w:p>
      <w:pPr>
        <w:pStyle w:val="BodyText"/>
        <w:numPr>
          <w:ilvl w:val="0"/>
          <w:numId w:val="30"/>
        </w:numPr>
        <w:bidi w:val="0"/>
        <w:spacing w:before="0" w:after="0"/>
        <w:rPr/>
      </w:pPr>
      <w:r>
        <w:rPr/>
        <w:t>Revise la eficacia con evidencia definida después de suficiente operación; no cierre basándose únicamente en un documento nuevo.</w:t>
      </w:r>
    </w:p>
    <w:p>
      <w:pPr>
        <w:pStyle w:val="BodyText"/>
        <w:numPr>
          <w:ilvl w:val="0"/>
          <w:numId w:val="30"/>
        </w:numPr>
        <w:bidi w:val="0"/>
        <w:spacing w:before="0" w:after="0"/>
        <w:rPr/>
      </w:pPr>
      <w:r>
        <w:rPr/>
        <w:t>Actualice riesgos, impactos, controles, objetivos, competencia, términos de proveedores, seguimiento, programa de auditoría e información documentada según sea necesario.</w:t>
      </w:r>
    </w:p>
    <w:p>
      <w:pPr>
        <w:pStyle w:val="BodyText"/>
        <w:numPr>
          <w:ilvl w:val="0"/>
          <w:numId w:val="30"/>
        </w:numPr>
        <w:bidi w:val="0"/>
        <w:spacing w:before="0" w:after="0"/>
        <w:rPr/>
      </w:pPr>
      <w:r>
        <w:rPr/>
        <w:t>Conserve la naturaleza de la no conformidad, las acciones y los resultados de eficacia.</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Respuesta débil</w:t>
            </w:r>
          </w:p>
        </w:tc>
        <w:tc>
          <w:tcPr>
            <w:tcW w:w="4680" w:type="dxa"/>
            <w:tcBorders/>
            <w:vAlign w:val="center"/>
            <w:shd w:fill="1F4E78"/>
          </w:tcPr>
          <w:p>
            <w:pPr>
              <w:pStyle w:val="TableHeading"/>
              <w:bidi w:val="0"/>
              <w:spacing w:before="0" w:after="40"/>
              <w:rPr>
                <w:b/>
                <w:bCs/>
              </w:rPr>
            </w:pPr>
            <w:r>
              <w:rPr>
                <w:b/>
                <w:bCs/>
                <w:sz w:val="19"/>
                <w:color w:val="FFFFFF"/>
              </w:rPr>
              <w:t>Respuesta más sólida</w:t>
            </w:r>
          </w:p>
        </w:tc>
      </w:tr>
      <w:tr>
        <w:trPr>
          <w:cantSplit/>
        </w:trPr>
        <w:tc>
          <w:tcPr>
            <w:tcW w:w="4680" w:type="dxa"/>
            <w:tcBorders/>
            <w:vAlign w:val="center"/>
          </w:tcPr>
          <w:p>
            <w:pPr>
              <w:pStyle w:val="TableContents"/>
              <w:suppressLineNumbers/>
              <w:bidi w:val="0"/>
              <w:spacing w:before="0" w:after="40"/>
              <w:ind w:hanging="0" w:start="43" w:end="43"/>
              <w:rPr/>
            </w:pPr>
            <w:r>
              <w:rPr>
                <w:sz w:val="19"/>
              </w:rPr>
              <w:t>Volver a capacitar al empleado</w:t>
            </w:r>
          </w:p>
        </w:tc>
        <w:tc>
          <w:tcPr>
            <w:tcW w:w="4680" w:type="dxa"/>
            <w:tcBorders/>
            <w:vAlign w:val="center"/>
          </w:tcPr>
          <w:p>
            <w:pPr>
              <w:pStyle w:val="TableContents"/>
              <w:suppressLineNumbers/>
              <w:bidi w:val="0"/>
              <w:spacing w:before="0" w:after="40"/>
              <w:ind w:hanging="0" w:start="43" w:end="43"/>
              <w:rPr/>
            </w:pPr>
            <w:r>
              <w:rPr>
                <w:sz w:val="19"/>
              </w:rPr>
              <w:t>Examine proceso poco claro, carga de trabajo, incentivos, interfaz, acceso, aprobación y seguimiento; corrija causas del sistema</w:t>
            </w:r>
          </w:p>
        </w:tc>
      </w:tr>
      <w:tr>
        <w:trPr>
          <w:cantSplit/>
        </w:trPr>
        <w:tc>
          <w:tcPr>
            <w:tcW w:w="4680" w:type="dxa"/>
            <w:tcBorders/>
            <w:vAlign w:val="center"/>
          </w:tcPr>
          <w:p>
            <w:pPr>
              <w:pStyle w:val="TableContents"/>
              <w:suppressLineNumbers/>
              <w:bidi w:val="0"/>
              <w:spacing w:before="0" w:after="40"/>
              <w:ind w:hanging="0" w:start="43" w:end="43"/>
              <w:rPr/>
            </w:pPr>
            <w:r>
              <w:rPr>
                <w:sz w:val="19"/>
              </w:rPr>
              <w:t>Actualizar la política</w:t>
            </w:r>
          </w:p>
        </w:tc>
        <w:tc>
          <w:tcPr>
            <w:tcW w:w="4680" w:type="dxa"/>
            <w:tcBorders/>
            <w:vAlign w:val="center"/>
          </w:tcPr>
          <w:p>
            <w:pPr>
              <w:pStyle w:val="TableContents"/>
              <w:suppressLineNumbers/>
              <w:bidi w:val="0"/>
              <w:spacing w:before="0" w:after="40"/>
              <w:ind w:hanging="0" w:start="43" w:end="43"/>
              <w:rPr/>
            </w:pPr>
            <w:r>
              <w:rPr>
                <w:sz w:val="19"/>
              </w:rPr>
              <w:t>Cambie flujo/control, comunique, capacite, pruebe la operación y siga la recurrencia</w:t>
            </w:r>
          </w:p>
        </w:tc>
      </w:tr>
      <w:tr>
        <w:trPr>
          <w:cantSplit/>
        </w:trPr>
        <w:tc>
          <w:tcPr>
            <w:tcW w:w="4680" w:type="dxa"/>
            <w:tcBorders/>
            <w:vAlign w:val="center"/>
          </w:tcPr>
          <w:p>
            <w:pPr>
              <w:pStyle w:val="TableContents"/>
              <w:suppressLineNumbers/>
              <w:bidi w:val="0"/>
              <w:spacing w:before="0" w:after="40"/>
              <w:ind w:hanging="0" w:start="43" w:end="43"/>
              <w:rPr/>
            </w:pPr>
            <w:r>
              <w:rPr>
                <w:sz w:val="19"/>
              </w:rPr>
              <w:t>El proveedor lo corregirá</w:t>
            </w:r>
          </w:p>
        </w:tc>
        <w:tc>
          <w:tcPr>
            <w:tcW w:w="4680" w:type="dxa"/>
            <w:tcBorders/>
            <w:vAlign w:val="center"/>
          </w:tcPr>
          <w:p>
            <w:pPr>
              <w:pStyle w:val="TableContents"/>
              <w:suppressLineNumbers/>
              <w:bidi w:val="0"/>
              <w:spacing w:before="0" w:after="40"/>
              <w:ind w:hanging="0" w:start="43" w:end="43"/>
              <w:rPr/>
            </w:pPr>
            <w:r>
              <w:rPr>
                <w:sz w:val="19"/>
              </w:rPr>
              <w:t>Siga contrato, mitigación, control del cliente, plazo, prueba, riesgo residual y alternativa/salida</w:t>
            </w:r>
          </w:p>
        </w:tc>
      </w:tr>
      <w:tr>
        <w:trPr>
          <w:cantSplit/>
        </w:trPr>
        <w:tc>
          <w:tcPr>
            <w:tcW w:w="4680" w:type="dxa"/>
            <w:tcBorders/>
            <w:vAlign w:val="center"/>
          </w:tcPr>
          <w:p>
            <w:pPr>
              <w:pStyle w:val="TableContents"/>
              <w:suppressLineNumbers/>
              <w:bidi w:val="0"/>
              <w:spacing w:before="0" w:after="40"/>
              <w:ind w:hanging="0" w:start="43" w:end="43"/>
              <w:rPr/>
            </w:pPr>
            <w:r>
              <w:rPr>
                <w:sz w:val="19"/>
              </w:rPr>
              <w:t>Hallazgo cerrado</w:t>
            </w:r>
          </w:p>
        </w:tc>
        <w:tc>
          <w:tcPr>
            <w:tcW w:w="4680" w:type="dxa"/>
            <w:tcBorders/>
            <w:vAlign w:val="center"/>
          </w:tcPr>
          <w:p>
            <w:pPr>
              <w:pStyle w:val="TableContents"/>
              <w:suppressLineNumbers/>
              <w:bidi w:val="0"/>
              <w:spacing w:before="0" w:after="40"/>
              <w:ind w:hanging="0" w:start="43" w:end="43"/>
              <w:rPr/>
            </w:pPr>
            <w:r>
              <w:rPr>
                <w:sz w:val="19"/>
              </w:rPr>
              <w:t>Evidencia de corrección más acción sobre causa raíz y revisión de eficacia en condiciones similares</w:t>
            </w:r>
          </w:p>
        </w:tc>
      </w:tr>
    </w:tbl>
    <w:p>
      <w:pPr>
        <w:pStyle w:val="Heading1"/>
        <w:tabs>
          <w:tab w:val="clear" w:pos="709"/>
          <w:tab w:val="left" w:pos="0" w:leader="none"/>
        </w:tabs>
        <w:bidi w:val="0"/>
        <w:ind w:hanging="0" w:start="0"/>
        <w:jc w:val="left"/>
        <w:rPr/>
        <w:keepNext/>
      </w:pPr>
      <w:bookmarkStart w:id="56" w:name="anexos-ad-y-la-declaración-de-aplicabili"/>
      <w:r>
        <w:rPr/>
        <w:t>20. Anexos A–D y la Declaración de Aplicabilidad</w:t>
      </w:r>
      <w:bookmarkEnd w:id="56"/>
    </w:p>
    <w:p>
      <w:pPr>
        <w:pStyle w:val="Firstparagraph"/>
        <w:bidi w:val="0"/>
        <w:rPr>
          <w:i/>
          <w:iCs/>
        </w:rPr>
      </w:pPr>
      <w:r>
        <w:rPr>
          <w:i/>
          <w:iCs/>
        </w:rPr>
        <w:t>El Anexo A es un conjunto de referencia de 38 controles en nueve grupos; el Anexo B ofrece orientación, el Anexo C proporciona ideas de objetivos de IA y fuentes de riesgo y el Anexo D apoya el uso por sectores y dominios.</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2160"/>
        <w:gridCol w:w="2160"/>
        <w:gridCol w:w="2880"/>
        <w:gridCol w:w="2160"/>
      </w:tblGrid>
      <w:tr>
        <w:trPr>
          <w:tblHeader w:val="true"/>
          <w:cantSplit/>
        </w:trPr>
        <w:tc>
          <w:tcPr>
            <w:tcW w:w="2160" w:type="dxa"/>
            <w:tcBorders/>
            <w:vAlign w:val="center"/>
            <w:shd w:fill="1F4E78"/>
          </w:tcPr>
          <w:p>
            <w:pPr>
              <w:pStyle w:val="TableHeading"/>
              <w:bidi w:val="0"/>
              <w:spacing w:before="0" w:after="40"/>
              <w:rPr>
                <w:b/>
                <w:bCs/>
              </w:rPr>
            </w:pPr>
            <w:r>
              <w:rPr>
                <w:b/>
                <w:bCs/>
                <w:sz w:val="19"/>
                <w:color w:val="FFFFFF"/>
              </w:rPr>
              <w:t>Grupo</w:t>
            </w:r>
          </w:p>
        </w:tc>
        <w:tc>
          <w:tcPr>
            <w:tcW w:w="2160" w:type="dxa"/>
            <w:tcBorders/>
            <w:vAlign w:val="center"/>
            <w:shd w:fill="1F4E78"/>
          </w:tcPr>
          <w:p>
            <w:pPr>
              <w:pStyle w:val="TableHeading"/>
              <w:bidi w:val="0"/>
              <w:spacing w:before="0" w:after="40"/>
              <w:rPr>
                <w:b/>
                <w:bCs/>
              </w:rPr>
            </w:pPr>
            <w:r>
              <w:rPr>
                <w:b/>
                <w:bCs/>
                <w:sz w:val="19"/>
                <w:color w:val="FFFFFF"/>
              </w:rPr>
              <w:t>Tema</w:t>
            </w:r>
          </w:p>
        </w:tc>
        <w:tc>
          <w:tcPr>
            <w:tcW w:w="2880" w:type="dxa"/>
            <w:tcBorders/>
            <w:vAlign w:val="center"/>
            <w:shd w:fill="1F4E78"/>
          </w:tcPr>
          <w:p>
            <w:pPr>
              <w:pStyle w:val="TableHeading"/>
              <w:bidi w:val="0"/>
              <w:spacing w:before="0" w:after="40"/>
              <w:jc w:val="end"/>
              <w:rPr>
                <w:b/>
                <w:bCs/>
              </w:rPr>
            </w:pPr>
            <w:r>
              <w:rPr>
                <w:b/>
                <w:bCs/>
                <w:sz w:val="19"/>
                <w:color w:val="FFFFFF"/>
              </w:rPr>
              <w:t>Controles</w:t>
            </w:r>
          </w:p>
        </w:tc>
        <w:tc>
          <w:tcPr>
            <w:tcW w:w="2160" w:type="dxa"/>
            <w:tcBorders/>
            <w:vAlign w:val="center"/>
            <w:shd w:fill="1F4E78"/>
          </w:tcPr>
          <w:p>
            <w:pPr>
              <w:pStyle w:val="TableHeading"/>
              <w:bidi w:val="0"/>
              <w:spacing w:before="0" w:after="40"/>
              <w:rPr>
                <w:b/>
                <w:bCs/>
              </w:rPr>
            </w:pPr>
            <w:r>
              <w:rPr>
                <w:b/>
                <w:bCs/>
                <w:sz w:val="19"/>
                <w:color w:val="FFFFFF"/>
              </w:rPr>
              <w:t>Enfoque de implementación</w:t>
            </w:r>
          </w:p>
        </w:tc>
      </w:tr>
      <w:tr>
        <w:trPr>
          <w:cantSplit/>
        </w:trPr>
        <w:tc>
          <w:tcPr>
            <w:tcW w:w="2160" w:type="dxa"/>
            <w:tcBorders/>
            <w:vAlign w:val="center"/>
          </w:tcPr>
          <w:p>
            <w:pPr>
              <w:pStyle w:val="TableContents"/>
              <w:suppressLineNumbers/>
              <w:bidi w:val="0"/>
              <w:spacing w:before="0" w:after="40"/>
              <w:ind w:hanging="0" w:start="43" w:end="43"/>
              <w:rPr/>
            </w:pPr>
            <w:r>
              <w:rPr>
                <w:sz w:val="19"/>
              </w:rPr>
              <w:t>A.2</w:t>
            </w:r>
          </w:p>
        </w:tc>
        <w:tc>
          <w:tcPr>
            <w:tcW w:w="2160" w:type="dxa"/>
            <w:tcBorders/>
            <w:vAlign w:val="center"/>
          </w:tcPr>
          <w:p>
            <w:pPr>
              <w:pStyle w:val="TableContents"/>
              <w:suppressLineNumbers/>
              <w:bidi w:val="0"/>
              <w:spacing w:before="0" w:after="40"/>
              <w:ind w:hanging="0" w:start="43" w:end="43"/>
              <w:rPr/>
            </w:pPr>
            <w:r>
              <w:rPr>
                <w:sz w:val="19"/>
              </w:rPr>
              <w:t>Políticas relacionadas con IA</w:t>
            </w:r>
          </w:p>
        </w:tc>
        <w:tc>
          <w:tcPr>
            <w:tcW w:w="2880" w:type="dxa"/>
            <w:tcBorders/>
            <w:vAlign w:val="center"/>
          </w:tcPr>
          <w:p>
            <w:pPr>
              <w:pStyle w:val="TableContents"/>
              <w:bidi w:val="0"/>
              <w:spacing w:before="0" w:after="40"/>
              <w:jc w:val="end"/>
              <w:rPr/>
            </w:pPr>
            <w:r>
              <w:rPr>
                <w:sz w:val="19"/>
              </w:rPr>
              <w:t>3</w:t>
            </w:r>
          </w:p>
        </w:tc>
        <w:tc>
          <w:tcPr>
            <w:tcW w:w="2160" w:type="dxa"/>
            <w:tcBorders/>
            <w:vAlign w:val="center"/>
          </w:tcPr>
          <w:p>
            <w:pPr>
              <w:pStyle w:val="TableContents"/>
              <w:suppressLineNumbers/>
              <w:bidi w:val="0"/>
              <w:spacing w:before="0" w:after="40"/>
              <w:ind w:hanging="0" w:start="43" w:end="43"/>
              <w:rPr/>
            </w:pPr>
            <w:r>
              <w:rPr>
                <w:sz w:val="19"/>
              </w:rPr>
              <w:t>Política, alineación con otras políticas y revisión planificada o impulsada por eventos</w:t>
            </w:r>
          </w:p>
        </w:tc>
      </w:tr>
      <w:tr>
        <w:trPr>
          <w:cantSplit/>
        </w:trPr>
        <w:tc>
          <w:tcPr>
            <w:tcW w:w="2160" w:type="dxa"/>
            <w:tcBorders/>
            <w:vAlign w:val="center"/>
          </w:tcPr>
          <w:p>
            <w:pPr>
              <w:pStyle w:val="TableContents"/>
              <w:suppressLineNumbers/>
              <w:bidi w:val="0"/>
              <w:spacing w:before="0" w:after="40"/>
              <w:ind w:hanging="0" w:start="43" w:end="43"/>
              <w:rPr/>
            </w:pPr>
            <w:r>
              <w:rPr>
                <w:sz w:val="19"/>
              </w:rPr>
              <w:t>A.3</w:t>
            </w:r>
          </w:p>
        </w:tc>
        <w:tc>
          <w:tcPr>
            <w:tcW w:w="2160" w:type="dxa"/>
            <w:tcBorders/>
            <w:vAlign w:val="center"/>
          </w:tcPr>
          <w:p>
            <w:pPr>
              <w:pStyle w:val="TableContents"/>
              <w:suppressLineNumbers/>
              <w:bidi w:val="0"/>
              <w:spacing w:before="0" w:after="40"/>
              <w:ind w:hanging="0" w:start="43" w:end="43"/>
              <w:rPr/>
            </w:pPr>
            <w:r>
              <w:rPr>
                <w:sz w:val="19"/>
              </w:rPr>
              <w:t>Organización interna</w:t>
            </w:r>
          </w:p>
        </w:tc>
        <w:tc>
          <w:tcPr>
            <w:tcW w:w="2880" w:type="dxa"/>
            <w:tcBorders/>
            <w:vAlign w:val="center"/>
          </w:tcPr>
          <w:p>
            <w:pPr>
              <w:pStyle w:val="TableContents"/>
              <w:bidi w:val="0"/>
              <w:spacing w:before="0" w:after="40"/>
              <w:jc w:val="end"/>
              <w:rPr/>
            </w:pPr>
            <w:r>
              <w:rPr>
                <w:sz w:val="19"/>
              </w:rPr>
              <w:t>2</w:t>
            </w:r>
          </w:p>
        </w:tc>
        <w:tc>
          <w:tcPr>
            <w:tcW w:w="2160" w:type="dxa"/>
            <w:tcBorders/>
            <w:vAlign w:val="center"/>
          </w:tcPr>
          <w:p>
            <w:pPr>
              <w:pStyle w:val="TableContents"/>
              <w:suppressLineNumbers/>
              <w:bidi w:val="0"/>
              <w:spacing w:before="0" w:after="40"/>
              <w:ind w:hanging="0" w:start="43" w:end="43"/>
              <w:rPr/>
            </w:pPr>
            <w:r>
              <w:rPr>
                <w:sz w:val="19"/>
              </w:rPr>
              <w:t>Funciones y responsabilidades de IA más un proceso protegido para reportar preocupaciones</w:t>
            </w:r>
          </w:p>
        </w:tc>
      </w:tr>
      <w:tr>
        <w:trPr>
          <w:cantSplit/>
        </w:trPr>
        <w:tc>
          <w:tcPr>
            <w:tcW w:w="2160" w:type="dxa"/>
            <w:tcBorders/>
            <w:vAlign w:val="center"/>
          </w:tcPr>
          <w:p>
            <w:pPr>
              <w:pStyle w:val="TableContents"/>
              <w:suppressLineNumbers/>
              <w:bidi w:val="0"/>
              <w:spacing w:before="0" w:after="40"/>
              <w:ind w:hanging="0" w:start="43" w:end="43"/>
              <w:rPr/>
            </w:pPr>
            <w:r>
              <w:rPr>
                <w:sz w:val="19"/>
              </w:rPr>
              <w:t>A.4</w:t>
            </w:r>
          </w:p>
        </w:tc>
        <w:tc>
          <w:tcPr>
            <w:tcW w:w="2160" w:type="dxa"/>
            <w:tcBorders/>
            <w:vAlign w:val="center"/>
          </w:tcPr>
          <w:p>
            <w:pPr>
              <w:pStyle w:val="TableContents"/>
              <w:suppressLineNumbers/>
              <w:bidi w:val="0"/>
              <w:spacing w:before="0" w:after="40"/>
              <w:ind w:hanging="0" w:start="43" w:end="43"/>
              <w:rPr/>
            </w:pPr>
            <w:r>
              <w:rPr>
                <w:sz w:val="19"/>
              </w:rPr>
              <w:t>Recursos para sistemas de IA</w:t>
            </w:r>
          </w:p>
        </w:tc>
        <w:tc>
          <w:tcPr>
            <w:tcW w:w="2880" w:type="dxa"/>
            <w:tcBorders/>
            <w:vAlign w:val="center"/>
          </w:tcPr>
          <w:p>
            <w:pPr>
              <w:pStyle w:val="TableContents"/>
              <w:bidi w:val="0"/>
              <w:spacing w:before="0" w:after="40"/>
              <w:jc w:val="end"/>
              <w:rPr/>
            </w:pPr>
            <w:r>
              <w:rPr>
                <w:sz w:val="19"/>
              </w:rPr>
              <w:t>5</w:t>
            </w:r>
          </w:p>
        </w:tc>
        <w:tc>
          <w:tcPr>
            <w:tcW w:w="2160" w:type="dxa"/>
            <w:tcBorders/>
            <w:vAlign w:val="center"/>
          </w:tcPr>
          <w:p>
            <w:pPr>
              <w:pStyle w:val="TableContents"/>
              <w:suppressLineNumbers/>
              <w:bidi w:val="0"/>
              <w:spacing w:before="0" w:after="40"/>
              <w:ind w:hanging="0" w:start="43" w:end="43"/>
              <w:rPr/>
            </w:pPr>
            <w:r>
              <w:rPr>
                <w:sz w:val="19"/>
              </w:rPr>
              <w:t>Documentar datos, herramientas, sistema/cómputo y recursos humanos durante el ciclo de vida</w:t>
            </w:r>
          </w:p>
        </w:tc>
      </w:tr>
      <w:tr>
        <w:trPr>
          <w:cantSplit/>
        </w:trPr>
        <w:tc>
          <w:tcPr>
            <w:tcW w:w="2160" w:type="dxa"/>
            <w:tcBorders/>
            <w:vAlign w:val="center"/>
          </w:tcPr>
          <w:p>
            <w:pPr>
              <w:pStyle w:val="TableContents"/>
              <w:suppressLineNumbers/>
              <w:bidi w:val="0"/>
              <w:spacing w:before="0" w:after="40"/>
              <w:ind w:hanging="0" w:start="43" w:end="43"/>
              <w:rPr/>
            </w:pPr>
            <w:r>
              <w:rPr>
                <w:sz w:val="19"/>
              </w:rPr>
              <w:t>A.5</w:t>
            </w:r>
          </w:p>
        </w:tc>
        <w:tc>
          <w:tcPr>
            <w:tcW w:w="2160" w:type="dxa"/>
            <w:tcBorders/>
            <w:vAlign w:val="center"/>
          </w:tcPr>
          <w:p>
            <w:pPr>
              <w:pStyle w:val="TableContents"/>
              <w:suppressLineNumbers/>
              <w:bidi w:val="0"/>
              <w:spacing w:before="0" w:after="40"/>
              <w:ind w:hanging="0" w:start="43" w:end="43"/>
              <w:rPr/>
            </w:pPr>
            <w:r>
              <w:rPr>
                <w:sz w:val="19"/>
              </w:rPr>
              <w:t>Evaluación de impactos de sistemas de IA</w:t>
            </w:r>
          </w:p>
        </w:tc>
        <w:tc>
          <w:tcPr>
            <w:tcW w:w="2880" w:type="dxa"/>
            <w:tcBorders/>
            <w:vAlign w:val="center"/>
          </w:tcPr>
          <w:p>
            <w:pPr>
              <w:pStyle w:val="TableContents"/>
              <w:bidi w:val="0"/>
              <w:spacing w:before="0" w:after="40"/>
              <w:jc w:val="end"/>
              <w:rPr/>
            </w:pPr>
            <w:r>
              <w:rPr>
                <w:sz w:val="19"/>
              </w:rPr>
              <w:t>4</w:t>
            </w:r>
          </w:p>
        </w:tc>
        <w:tc>
          <w:tcPr>
            <w:tcW w:w="2160" w:type="dxa"/>
            <w:tcBorders/>
            <w:vAlign w:val="center"/>
          </w:tcPr>
          <w:p>
            <w:pPr>
              <w:pStyle w:val="TableContents"/>
              <w:suppressLineNumbers/>
              <w:bidi w:val="0"/>
              <w:spacing w:before="0" w:after="40"/>
              <w:ind w:hanging="0" w:start="43" w:end="43"/>
              <w:rPr/>
            </w:pPr>
            <w:r>
              <w:rPr>
                <w:sz w:val="19"/>
              </w:rPr>
              <w:t>Proceso repetible, registros, impactos sobre personas/grupos e impactos sociales</w:t>
            </w:r>
          </w:p>
        </w:tc>
      </w:tr>
      <w:tr>
        <w:trPr>
          <w:cantSplit/>
        </w:trPr>
        <w:tc>
          <w:tcPr>
            <w:tcW w:w="2160" w:type="dxa"/>
            <w:tcBorders/>
            <w:vAlign w:val="center"/>
          </w:tcPr>
          <w:p>
            <w:pPr>
              <w:pStyle w:val="TableContents"/>
              <w:suppressLineNumbers/>
              <w:bidi w:val="0"/>
              <w:spacing w:before="0" w:after="40"/>
              <w:ind w:hanging="0" w:start="43" w:end="43"/>
              <w:rPr/>
            </w:pPr>
            <w:r>
              <w:rPr>
                <w:sz w:val="19"/>
              </w:rPr>
              <w:t>A.6</w:t>
            </w:r>
          </w:p>
        </w:tc>
        <w:tc>
          <w:tcPr>
            <w:tcW w:w="2160" w:type="dxa"/>
            <w:tcBorders/>
            <w:vAlign w:val="center"/>
          </w:tcPr>
          <w:p>
            <w:pPr>
              <w:pStyle w:val="TableContents"/>
              <w:suppressLineNumbers/>
              <w:bidi w:val="0"/>
              <w:spacing w:before="0" w:after="40"/>
              <w:ind w:hanging="0" w:start="43" w:end="43"/>
              <w:rPr/>
            </w:pPr>
            <w:r>
              <w:rPr>
                <w:sz w:val="19"/>
              </w:rPr>
              <w:t>Ciclo de vida del sistema de IA</w:t>
            </w:r>
          </w:p>
        </w:tc>
        <w:tc>
          <w:tcPr>
            <w:tcW w:w="2880" w:type="dxa"/>
            <w:tcBorders/>
            <w:vAlign w:val="center"/>
          </w:tcPr>
          <w:p>
            <w:pPr>
              <w:pStyle w:val="TableContents"/>
              <w:bidi w:val="0"/>
              <w:spacing w:before="0" w:after="40"/>
              <w:jc w:val="end"/>
              <w:rPr/>
            </w:pPr>
            <w:r>
              <w:rPr>
                <w:sz w:val="19"/>
              </w:rPr>
              <w:t>9</w:t>
            </w:r>
          </w:p>
        </w:tc>
        <w:tc>
          <w:tcPr>
            <w:tcW w:w="2160" w:type="dxa"/>
            <w:tcBorders/>
            <w:vAlign w:val="center"/>
          </w:tcPr>
          <w:p>
            <w:pPr>
              <w:pStyle w:val="TableContents"/>
              <w:suppressLineNumbers/>
              <w:bidi w:val="0"/>
              <w:spacing w:before="0" w:after="40"/>
              <w:ind w:hanging="0" w:start="43" w:end="43"/>
              <w:rPr/>
            </w:pPr>
            <w:r>
              <w:rPr>
                <w:sz w:val="19"/>
              </w:rPr>
              <w:t>Objetivos y procesos de desarrollo responsable, requisitos, registros de diseño, V&amp;V, despliegue, operación, documentación técnica y logs</w:t>
            </w:r>
          </w:p>
        </w:tc>
      </w:tr>
      <w:tr>
        <w:trPr>
          <w:cantSplit/>
        </w:trPr>
        <w:tc>
          <w:tcPr>
            <w:tcW w:w="2160" w:type="dxa"/>
            <w:tcBorders/>
            <w:vAlign w:val="center"/>
          </w:tcPr>
          <w:p>
            <w:pPr>
              <w:pStyle w:val="TableContents"/>
              <w:suppressLineNumbers/>
              <w:bidi w:val="0"/>
              <w:spacing w:before="0" w:after="40"/>
              <w:ind w:hanging="0" w:start="43" w:end="43"/>
              <w:rPr/>
            </w:pPr>
            <w:r>
              <w:rPr>
                <w:sz w:val="19"/>
              </w:rPr>
              <w:t>A.7</w:t>
            </w:r>
          </w:p>
        </w:tc>
        <w:tc>
          <w:tcPr>
            <w:tcW w:w="2160" w:type="dxa"/>
            <w:tcBorders/>
            <w:vAlign w:val="center"/>
          </w:tcPr>
          <w:p>
            <w:pPr>
              <w:pStyle w:val="TableContents"/>
              <w:suppressLineNumbers/>
              <w:bidi w:val="0"/>
              <w:spacing w:before="0" w:after="40"/>
              <w:ind w:hanging="0" w:start="43" w:end="43"/>
              <w:rPr/>
            </w:pPr>
            <w:r>
              <w:rPr>
                <w:sz w:val="19"/>
              </w:rPr>
              <w:t>Datos para sistemas de IA</w:t>
            </w:r>
          </w:p>
        </w:tc>
        <w:tc>
          <w:tcPr>
            <w:tcW w:w="2880" w:type="dxa"/>
            <w:tcBorders/>
            <w:vAlign w:val="center"/>
          </w:tcPr>
          <w:p>
            <w:pPr>
              <w:pStyle w:val="TableContents"/>
              <w:bidi w:val="0"/>
              <w:spacing w:before="0" w:after="40"/>
              <w:jc w:val="end"/>
              <w:rPr/>
            </w:pPr>
            <w:r>
              <w:rPr>
                <w:sz w:val="19"/>
              </w:rPr>
              <w:t>5</w:t>
            </w:r>
          </w:p>
        </w:tc>
        <w:tc>
          <w:tcPr>
            <w:tcW w:w="2160" w:type="dxa"/>
            <w:tcBorders/>
            <w:vAlign w:val="center"/>
          </w:tcPr>
          <w:p>
            <w:pPr>
              <w:pStyle w:val="TableContents"/>
              <w:suppressLineNumbers/>
              <w:bidi w:val="0"/>
              <w:spacing w:before="0" w:after="40"/>
              <w:ind w:hanging="0" w:start="43" w:end="43"/>
              <w:rPr/>
            </w:pPr>
            <w:r>
              <w:rPr>
                <w:sz w:val="19"/>
              </w:rPr>
              <w:t>Gestión, adquisición, calidad, procedencia y preparación de datos</w:t>
            </w:r>
          </w:p>
        </w:tc>
      </w:tr>
      <w:tr>
        <w:trPr>
          <w:cantSplit/>
        </w:trPr>
        <w:tc>
          <w:tcPr>
            <w:tcW w:w="2160" w:type="dxa"/>
            <w:tcBorders/>
            <w:vAlign w:val="center"/>
          </w:tcPr>
          <w:p>
            <w:pPr>
              <w:pStyle w:val="TableContents"/>
              <w:suppressLineNumbers/>
              <w:bidi w:val="0"/>
              <w:spacing w:before="0" w:after="40"/>
              <w:ind w:hanging="0" w:start="43" w:end="43"/>
              <w:rPr/>
            </w:pPr>
            <w:r>
              <w:rPr>
                <w:sz w:val="19"/>
              </w:rPr>
              <w:t>A.8</w:t>
            </w:r>
          </w:p>
        </w:tc>
        <w:tc>
          <w:tcPr>
            <w:tcW w:w="2160" w:type="dxa"/>
            <w:tcBorders/>
            <w:vAlign w:val="center"/>
          </w:tcPr>
          <w:p>
            <w:pPr>
              <w:pStyle w:val="TableContents"/>
              <w:suppressLineNumbers/>
              <w:bidi w:val="0"/>
              <w:spacing w:before="0" w:after="40"/>
              <w:ind w:hanging="0" w:start="43" w:end="43"/>
              <w:rPr/>
            </w:pPr>
            <w:r>
              <w:rPr>
                <w:sz w:val="19"/>
              </w:rPr>
              <w:t>Información para partes interesadas</w:t>
            </w:r>
          </w:p>
        </w:tc>
        <w:tc>
          <w:tcPr>
            <w:tcW w:w="2880" w:type="dxa"/>
            <w:tcBorders/>
            <w:vAlign w:val="center"/>
          </w:tcPr>
          <w:p>
            <w:pPr>
              <w:pStyle w:val="TableContents"/>
              <w:bidi w:val="0"/>
              <w:spacing w:before="0" w:after="40"/>
              <w:jc w:val="end"/>
              <w:rPr/>
            </w:pPr>
            <w:r>
              <w:rPr>
                <w:sz w:val="19"/>
              </w:rPr>
              <w:t>4</w:t>
            </w:r>
          </w:p>
        </w:tc>
        <w:tc>
          <w:tcPr>
            <w:tcW w:w="2160" w:type="dxa"/>
            <w:tcBorders/>
            <w:vAlign w:val="center"/>
          </w:tcPr>
          <w:p>
            <w:pPr>
              <w:pStyle w:val="TableContents"/>
              <w:suppressLineNumbers/>
              <w:bidi w:val="0"/>
              <w:spacing w:before="0" w:after="40"/>
              <w:ind w:hanging="0" w:start="43" w:end="43"/>
              <w:rPr/>
            </w:pPr>
            <w:r>
              <w:rPr>
                <w:sz w:val="19"/>
              </w:rPr>
              <w:t>Información al usuario, reporte externo, comunicación de incidentes y otra información a partes interesadas</w:t>
            </w:r>
          </w:p>
        </w:tc>
      </w:tr>
      <w:tr>
        <w:trPr>
          <w:cantSplit/>
        </w:trPr>
        <w:tc>
          <w:tcPr>
            <w:tcW w:w="2160" w:type="dxa"/>
            <w:tcBorders/>
            <w:vAlign w:val="center"/>
          </w:tcPr>
          <w:p>
            <w:pPr>
              <w:pStyle w:val="TableContents"/>
              <w:suppressLineNumbers/>
              <w:bidi w:val="0"/>
              <w:spacing w:before="0" w:after="40"/>
              <w:ind w:hanging="0" w:start="43" w:end="43"/>
              <w:rPr/>
            </w:pPr>
            <w:r>
              <w:rPr>
                <w:sz w:val="19"/>
              </w:rPr>
              <w:t>A.9</w:t>
            </w:r>
          </w:p>
        </w:tc>
        <w:tc>
          <w:tcPr>
            <w:tcW w:w="2160" w:type="dxa"/>
            <w:tcBorders/>
            <w:vAlign w:val="center"/>
          </w:tcPr>
          <w:p>
            <w:pPr>
              <w:pStyle w:val="TableContents"/>
              <w:suppressLineNumbers/>
              <w:bidi w:val="0"/>
              <w:spacing w:before="0" w:after="40"/>
              <w:ind w:hanging="0" w:start="43" w:end="43"/>
              <w:rPr/>
            </w:pPr>
            <w:r>
              <w:rPr>
                <w:sz w:val="19"/>
              </w:rPr>
              <w:t>Uso de sistemas de IA</w:t>
            </w:r>
          </w:p>
        </w:tc>
        <w:tc>
          <w:tcPr>
            <w:tcW w:w="2880" w:type="dxa"/>
            <w:tcBorders/>
            <w:vAlign w:val="center"/>
          </w:tcPr>
          <w:p>
            <w:pPr>
              <w:pStyle w:val="TableContents"/>
              <w:bidi w:val="0"/>
              <w:spacing w:before="0" w:after="40"/>
              <w:jc w:val="end"/>
              <w:rPr/>
            </w:pPr>
            <w:r>
              <w:rPr>
                <w:sz w:val="19"/>
              </w:rPr>
              <w:t>3</w:t>
            </w:r>
          </w:p>
        </w:tc>
        <w:tc>
          <w:tcPr>
            <w:tcW w:w="2160" w:type="dxa"/>
            <w:tcBorders/>
            <w:vAlign w:val="center"/>
          </w:tcPr>
          <w:p>
            <w:pPr>
              <w:pStyle w:val="TableContents"/>
              <w:suppressLineNumbers/>
              <w:bidi w:val="0"/>
              <w:spacing w:before="0" w:after="40"/>
              <w:ind w:hanging="0" w:start="43" w:end="43"/>
              <w:rPr/>
            </w:pPr>
            <w:r>
              <w:rPr>
                <w:sz w:val="19"/>
              </w:rPr>
              <w:t>Proceso y objetivos de uso responsable más adhesión al uso previsto</w:t>
            </w:r>
          </w:p>
        </w:tc>
      </w:tr>
      <w:tr>
        <w:trPr>
          <w:cantSplit/>
        </w:trPr>
        <w:tc>
          <w:tcPr>
            <w:tcW w:w="2160" w:type="dxa"/>
            <w:tcBorders/>
            <w:vAlign w:val="center"/>
          </w:tcPr>
          <w:p>
            <w:pPr>
              <w:pStyle w:val="TableContents"/>
              <w:suppressLineNumbers/>
              <w:bidi w:val="0"/>
              <w:spacing w:before="0" w:after="40"/>
              <w:ind w:hanging="0" w:start="43" w:end="43"/>
              <w:rPr/>
            </w:pPr>
            <w:r>
              <w:rPr>
                <w:sz w:val="19"/>
              </w:rPr>
              <w:t>A.10</w:t>
            </w:r>
          </w:p>
        </w:tc>
        <w:tc>
          <w:tcPr>
            <w:tcW w:w="2160" w:type="dxa"/>
            <w:tcBorders/>
            <w:vAlign w:val="center"/>
          </w:tcPr>
          <w:p>
            <w:pPr>
              <w:pStyle w:val="TableContents"/>
              <w:suppressLineNumbers/>
              <w:bidi w:val="0"/>
              <w:spacing w:before="0" w:after="40"/>
              <w:ind w:hanging="0" w:start="43" w:end="43"/>
              <w:rPr/>
            </w:pPr>
            <w:r>
              <w:rPr>
                <w:sz w:val="19"/>
              </w:rPr>
              <w:t>Relaciones con terceros y clientes</w:t>
            </w:r>
          </w:p>
        </w:tc>
        <w:tc>
          <w:tcPr>
            <w:tcW w:w="2880" w:type="dxa"/>
            <w:tcBorders/>
            <w:vAlign w:val="center"/>
          </w:tcPr>
          <w:p>
            <w:pPr>
              <w:pStyle w:val="TableContents"/>
              <w:bidi w:val="0"/>
              <w:spacing w:before="0" w:after="40"/>
              <w:jc w:val="end"/>
              <w:rPr/>
            </w:pPr>
            <w:r>
              <w:rPr>
                <w:sz w:val="19"/>
              </w:rPr>
              <w:t>3</w:t>
            </w:r>
          </w:p>
        </w:tc>
        <w:tc>
          <w:tcPr>
            <w:tcW w:w="2160" w:type="dxa"/>
            <w:tcBorders/>
            <w:vAlign w:val="center"/>
          </w:tcPr>
          <w:p>
            <w:pPr>
              <w:pStyle w:val="TableContents"/>
              <w:suppressLineNumbers/>
              <w:bidi w:val="0"/>
              <w:spacing w:before="0" w:after="40"/>
              <w:ind w:hanging="0" w:start="43" w:end="43"/>
              <w:rPr/>
            </w:pPr>
            <w:r>
              <w:rPr>
                <w:sz w:val="19"/>
              </w:rPr>
              <w:t>Asignación de responsabilidades, gobierno de proveedores y obligaciones de clientes</w:t>
            </w:r>
          </w:p>
        </w:tc>
      </w:tr>
    </w:tbl>
    <w:p>
      <w:pPr>
        <w:pStyle w:val="Heading2"/>
        <w:tabs>
          <w:tab w:val="clear" w:pos="709"/>
          <w:tab w:val="left" w:pos="0" w:leader="none"/>
        </w:tabs>
        <w:bidi w:val="0"/>
        <w:ind w:hanging="0" w:start="0"/>
        <w:jc w:val="left"/>
        <w:rPr/>
        <w:keepNext/>
      </w:pPr>
      <w:bookmarkStart w:id="57" w:name="cómo-funcionan-los-anexos"/>
      <w:r>
        <w:rPr/>
        <w:t>20.1 Cómo funcionan los anexos</w:t>
      </w:r>
      <w:bookmarkEnd w:id="57"/>
    </w:p>
    <w:p>
      <w:pPr>
        <w:pStyle w:val="BodyText"/>
        <w:numPr>
          <w:ilvl w:val="0"/>
          <w:numId w:val="31"/>
        </w:numPr>
        <w:bidi w:val="0"/>
        <w:spacing w:before="0" w:after="0"/>
        <w:rPr/>
      </w:pPr>
      <w:r>
        <w:rPr/>
        <w:t>Las cláusulas 4–10 contienen los requisitos certificables del sistema de gestión.</w:t>
      </w:r>
    </w:p>
    <w:p>
      <w:pPr>
        <w:pStyle w:val="BodyText"/>
        <w:numPr>
          <w:ilvl w:val="0"/>
          <w:numId w:val="31"/>
        </w:numPr>
        <w:bidi w:val="0"/>
        <w:spacing w:before="0" w:after="0"/>
        <w:rPr/>
      </w:pPr>
      <w:r>
        <w:rPr/>
        <w:t>El Anexo A proporciona objetivos de control y controles de referencia que deben considerarse durante el tratamiento del riesgo; no es una lista universal.</w:t>
      </w:r>
    </w:p>
    <w:p>
      <w:pPr>
        <w:pStyle w:val="BodyText"/>
        <w:numPr>
          <w:ilvl w:val="0"/>
          <w:numId w:val="31"/>
        </w:numPr>
        <w:bidi w:val="0"/>
        <w:spacing w:before="0" w:after="0"/>
        <w:rPr/>
      </w:pPr>
      <w:r>
        <w:rPr/>
        <w:t>El Anexo B proporciona orientación de implementación para los controles del Anexo A sin añadir requisitos.</w:t>
      </w:r>
    </w:p>
    <w:p>
      <w:pPr>
        <w:pStyle w:val="BodyText"/>
        <w:numPr>
          <w:ilvl w:val="0"/>
          <w:numId w:val="31"/>
        </w:numPr>
        <w:bidi w:val="0"/>
        <w:spacing w:before="0" w:after="0"/>
        <w:rPr/>
      </w:pPr>
      <w:r>
        <w:rPr/>
        <w:t>El Anexo C ofrece ejemplos de objetivos de IA y fuentes de riesgo que pueden apoyar la planificación y evaluación.</w:t>
      </w:r>
    </w:p>
    <w:p>
      <w:pPr>
        <w:pStyle w:val="BodyText"/>
        <w:numPr>
          <w:ilvl w:val="0"/>
          <w:numId w:val="31"/>
        </w:numPr>
        <w:bidi w:val="0"/>
        <w:spacing w:before="0" w:after="0"/>
        <w:rPr/>
      </w:pPr>
      <w:r>
        <w:rPr/>
        <w:t>El Anexo D explica cómo puede utilizarse el SGIA en distintos dominios y sectores.</w:t>
      </w:r>
    </w:p>
    <w:p>
      <w:pPr>
        <w:pStyle w:val="BodyText"/>
        <w:numPr>
          <w:ilvl w:val="0"/>
          <w:numId w:val="31"/>
        </w:numPr>
        <w:bidi w:val="0"/>
        <w:spacing w:before="0" w:after="0"/>
        <w:rPr/>
      </w:pPr>
      <w:r>
        <w:rPr/>
        <w:t>La organización puede seleccionar controles adicionales; la Declaración de Aplicabilidad explica su aplicabilidad e implementación.</w:t>
      </w:r>
    </w:p>
    <w:p>
      <w:pPr>
        <w:pStyle w:val="Heading1"/>
        <w:tabs>
          <w:tab w:val="clear" w:pos="709"/>
          <w:tab w:val="left" w:pos="0" w:leader="none"/>
        </w:tabs>
        <w:bidi w:val="0"/>
        <w:ind w:hanging="0" w:start="0"/>
        <w:jc w:val="left"/>
        <w:rPr/>
        <w:keepNext/>
      </w:pPr>
      <w:bookmarkStart w:id="58" w:name="anexo-a.2-políticas-relacionadas-con-ia"/>
      <w:r>
        <w:rPr/>
        <w:t>21. Anexo A.2: Políticas relacionadas con IA</w:t>
      </w:r>
      <w:bookmarkEnd w:id="58"/>
    </w:p>
    <w:p>
      <w:pPr>
        <w:pStyle w:val="Firstparagraph"/>
        <w:bidi w:val="0"/>
        <w:rPr>
          <w:i/>
          <w:iCs/>
        </w:rPr>
      </w:pPr>
      <w:r>
        <w:rPr>
          <w:i/>
          <w:iCs/>
        </w:rPr>
        <w:t>El Anexo A.2 establece un marco coherente de políticas de IA alineado, aprobado, comunicado y revisado.</w:t>
      </w:r>
    </w:p>
    <w:p>
      <w:pPr>
        <w:pStyle w:val="Heading2"/>
        <w:tabs>
          <w:tab w:val="clear" w:pos="709"/>
          <w:tab w:val="left" w:pos="0" w:leader="none"/>
        </w:tabs>
        <w:bidi w:val="0"/>
        <w:ind w:hanging="0" w:start="0"/>
        <w:jc w:val="left"/>
        <w:rPr/>
        <w:keepNext/>
      </w:pPr>
      <w:bookmarkStart w:id="59" w:name="implementación-del-control"/>
      <w:r>
        <w:rPr/>
        <w:t>21.1 Implementación del control</w:t>
      </w:r>
      <w:bookmarkEnd w:id="59"/>
    </w:p>
    <w:p>
      <w:pPr>
        <w:pStyle w:val="BodyText"/>
        <w:numPr>
          <w:ilvl w:val="0"/>
          <w:numId w:val="32"/>
        </w:numPr>
        <w:bidi w:val="0"/>
        <w:spacing w:before="0" w:after="0"/>
        <w:rPr/>
      </w:pPr>
      <w:r>
        <w:rPr/>
        <w:t>Cree una política de IA adecuada a las funciones, propósito, contexto, riesgo, impacto y compromisos de IA responsable de la organización.</w:t>
      </w:r>
    </w:p>
    <w:p>
      <w:pPr>
        <w:pStyle w:val="BodyText"/>
        <w:numPr>
          <w:ilvl w:val="0"/>
          <w:numId w:val="32"/>
        </w:numPr>
        <w:bidi w:val="0"/>
        <w:spacing w:before="0" w:after="0"/>
        <w:rPr/>
      </w:pPr>
      <w:r>
        <w:rPr/>
        <w:t>Alinéela con políticas de seguridad, privacidad, datos, calidad, producto, RR. HH., compras, legal, registros, seguridad funcional, accesibilidad, incidentes y comunicación.</w:t>
      </w:r>
    </w:p>
    <w:p>
      <w:pPr>
        <w:pStyle w:val="BodyText"/>
        <w:numPr>
          <w:ilvl w:val="0"/>
          <w:numId w:val="32"/>
        </w:numPr>
        <w:bidi w:val="0"/>
        <w:spacing w:before="0" w:after="0"/>
        <w:rPr/>
      </w:pPr>
      <w:r>
        <w:rPr/>
        <w:t>Resuelva contradicciones, por ejemplo un objetivo de innovación que fomente herramientas no aprobadas o una política de retención que entre en conflicto con la trazabilidad.</w:t>
      </w:r>
    </w:p>
    <w:p>
      <w:pPr>
        <w:pStyle w:val="BodyText"/>
        <w:numPr>
          <w:ilvl w:val="0"/>
          <w:numId w:val="32"/>
        </w:numPr>
        <w:bidi w:val="0"/>
        <w:spacing w:before="0" w:after="0"/>
        <w:rPr/>
      </w:pPr>
      <w:r>
        <w:rPr/>
        <w:t>Apruebe al nivel directivo apropiado; comunique a personas y partes pertinentes; conecte con objetivos, procedimientos, controles, formación y aplicación.</w:t>
      </w:r>
    </w:p>
    <w:p>
      <w:pPr>
        <w:pStyle w:val="BodyText"/>
        <w:numPr>
          <w:ilvl w:val="0"/>
          <w:numId w:val="32"/>
        </w:numPr>
        <w:bidi w:val="0"/>
        <w:spacing w:before="0" w:after="0"/>
        <w:rPr/>
      </w:pPr>
      <w:r>
        <w:rPr/>
        <w:t>Revise según calendario y después de cambios en leyes, tecnología, negocio, alcance, incidentes, auditorías, quejas, proveedores o sistemas materiales.</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Evidencia</w:t>
            </w:r>
          </w:p>
        </w:tc>
        <w:tc>
          <w:tcPr>
            <w:tcW w:w="4680" w:type="dxa"/>
            <w:tcBorders/>
            <w:vAlign w:val="center"/>
            <w:shd w:fill="1F4E78"/>
          </w:tcPr>
          <w:p>
            <w:pPr>
              <w:pStyle w:val="TableHeading"/>
              <w:bidi w:val="0"/>
              <w:spacing w:before="0" w:after="40"/>
              <w:rPr>
                <w:b/>
                <w:bCs/>
              </w:rPr>
            </w:pPr>
            <w:r>
              <w:rPr>
                <w:b/>
                <w:bCs/>
                <w:sz w:val="19"/>
                <w:color w:val="FFFFFF"/>
              </w:rPr>
              <w:t>Prueba</w:t>
            </w:r>
          </w:p>
        </w:tc>
      </w:tr>
      <w:tr>
        <w:trPr>
          <w:cantSplit/>
        </w:trPr>
        <w:tc>
          <w:tcPr>
            <w:tcW w:w="4680" w:type="dxa"/>
            <w:tcBorders/>
            <w:vAlign w:val="center"/>
          </w:tcPr>
          <w:p>
            <w:pPr>
              <w:pStyle w:val="TableContents"/>
              <w:suppressLineNumbers/>
              <w:bidi w:val="0"/>
              <w:spacing w:before="0" w:after="40"/>
              <w:ind w:hanging="0" w:start="43" w:end="43"/>
              <w:rPr/>
            </w:pPr>
            <w:r>
              <w:rPr>
                <w:sz w:val="19"/>
              </w:rPr>
              <w:t>Política de IA aprobada</w:t>
            </w:r>
          </w:p>
        </w:tc>
        <w:tc>
          <w:tcPr>
            <w:tcW w:w="4680" w:type="dxa"/>
            <w:tcBorders/>
            <w:vAlign w:val="center"/>
          </w:tcPr>
          <w:p>
            <w:pPr>
              <w:pStyle w:val="TableContents"/>
              <w:suppressLineNumbers/>
              <w:bidi w:val="0"/>
              <w:spacing w:before="0" w:after="40"/>
              <w:ind w:hanging="0" w:start="43" w:end="43"/>
              <w:rPr/>
            </w:pPr>
            <w:r>
              <w:rPr>
                <w:sz w:val="19"/>
              </w:rPr>
              <w:t>Verificar alcance, compromisos, autoridad, fecha de vigencia, disponibilidad y propietario</w:t>
            </w:r>
          </w:p>
        </w:tc>
      </w:tr>
      <w:tr>
        <w:trPr>
          <w:cantSplit/>
        </w:trPr>
        <w:tc>
          <w:tcPr>
            <w:tcW w:w="4680" w:type="dxa"/>
            <w:tcBorders/>
            <w:vAlign w:val="center"/>
          </w:tcPr>
          <w:p>
            <w:pPr>
              <w:pStyle w:val="TableContents"/>
              <w:suppressLineNumbers/>
              <w:bidi w:val="0"/>
              <w:spacing w:before="0" w:after="40"/>
              <w:ind w:hanging="0" w:start="43" w:end="43"/>
              <w:rPr/>
            </w:pPr>
            <w:r>
              <w:rPr>
                <w:sz w:val="19"/>
              </w:rPr>
              <w:t>Mapa de políticas</w:t>
            </w:r>
          </w:p>
        </w:tc>
        <w:tc>
          <w:tcPr>
            <w:tcW w:w="4680" w:type="dxa"/>
            <w:tcBorders/>
            <w:vAlign w:val="center"/>
          </w:tcPr>
          <w:p>
            <w:pPr>
              <w:pStyle w:val="TableContents"/>
              <w:suppressLineNumbers/>
              <w:bidi w:val="0"/>
              <w:spacing w:before="0" w:after="40"/>
              <w:ind w:hanging="0" w:start="43" w:end="43"/>
              <w:rPr/>
            </w:pPr>
            <w:r>
              <w:rPr>
                <w:sz w:val="19"/>
              </w:rPr>
              <w:t>Trazar requisitos de IA a políticas relacionadas y conflictos resueltos</w:t>
            </w:r>
          </w:p>
        </w:tc>
      </w:tr>
      <w:tr>
        <w:trPr>
          <w:cantSplit/>
        </w:trPr>
        <w:tc>
          <w:tcPr>
            <w:tcW w:w="4680" w:type="dxa"/>
            <w:tcBorders/>
            <w:vAlign w:val="center"/>
          </w:tcPr>
          <w:p>
            <w:pPr>
              <w:pStyle w:val="TableContents"/>
              <w:suppressLineNumbers/>
              <w:bidi w:val="0"/>
              <w:spacing w:before="0" w:after="40"/>
              <w:ind w:hanging="0" w:start="43" w:end="43"/>
              <w:rPr/>
            </w:pPr>
            <w:r>
              <w:rPr>
                <w:sz w:val="19"/>
              </w:rPr>
              <w:t>Comunicación/formación</w:t>
            </w:r>
          </w:p>
        </w:tc>
        <w:tc>
          <w:tcPr>
            <w:tcW w:w="4680" w:type="dxa"/>
            <w:tcBorders/>
            <w:vAlign w:val="center"/>
          </w:tcPr>
          <w:p>
            <w:pPr>
              <w:pStyle w:val="TableContents"/>
              <w:suppressLineNumbers/>
              <w:bidi w:val="0"/>
              <w:spacing w:before="0" w:after="40"/>
              <w:ind w:hanging="0" w:start="43" w:end="43"/>
              <w:rPr/>
            </w:pPr>
            <w:r>
              <w:rPr>
                <w:sz w:val="19"/>
              </w:rPr>
              <w:t>Muestrear funciones; verificar comprensión y flujo de trabajo práctico</w:t>
            </w:r>
          </w:p>
        </w:tc>
      </w:tr>
      <w:tr>
        <w:trPr>
          <w:cantSplit/>
        </w:trPr>
        <w:tc>
          <w:tcPr>
            <w:tcW w:w="4680" w:type="dxa"/>
            <w:tcBorders/>
            <w:vAlign w:val="center"/>
          </w:tcPr>
          <w:p>
            <w:pPr>
              <w:pStyle w:val="TableContents"/>
              <w:suppressLineNumbers/>
              <w:bidi w:val="0"/>
              <w:spacing w:before="0" w:after="40"/>
              <w:ind w:hanging="0" w:start="43" w:end="43"/>
              <w:rPr/>
            </w:pPr>
            <w:r>
              <w:rPr>
                <w:sz w:val="19"/>
              </w:rPr>
              <w:t>Registro de revisión</w:t>
            </w:r>
          </w:p>
        </w:tc>
        <w:tc>
          <w:tcPr>
            <w:tcW w:w="4680" w:type="dxa"/>
            <w:tcBorders/>
            <w:vAlign w:val="center"/>
          </w:tcPr>
          <w:p>
            <w:pPr>
              <w:pStyle w:val="TableContents"/>
              <w:suppressLineNumbers/>
              <w:bidi w:val="0"/>
              <w:spacing w:before="0" w:after="40"/>
              <w:ind w:hanging="0" w:start="43" w:end="43"/>
              <w:rPr/>
            </w:pPr>
            <w:r>
              <w:rPr>
                <w:sz w:val="19"/>
              </w:rPr>
              <w:t>Comprobar entradas, cambios, decisión, aprobación y seguimiento</w:t>
            </w:r>
          </w:p>
        </w:tc>
      </w:tr>
    </w:tbl>
    <w:p>
      <w:pPr>
        <w:pStyle w:val="Heading1"/>
        <w:tabs>
          <w:tab w:val="clear" w:pos="709"/>
          <w:tab w:val="left" w:pos="0" w:leader="none"/>
        </w:tabs>
        <w:bidi w:val="0"/>
        <w:ind w:hanging="0" w:start="0"/>
        <w:jc w:val="left"/>
        <w:rPr/>
        <w:keepNext/>
      </w:pPr>
      <w:bookmarkStart w:id="60" w:name="anexo-a.3-organización-interna"/>
      <w:r>
        <w:rPr/>
        <w:t>22. Anexo A.3: Organización interna</w:t>
      </w:r>
      <w:bookmarkEnd w:id="60"/>
    </w:p>
    <w:p>
      <w:pPr>
        <w:pStyle w:val="Firstparagraph"/>
        <w:bidi w:val="0"/>
        <w:rPr>
          <w:i/>
          <w:iCs/>
        </w:rPr>
      </w:pPr>
      <w:r>
        <w:rPr>
          <w:i/>
          <w:iCs/>
        </w:rPr>
        <w:t>El Anexo A.3 asigna responsabilidades de IA y crea una forma protegida de reportar preocupaciones.</w:t>
      </w:r>
    </w:p>
    <w:p>
      <w:pPr>
        <w:pStyle w:val="Heading2"/>
        <w:tabs>
          <w:tab w:val="clear" w:pos="709"/>
          <w:tab w:val="left" w:pos="0" w:leader="none"/>
        </w:tabs>
        <w:bidi w:val="0"/>
        <w:ind w:hanging="0" w:start="0"/>
        <w:jc w:val="left"/>
        <w:rPr/>
        <w:keepNext/>
      </w:pPr>
      <w:bookmarkStart w:id="61" w:name="funciones-y-responsabilidades"/>
      <w:r>
        <w:rPr/>
        <w:t>22.1 Funciones y responsabilidades</w:t>
      </w:r>
      <w:bookmarkEnd w:id="61"/>
    </w:p>
    <w:p>
      <w:pPr>
        <w:pStyle w:val="BodyText"/>
        <w:numPr>
          <w:ilvl w:val="0"/>
          <w:numId w:val="33"/>
        </w:numPr>
        <w:bidi w:val="0"/>
        <w:spacing w:before="0" w:after="0"/>
        <w:rPr/>
      </w:pPr>
      <w:r>
        <w:rPr/>
        <w:t>Defina la rendición de cuentas del ciclo de vida y del sistema de gestión para cada sistema de IA y servicio compartido.</w:t>
      </w:r>
    </w:p>
    <w:p>
      <w:pPr>
        <w:pStyle w:val="BodyText"/>
        <w:numPr>
          <w:ilvl w:val="0"/>
          <w:numId w:val="33"/>
        </w:numPr>
        <w:bidi w:val="0"/>
        <w:spacing w:before="0" w:after="0"/>
        <w:rPr/>
      </w:pPr>
      <w:r>
        <w:rPr/>
        <w:t>Asigne funciones sobre resultado de negocio, IA/modelo, datos, producto, seguridad, privacidad, legal, impacto, supervisión humana, proveedor, incidente, auditoría y riesgo residual.</w:t>
      </w:r>
    </w:p>
    <w:p>
      <w:pPr>
        <w:pStyle w:val="BodyText"/>
        <w:numPr>
          <w:ilvl w:val="0"/>
          <w:numId w:val="33"/>
        </w:numPr>
        <w:bidi w:val="0"/>
        <w:spacing w:before="0" w:after="0"/>
        <w:rPr/>
      </w:pPr>
      <w:r>
        <w:rPr/>
        <w:t>Defina autoridad de aprobación y escalamiento, suplentes, conflictos, segregación y decisiones de emergencia.</w:t>
      </w:r>
    </w:p>
    <w:p>
      <w:pPr>
        <w:pStyle w:val="BodyText"/>
        <w:numPr>
          <w:ilvl w:val="0"/>
          <w:numId w:val="33"/>
        </w:numPr>
        <w:bidi w:val="0"/>
        <w:spacing w:before="0" w:after="0"/>
        <w:rPr/>
      </w:pPr>
      <w:r>
        <w:rPr/>
        <w:t>Actualice funciones después de cambios de organización, empleo, proveedor, sistema, alcance o riesgo; elimine acceso oportunamente.</w:t>
      </w:r>
    </w:p>
    <w:p>
      <w:pPr>
        <w:pStyle w:val="Heading2"/>
        <w:tabs>
          <w:tab w:val="clear" w:pos="709"/>
          <w:tab w:val="left" w:pos="0" w:leader="none"/>
        </w:tabs>
        <w:bidi w:val="0"/>
        <w:ind w:hanging="0" w:start="0"/>
        <w:jc w:val="left"/>
        <w:rPr/>
        <w:keepNext/>
      </w:pPr>
      <w:bookmarkStart w:id="62" w:name="reporte-de-preocupaciones"/>
      <w:r>
        <w:rPr/>
        <w:t>22.2 Reporte de preocupaciones</w:t>
      </w:r>
      <w:bookmarkEnd w:id="62"/>
    </w:p>
    <w:p>
      <w:pPr>
        <w:pStyle w:val="BodyText"/>
        <w:numPr>
          <w:ilvl w:val="0"/>
          <w:numId w:val="34"/>
        </w:numPr>
        <w:bidi w:val="0"/>
        <w:spacing w:before="0" w:after="0"/>
        <w:rPr/>
      </w:pPr>
      <w:r>
        <w:rPr/>
        <w:t>Proporcione canales internos y externos accesibles, confidencialidad/anonimato cuando corresponda, no represalia, triaje, investigación, protección, escalamiento, retroalimentación y registros.</w:t>
      </w:r>
    </w:p>
    <w:p>
      <w:pPr>
        <w:pStyle w:val="BodyText"/>
        <w:numPr>
          <w:ilvl w:val="0"/>
          <w:numId w:val="34"/>
        </w:numPr>
        <w:bidi w:val="0"/>
        <w:spacing w:before="0" w:after="0"/>
        <w:rPr/>
      </w:pPr>
      <w:r>
        <w:rPr/>
        <w:t>Acepte preocupaciones sobre uso inseguro, sesgo, derechos, privacidad, seguridad, datos, resultados engañosos, IA oculta, conducta del proveedor, presión para eludir controles o represalias.</w:t>
      </w:r>
    </w:p>
    <w:p>
      <w:pPr>
        <w:pStyle w:val="BodyText"/>
        <w:numPr>
          <w:ilvl w:val="0"/>
          <w:numId w:val="34"/>
        </w:numPr>
        <w:bidi w:val="0"/>
        <w:spacing w:before="0" w:after="0"/>
        <w:rPr/>
      </w:pPr>
      <w:r>
        <w:rPr/>
        <w:t>Mida conocimiento, accesibilidad, respuesta, recurrencia, casos vencidos y acción correctiva sin exponer a quienes reportan.</w:t>
      </w:r>
    </w:p>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Los canales de preocupaciones son controles:</w:t>
      </w:r>
      <w:r>
        <w:rPr/>
        <w:t xml:space="preserve"> Un canal es ineficaz si las personas no saben que existe, temen represalias, no pueden reportar daños externos o nunca reciben evidencia de que las preocupaciones se investigan y corrigen.</w:t>
      </w:r>
    </w:p>
    <w:p>
      <w:pPr>
        <w:pStyle w:val="Heading1"/>
        <w:tabs>
          <w:tab w:val="clear" w:pos="709"/>
          <w:tab w:val="left" w:pos="0" w:leader="none"/>
        </w:tabs>
        <w:bidi w:val="0"/>
        <w:ind w:hanging="0" w:start="0"/>
        <w:jc w:val="left"/>
        <w:rPr/>
        <w:keepNext/>
      </w:pPr>
      <w:bookmarkStart w:id="63" w:name="anexo-a.4-recursos-para-sistemas-de-ia"/>
      <w:r>
        <w:rPr/>
        <w:t>23. Anexo A.4: Recursos para sistemas de IA</w:t>
      </w:r>
      <w:bookmarkEnd w:id="63"/>
    </w:p>
    <w:p>
      <w:pPr>
        <w:pStyle w:val="Firstparagraph"/>
        <w:bidi w:val="0"/>
        <w:rPr>
          <w:i/>
          <w:iCs/>
        </w:rPr>
      </w:pPr>
      <w:r>
        <w:rPr>
          <w:i/>
          <w:iCs/>
        </w:rPr>
        <w:t>Cuando los controles del Anexo A.4 se seleccionan mediante el tratamiento de riesgos y la Declaración de Aplicabilidad de la organización, su implementación debe mantener visibilidad sobre los datos, las herramientas, los sistemas y recursos de cómputo, y las personas necesarias durante el ciclo de vida de la IA.</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Registro de recurso</w:t>
            </w:r>
          </w:p>
        </w:tc>
        <w:tc>
          <w:tcPr>
            <w:tcW w:w="4680" w:type="dxa"/>
            <w:tcBorders/>
            <w:vAlign w:val="center"/>
            <w:shd w:fill="1F4E78"/>
          </w:tcPr>
          <w:p>
            <w:pPr>
              <w:pStyle w:val="TableHeading"/>
              <w:bidi w:val="0"/>
              <w:spacing w:before="0" w:after="40"/>
              <w:rPr>
                <w:b/>
                <w:bCs/>
              </w:rPr>
            </w:pPr>
            <w:r>
              <w:rPr>
                <w:b/>
                <w:bCs/>
                <w:sz w:val="19"/>
                <w:color w:val="FFFFFF"/>
              </w:rPr>
              <w:t>Detalles</w:t>
            </w:r>
          </w:p>
        </w:tc>
      </w:tr>
      <w:tr>
        <w:trPr>
          <w:cantSplit/>
        </w:trPr>
        <w:tc>
          <w:tcPr>
            <w:tcW w:w="4680" w:type="dxa"/>
            <w:tcBorders/>
            <w:vAlign w:val="center"/>
          </w:tcPr>
          <w:p>
            <w:pPr>
              <w:pStyle w:val="TableContents"/>
              <w:suppressLineNumbers/>
              <w:bidi w:val="0"/>
              <w:spacing w:before="0" w:after="40"/>
              <w:ind w:hanging="0" w:start="43" w:end="43"/>
              <w:rPr/>
            </w:pPr>
            <w:r>
              <w:rPr>
                <w:sz w:val="19"/>
              </w:rPr>
              <w:t>Datos</w:t>
            </w:r>
          </w:p>
        </w:tc>
        <w:tc>
          <w:tcPr>
            <w:tcW w:w="4680" w:type="dxa"/>
            <w:tcBorders/>
            <w:vAlign w:val="center"/>
          </w:tcPr>
          <w:p>
            <w:pPr>
              <w:pStyle w:val="TableContents"/>
              <w:suppressLineNumbers/>
              <w:bidi w:val="0"/>
              <w:spacing w:before="0" w:after="40"/>
              <w:ind w:hanging="0" w:start="43" w:end="43"/>
              <w:rPr/>
            </w:pPr>
            <w:r>
              <w:rPr>
                <w:sz w:val="19"/>
              </w:rPr>
              <w:t>Fuente, propietario, propósito, derechos, sensibilidad, personas, calidad, sesgo, versión, linaje, retención y ubicación</w:t>
            </w:r>
          </w:p>
        </w:tc>
      </w:tr>
      <w:tr>
        <w:trPr>
          <w:cantSplit/>
        </w:trPr>
        <w:tc>
          <w:tcPr>
            <w:tcW w:w="4680" w:type="dxa"/>
            <w:tcBorders/>
            <w:vAlign w:val="center"/>
          </w:tcPr>
          <w:p>
            <w:pPr>
              <w:pStyle w:val="TableContents"/>
              <w:suppressLineNumbers/>
              <w:bidi w:val="0"/>
              <w:spacing w:before="0" w:after="40"/>
              <w:ind w:hanging="0" w:start="43" w:end="43"/>
              <w:rPr/>
            </w:pPr>
            <w:r>
              <w:rPr>
                <w:sz w:val="19"/>
              </w:rPr>
              <w:t>Herramientas</w:t>
            </w:r>
          </w:p>
        </w:tc>
        <w:tc>
          <w:tcPr>
            <w:tcW w:w="4680" w:type="dxa"/>
            <w:tcBorders/>
            <w:vAlign w:val="center"/>
          </w:tcPr>
          <w:p>
            <w:pPr>
              <w:pStyle w:val="TableContents"/>
              <w:suppressLineNumbers/>
              <w:bidi w:val="0"/>
              <w:spacing w:before="0" w:after="40"/>
              <w:ind w:hanging="0" w:start="43" w:end="43"/>
              <w:rPr/>
            </w:pPr>
            <w:r>
              <w:rPr>
                <w:sz w:val="19"/>
              </w:rPr>
              <w:t>Algoritmos, frameworks, paquetes, modelos, prompts, evaluación, anotación, orquestación, versiones y soporte</w:t>
            </w:r>
          </w:p>
        </w:tc>
      </w:tr>
      <w:tr>
        <w:trPr>
          <w:cantSplit/>
        </w:trPr>
        <w:tc>
          <w:tcPr>
            <w:tcW w:w="4680" w:type="dxa"/>
            <w:tcBorders/>
            <w:vAlign w:val="center"/>
          </w:tcPr>
          <w:p>
            <w:pPr>
              <w:pStyle w:val="TableContents"/>
              <w:suppressLineNumbers/>
              <w:bidi w:val="0"/>
              <w:spacing w:before="0" w:after="40"/>
              <w:ind w:hanging="0" w:start="43" w:end="43"/>
              <w:rPr/>
            </w:pPr>
            <w:r>
              <w:rPr>
                <w:sz w:val="19"/>
              </w:rPr>
              <w:t>Sistema/cómputo</w:t>
            </w:r>
          </w:p>
        </w:tc>
        <w:tc>
          <w:tcPr>
            <w:tcW w:w="4680" w:type="dxa"/>
            <w:tcBorders/>
            <w:vAlign w:val="center"/>
          </w:tcPr>
          <w:p>
            <w:pPr>
              <w:pStyle w:val="TableContents"/>
              <w:suppressLineNumbers/>
              <w:bidi w:val="0"/>
              <w:spacing w:before="0" w:after="40"/>
              <w:ind w:hanging="0" w:start="43" w:end="43"/>
              <w:rPr/>
            </w:pPr>
            <w:r>
              <w:rPr>
                <w:sz w:val="19"/>
              </w:rPr>
              <w:t>Nube/local/borde, cuentas, entornos, almacenamiento, red, GPU, capacidad, resiliencia y energía/medio ambiente</w:t>
            </w:r>
          </w:p>
        </w:tc>
      </w:tr>
      <w:tr>
        <w:trPr>
          <w:cantSplit/>
        </w:trPr>
        <w:tc>
          <w:tcPr>
            <w:tcW w:w="4680" w:type="dxa"/>
            <w:tcBorders/>
            <w:vAlign w:val="center"/>
          </w:tcPr>
          <w:p>
            <w:pPr>
              <w:pStyle w:val="TableContents"/>
              <w:suppressLineNumbers/>
              <w:bidi w:val="0"/>
              <w:spacing w:before="0" w:after="40"/>
              <w:ind w:hanging="0" w:start="43" w:end="43"/>
              <w:rPr/>
            </w:pPr>
            <w:r>
              <w:rPr>
                <w:sz w:val="19"/>
              </w:rPr>
              <w:t>Humano</w:t>
            </w:r>
          </w:p>
        </w:tc>
        <w:tc>
          <w:tcPr>
            <w:tcW w:w="4680" w:type="dxa"/>
            <w:tcBorders/>
            <w:vAlign w:val="center"/>
          </w:tcPr>
          <w:p>
            <w:pPr>
              <w:pStyle w:val="TableContents"/>
              <w:suppressLineNumbers/>
              <w:bidi w:val="0"/>
              <w:spacing w:before="0" w:after="40"/>
              <w:ind w:hanging="0" w:start="43" w:end="43"/>
              <w:rPr/>
            </w:pPr>
            <w:r>
              <w:rPr>
                <w:sz w:val="19"/>
              </w:rPr>
              <w:t>Función, organización/proveedor, competencia, independencia, acceso, carga y autoridad de decisión</w:t>
            </w:r>
          </w:p>
        </w:tc>
      </w:tr>
      <w:tr>
        <w:trPr>
          <w:cantSplit/>
        </w:trPr>
        <w:tc>
          <w:tcPr>
            <w:tcW w:w="4680" w:type="dxa"/>
            <w:tcBorders/>
            <w:vAlign w:val="center"/>
          </w:tcPr>
          <w:p>
            <w:pPr>
              <w:pStyle w:val="TableContents"/>
              <w:suppressLineNumbers/>
              <w:bidi w:val="0"/>
              <w:spacing w:before="0" w:after="40"/>
              <w:ind w:hanging="0" w:start="43" w:end="43"/>
              <w:rPr/>
            </w:pPr>
            <w:r>
              <w:rPr>
                <w:sz w:val="19"/>
              </w:rPr>
              <w:t>Dependencias</w:t>
            </w:r>
          </w:p>
        </w:tc>
        <w:tc>
          <w:tcPr>
            <w:tcW w:w="4680" w:type="dxa"/>
            <w:tcBorders/>
            <w:vAlign w:val="center"/>
          </w:tcPr>
          <w:p>
            <w:pPr>
              <w:pStyle w:val="TableContents"/>
              <w:suppressLineNumbers/>
              <w:bidi w:val="0"/>
              <w:spacing w:before="0" w:after="40"/>
              <w:ind w:hanging="0" w:start="43" w:end="43"/>
              <w:rPr/>
            </w:pPr>
            <w:r>
              <w:rPr>
                <w:sz w:val="19"/>
              </w:rPr>
              <w:t>Proveedor, subencargado, API, identidad, seguimiento, filtro de contenido, almacén vectorial y proceso de negocio</w:t>
            </w:r>
          </w:p>
        </w:tc>
      </w:tr>
    </w:tbl>
    <w:p>
      <w:pPr>
        <w:pStyle w:val="Heading2"/>
        <w:tabs>
          <w:tab w:val="clear" w:pos="709"/>
          <w:tab w:val="left" w:pos="0" w:leader="none"/>
        </w:tabs>
        <w:bidi w:val="0"/>
        <w:ind w:hanging="0" w:start="0"/>
        <w:jc w:val="left"/>
        <w:rPr/>
        <w:keepNext/>
      </w:pPr>
      <w:bookmarkStart w:id="64" w:name="flujo-de-documentación-de-recursos"/>
      <w:r>
        <w:rPr/>
        <w:t>23.1 Flujo de documentación de recursos</w:t>
      </w:r>
      <w:bookmarkEnd w:id="64"/>
    </w:p>
    <w:p>
      <w:pPr>
        <w:pStyle w:val="BodyText"/>
        <w:numPr>
          <w:ilvl w:val="0"/>
          <w:numId w:val="35"/>
        </w:numPr>
        <w:bidi w:val="0"/>
        <w:spacing w:before="0" w:after="0"/>
        <w:rPr/>
      </w:pPr>
      <w:r>
        <w:rPr/>
        <w:t>Conecte recursos a sistemas de IA exactos, etapas del ciclo de vida, propietarios, evaluaciones de riesgo/impacto, registros de proveedores, versiones e historial de cambios.</w:t>
      </w:r>
    </w:p>
    <w:p>
      <w:pPr>
        <w:pStyle w:val="BodyText"/>
        <w:numPr>
          <w:ilvl w:val="0"/>
          <w:numId w:val="35"/>
        </w:numPr>
        <w:bidi w:val="0"/>
        <w:spacing w:before="0" w:after="0"/>
        <w:rPr/>
      </w:pPr>
      <w:r>
        <w:rPr/>
        <w:t>Concilie los inventarios de recursos con el código, los registros de modelos, los catálogos de datos, la facturación de nube/API, la identidad, la red, las compras y las entrevistas.</w:t>
      </w:r>
    </w:p>
    <w:p>
      <w:pPr>
        <w:pStyle w:val="BodyText"/>
        <w:numPr>
          <w:ilvl w:val="0"/>
          <w:numId w:val="35"/>
        </w:numPr>
        <w:bidi w:val="0"/>
        <w:spacing w:before="0" w:after="0"/>
        <w:rPr/>
      </w:pPr>
      <w:r>
        <w:rPr/>
        <w:t>Identifique recursos no aprobados o sombra, componentes sin soporte, falta de competencia, límites de capacidad, dependencias comunes y efectos ambientales.</w:t>
      </w:r>
    </w:p>
    <w:p>
      <w:pPr>
        <w:pStyle w:val="BodyText"/>
        <w:numPr>
          <w:ilvl w:val="0"/>
          <w:numId w:val="35"/>
        </w:numPr>
        <w:bidi w:val="0"/>
        <w:spacing w:before="0" w:after="0"/>
        <w:rPr/>
      </w:pPr>
      <w:r>
        <w:rPr/>
        <w:t>Utilice el registro para reproducibilidad, respuesta a incidentes, evaluación de cambios, recuperación, salida de proveedores y retiro.</w:t>
      </w:r>
    </w:p>
    <w:p>
      <w:pPr>
        <w:pStyle w:val="Heading1"/>
        <w:tabs>
          <w:tab w:val="clear" w:pos="709"/>
          <w:tab w:val="left" w:pos="0" w:leader="none"/>
        </w:tabs>
        <w:bidi w:val="0"/>
        <w:ind w:hanging="0" w:start="0"/>
        <w:jc w:val="left"/>
        <w:rPr/>
        <w:keepNext/>
      </w:pPr>
      <w:bookmarkStart w:id="65" w:name="anexo-a.5-e-isoiec-42005-evaluación-de-i"/>
      <w:r>
        <w:rPr/>
        <w:t>24. Anexo A.5 e ISO/IEC 42005: Evaluación de impacto de sistemas de IA</w:t>
      </w:r>
      <w:bookmarkEnd w:id="65"/>
    </w:p>
    <w:p>
      <w:pPr>
        <w:pStyle w:val="Firstparagraph"/>
        <w:bidi w:val="0"/>
        <w:rPr>
          <w:i/>
          <w:iCs/>
        </w:rPr>
      </w:pPr>
      <w:r>
        <w:rPr>
          <w:i/>
          <w:iCs/>
        </w:rPr>
        <w:t>El Anexo A.5 operacionaliza la evaluación de impacto; ISO/IEC 42005:2025 proporciona orientación complementaria vigente.</w:t>
      </w:r>
    </w:p>
    <w:p>
      <w:pPr>
        <w:pStyle w:val="Heading2"/>
        <w:tabs>
          <w:tab w:val="clear" w:pos="709"/>
          <w:tab w:val="left" w:pos="0" w:leader="none"/>
        </w:tabs>
        <w:bidi w:val="0"/>
        <w:ind w:hanging="0" w:start="0"/>
        <w:jc w:val="left"/>
        <w:rPr/>
        <w:keepNext/>
      </w:pPr>
      <w:bookmarkStart w:id="66" w:name="cuatro-resultados-de-control"/>
      <w:r>
        <w:rPr/>
        <w:t>24.1 Cuatro resultados de control</w:t>
      </w:r>
      <w:bookmarkEnd w:id="66"/>
    </w:p>
    <w:p>
      <w:pPr>
        <w:pStyle w:val="BodyText"/>
        <w:numPr>
          <w:ilvl w:val="0"/>
          <w:numId w:val="36"/>
        </w:numPr>
        <w:bidi w:val="0"/>
        <w:spacing w:before="0" w:after="0"/>
        <w:rPr/>
      </w:pPr>
      <w:r>
        <w:rPr/>
        <w:t>Un proceso definido y repetible de evaluación de impacto de sistemas de IA con disparadores, funciones, métodos, integración con el ciclo de vida, aprobación y revisión.</w:t>
      </w:r>
    </w:p>
    <w:p>
      <w:pPr>
        <w:pStyle w:val="BodyText"/>
        <w:numPr>
          <w:ilvl w:val="0"/>
          <w:numId w:val="36"/>
        </w:numPr>
        <w:bidi w:val="0"/>
        <w:spacing w:before="0" w:after="0"/>
        <w:rPr/>
      </w:pPr>
      <w:r>
        <w:rPr/>
        <w:t>Documentación controlada de evaluaciones, supuestos, evidencia, partes afectadas, impactos, mitigaciones, decisiones y cambios.</w:t>
      </w:r>
    </w:p>
    <w:p>
      <w:pPr>
        <w:pStyle w:val="BodyText"/>
        <w:numPr>
          <w:ilvl w:val="0"/>
          <w:numId w:val="36"/>
        </w:numPr>
        <w:bidi w:val="0"/>
        <w:spacing w:before="0" w:after="0"/>
        <w:rPr/>
      </w:pPr>
      <w:r>
        <w:rPr/>
        <w:t>Evaluación específica de impactos sobre individuos y grupos, incluida equidad, derechos, privacidad, seguridad funcional, salud, accesibilidad, efectos financieros/laborales, personas vulnerables, supervisión humana y reparación según corresponda.</w:t>
      </w:r>
    </w:p>
    <w:p>
      <w:pPr>
        <w:pStyle w:val="BodyText"/>
        <w:numPr>
          <w:ilvl w:val="0"/>
          <w:numId w:val="36"/>
        </w:numPr>
        <w:bidi w:val="0"/>
        <w:spacing w:before="0" w:after="0"/>
        <w:rPr/>
      </w:pPr>
      <w:r>
        <w:rPr/>
        <w:t>Evaluación de efectos sociales más amplios, como seguridad pública, medio ambiente, economía, cultura, procesos democráticos, desinformación, trabajo, concentración de mercado y uso indebido deliberado cuando sea pertinente.</w:t>
      </w:r>
    </w:p>
    <w:p>
      <w:pPr>
        <w:pStyle w:val="Heading2"/>
        <w:tabs>
          <w:tab w:val="clear" w:pos="709"/>
          <w:tab w:val="left" w:pos="0" w:leader="none"/>
        </w:tabs>
        <w:bidi w:val="0"/>
        <w:ind w:hanging="0" w:start="0"/>
        <w:jc w:val="left"/>
        <w:rPr/>
        <w:keepNext/>
      </w:pPr>
      <w:bookmarkStart w:id="67" w:name="comprobaciones-de-calidad-de-la-evaluaci"/>
      <w:r>
        <w:rPr/>
        <w:t>24.2 Comprobaciones de calidad de la evaluación</w:t>
      </w:r>
      <w:bookmarkEnd w:id="67"/>
    </w:p>
    <w:p>
      <w:pPr>
        <w:pStyle w:val="BodyText"/>
        <w:numPr>
          <w:ilvl w:val="0"/>
          <w:numId w:val="37"/>
        </w:numPr>
        <w:bidi w:val="0"/>
        <w:spacing w:before="0" w:after="0"/>
        <w:rPr/>
      </w:pPr>
      <w:r>
        <w:rPr/>
        <w:t>Las personas/grupos afectados se identifican más allá de usuarios y clientes directos.</w:t>
      </w:r>
    </w:p>
    <w:p>
      <w:pPr>
        <w:pStyle w:val="BodyText"/>
        <w:numPr>
          <w:ilvl w:val="0"/>
          <w:numId w:val="37"/>
        </w:numPr>
        <w:bidi w:val="0"/>
        <w:spacing w:before="0" w:after="0"/>
        <w:rPr/>
      </w:pPr>
      <w:r>
        <w:rPr/>
        <w:t>Se evalúan tanto beneficios como daños, incluida su distribución y alternativas.</w:t>
      </w:r>
    </w:p>
    <w:p>
      <w:pPr>
        <w:pStyle w:val="BodyText"/>
        <w:numPr>
          <w:ilvl w:val="0"/>
          <w:numId w:val="37"/>
        </w:numPr>
        <w:bidi w:val="0"/>
        <w:spacing w:before="0" w:after="0"/>
        <w:rPr/>
      </w:pPr>
      <w:r>
        <w:rPr/>
        <w:t>El método considera escala, duración, reversibilidad, efectos acumulativos e indirectos, incertidumbre y uso indebido previsible.</w:t>
      </w:r>
    </w:p>
    <w:p>
      <w:pPr>
        <w:pStyle w:val="BodyText"/>
        <w:numPr>
          <w:ilvl w:val="0"/>
          <w:numId w:val="37"/>
        </w:numPr>
        <w:bidi w:val="0"/>
        <w:spacing w:before="0" w:after="0"/>
        <w:rPr/>
      </w:pPr>
      <w:r>
        <w:rPr/>
        <w:t>La participación de partes interesadas es significativa, accesible, documentada y protegida.</w:t>
      </w:r>
    </w:p>
    <w:p>
      <w:pPr>
        <w:pStyle w:val="BodyText"/>
        <w:numPr>
          <w:ilvl w:val="0"/>
          <w:numId w:val="37"/>
        </w:numPr>
        <w:bidi w:val="0"/>
        <w:spacing w:before="0" w:after="0"/>
        <w:rPr/>
      </w:pPr>
      <w:r>
        <w:rPr/>
        <w:t>Las mitigaciones se convierten en requisitos con propietario, pruebas, avisos, supervisión, seguimiento, reparación y criterios de detención.</w:t>
      </w:r>
    </w:p>
    <w:p>
      <w:pPr>
        <w:pStyle w:val="BodyText"/>
        <w:numPr>
          <w:ilvl w:val="0"/>
          <w:numId w:val="37"/>
        </w:numPr>
        <w:bidi w:val="0"/>
        <w:spacing w:before="0" w:after="0"/>
        <w:rPr/>
      </w:pPr>
      <w:r>
        <w:rPr/>
        <w:t>La versión de la evaluación coincide con el sistema/uso desplegado y se actualiza después de cambios materiales.</w:t>
      </w:r>
    </w:p>
    <w:p>
      <w:pPr>
        <w:pStyle w:val="Heading1"/>
        <w:tabs>
          <w:tab w:val="clear" w:pos="709"/>
          <w:tab w:val="left" w:pos="0" w:leader="none"/>
        </w:tabs>
        <w:bidi w:val="0"/>
        <w:ind w:hanging="0" w:start="0"/>
        <w:jc w:val="left"/>
        <w:rPr/>
        <w:keepNext/>
      </w:pPr>
      <w:bookmarkStart w:id="68" w:name="anexo-a.6-ciclo-de-vida-del-sistema-de-i"/>
      <w:r>
        <w:rPr/>
        <w:t>25. Anexo A.6: Ciclo de vida del sistema de IA</w:t>
      </w:r>
      <w:bookmarkEnd w:id="68"/>
    </w:p>
    <w:p>
      <w:pPr>
        <w:pStyle w:val="Firstparagraph"/>
        <w:bidi w:val="0"/>
        <w:rPr>
          <w:i/>
          <w:iCs/>
        </w:rPr>
      </w:pPr>
      <w:r>
        <w:rPr>
          <w:i/>
          <w:iCs/>
        </w:rPr>
        <w:t>El Anexo A.6 conecta los objetivos de desarrollo responsable con requisitos, diseño, pruebas, despliegue, operación, documentación y registro de eventos.</w:t>
      </w:r>
    </w:p>
    <w:p>
      <w:pPr>
        <w:pStyle w:val="FigureWithCaption"/>
        <w:keepNext w:val="true"/>
        <w:suppressLineNumbers/>
        <w:bidi w:val="0"/>
        <w:rPr/>
      </w:pPr>
      <w:r>
        <w:rPr/>
        <w:drawing>
          <wp:inline distT="0" distB="0" distL="0" distR="0">
            <wp:extent cx="5623560" cy="2955925"/>
            <wp:effectExtent l="0" t="0" r="0" b="0"/>
            <wp:docPr id="6" name="Manual 02 Figure 6" title="Figure 6" descr="Cada puerta del ciclo de vida debe producir evidencia trazable y una decisión con respons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6"/>
                    <pic:cNvPicPr>
                      <a:picLocks noChangeAspect="1" noChangeArrowheads="1"/>
                    </pic:cNvPicPr>
                  </pic:nvPicPr>
                  <pic:blipFill>
                    <a:blip r:embed="rId12">
                      <a:extLst>
                        <a:ext uri="{96DAC541-7B7A-43D3-8B79-37D633B846F1}">
                          <asvg:svgBlip xmlns:asvg="http://schemas.microsoft.com/office/drawing/2016/SVG/main" r:embed="rId13"/>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keepNext/>
      </w:pPr>
      <w:r>
        <w:rPr/>
        <w:t>Cada puerta del ciclo de vida debe producir evidencia trazable y una decisión con responsable.</w:t>
      </w:r>
    </w:p>
    <w:p>
      <w:pPr>
        <w:pStyle w:val="Caption"/>
        <w:bidi w:val="0"/>
        <w:spacing w:before="86" w:after="86"/>
        <w:rPr/>
        <w:keepNext/>
      </w:pPr>
      <w:r>
        <w:rPr/>
        <w:t>Figura 6. Ciclo de vida responsable del sistema de IA</w:t>
      </w:r>
    </w:p>
    <w:p>
      <w:pPr>
        <w:pStyle w:val="BlockQuotation"/>
        <w:bidi w:val="0"/>
        <w:ind w:hanging="0" w:start="720" w:end="0"/>
        <w:rPr/>
      </w:pPr>
      <w:r>
        <w:rPr>
          <w:b/>
          <w:bCs/>
        </w:rPr>
        <w:t>Explicación accesible:</w:t>
      </w:r>
      <w:r>
        <w:rPr/>
        <w:t xml:space="preserve"> La figura muestra un flujo desde objetivos y requisitos hasta diseño, verificación/validación, despliegue, operación, seguimiento, cambio y retiro. Cada etapa debe dejar versiones, criterios, resultados, aprobaciones y decisiones rastreables.</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Área del ciclo de vida</w:t>
            </w:r>
          </w:p>
        </w:tc>
        <w:tc>
          <w:tcPr>
            <w:tcW w:w="4680" w:type="dxa"/>
            <w:tcBorders/>
            <w:vAlign w:val="center"/>
            <w:shd w:fill="1F4E78"/>
          </w:tcPr>
          <w:p>
            <w:pPr>
              <w:pStyle w:val="TableHeading"/>
              <w:bidi w:val="0"/>
              <w:spacing w:before="0" w:after="40"/>
              <w:rPr>
                <w:b/>
                <w:bCs/>
              </w:rPr>
            </w:pPr>
            <w:r>
              <w:rPr>
                <w:b/>
                <w:bCs/>
                <w:sz w:val="19"/>
                <w:color w:val="FFFFFF"/>
              </w:rPr>
              <w:t>Evidencia de implementación</w:t>
            </w:r>
          </w:p>
        </w:tc>
      </w:tr>
      <w:tr>
        <w:trPr>
          <w:cantSplit/>
        </w:trPr>
        <w:tc>
          <w:tcPr>
            <w:tcW w:w="4680" w:type="dxa"/>
            <w:tcBorders/>
            <w:vAlign w:val="center"/>
          </w:tcPr>
          <w:p>
            <w:pPr>
              <w:pStyle w:val="TableContents"/>
              <w:suppressLineNumbers/>
              <w:bidi w:val="0"/>
              <w:spacing w:before="0" w:after="40"/>
              <w:ind w:hanging="0" w:start="43" w:end="43"/>
              <w:rPr/>
            </w:pPr>
            <w:r>
              <w:rPr>
                <w:sz w:val="19"/>
              </w:rPr>
              <w:t>Objetivos/proceso responsable</w:t>
            </w:r>
          </w:p>
        </w:tc>
        <w:tc>
          <w:tcPr>
            <w:tcW w:w="4680" w:type="dxa"/>
            <w:tcBorders/>
            <w:vAlign w:val="center"/>
          </w:tcPr>
          <w:p>
            <w:pPr>
              <w:pStyle w:val="TableContents"/>
              <w:suppressLineNumbers/>
              <w:bidi w:val="0"/>
              <w:spacing w:before="0" w:after="40"/>
              <w:ind w:hanging="0" w:start="43" w:end="43"/>
              <w:rPr/>
            </w:pPr>
            <w:r>
              <w:rPr>
                <w:sz w:val="19"/>
              </w:rPr>
              <w:t>Equidad, seguridad funcional, privacidad, transparencia, ciberseguridad, robustez y otros objetivos medibles pertinentes; procedimiento de ciclo de vida</w:t>
            </w:r>
          </w:p>
        </w:tc>
      </w:tr>
      <w:tr>
        <w:trPr>
          <w:cantSplit/>
        </w:trPr>
        <w:tc>
          <w:tcPr>
            <w:tcW w:w="4680" w:type="dxa"/>
            <w:tcBorders/>
            <w:vAlign w:val="center"/>
          </w:tcPr>
          <w:p>
            <w:pPr>
              <w:pStyle w:val="TableContents"/>
              <w:suppressLineNumbers/>
              <w:bidi w:val="0"/>
              <w:spacing w:before="0" w:after="40"/>
              <w:ind w:hanging="0" w:start="43" w:end="43"/>
              <w:rPr/>
            </w:pPr>
            <w:r>
              <w:rPr>
                <w:sz w:val="19"/>
              </w:rPr>
              <w:t>Requisitos/especificación</w:t>
            </w:r>
          </w:p>
        </w:tc>
        <w:tc>
          <w:tcPr>
            <w:tcW w:w="4680" w:type="dxa"/>
            <w:tcBorders/>
            <w:vAlign w:val="center"/>
          </w:tcPr>
          <w:p>
            <w:pPr>
              <w:pStyle w:val="TableContents"/>
              <w:suppressLineNumbers/>
              <w:bidi w:val="0"/>
              <w:spacing w:before="0" w:after="40"/>
              <w:ind w:hanging="0" w:start="43" w:end="43"/>
              <w:rPr/>
            </w:pPr>
            <w:r>
              <w:rPr>
                <w:sz w:val="19"/>
              </w:rPr>
              <w:t>Propósito, criterios funcionales y no funcionales, personas afectadas, datos, modelo, supervisión humana, límites y obligaciones</w:t>
            </w:r>
          </w:p>
        </w:tc>
      </w:tr>
      <w:tr>
        <w:trPr>
          <w:cantSplit/>
        </w:trPr>
        <w:tc>
          <w:tcPr>
            <w:tcW w:w="4680" w:type="dxa"/>
            <w:tcBorders/>
            <w:vAlign w:val="center"/>
          </w:tcPr>
          <w:p>
            <w:pPr>
              <w:pStyle w:val="TableContents"/>
              <w:suppressLineNumbers/>
              <w:bidi w:val="0"/>
              <w:spacing w:before="0" w:after="40"/>
              <w:ind w:hanging="0" w:start="43" w:end="43"/>
              <w:rPr/>
            </w:pPr>
            <w:r>
              <w:rPr>
                <w:sz w:val="19"/>
              </w:rPr>
              <w:t>Registros de diseño/desarrollo</w:t>
            </w:r>
          </w:p>
        </w:tc>
        <w:tc>
          <w:tcPr>
            <w:tcW w:w="4680" w:type="dxa"/>
            <w:tcBorders/>
            <w:vAlign w:val="center"/>
          </w:tcPr>
          <w:p>
            <w:pPr>
              <w:pStyle w:val="TableContents"/>
              <w:suppressLineNumbers/>
              <w:bidi w:val="0"/>
              <w:spacing w:before="0" w:after="40"/>
              <w:ind w:hanging="0" w:start="43" w:end="43"/>
              <w:rPr/>
            </w:pPr>
            <w:r>
              <w:rPr>
                <w:sz w:val="19"/>
              </w:rPr>
              <w:t>Arquitectura, decisiones, alternativas, supuestos, componentes, amenazas, interfaces, procedencia y revisiones</w:t>
            </w:r>
          </w:p>
        </w:tc>
      </w:tr>
      <w:tr>
        <w:trPr>
          <w:cantSplit/>
        </w:trPr>
        <w:tc>
          <w:tcPr>
            <w:tcW w:w="4680" w:type="dxa"/>
            <w:tcBorders/>
            <w:vAlign w:val="center"/>
          </w:tcPr>
          <w:p>
            <w:pPr>
              <w:pStyle w:val="TableContents"/>
              <w:suppressLineNumbers/>
              <w:bidi w:val="0"/>
              <w:spacing w:before="0" w:after="40"/>
              <w:ind w:hanging="0" w:start="43" w:end="43"/>
              <w:rPr/>
            </w:pPr>
            <w:r>
              <w:rPr>
                <w:sz w:val="19"/>
              </w:rPr>
              <w:t>Verificación/validación</w:t>
            </w:r>
          </w:p>
        </w:tc>
        <w:tc>
          <w:tcPr>
            <w:tcW w:w="4680" w:type="dxa"/>
            <w:tcBorders/>
            <w:vAlign w:val="center"/>
          </w:tcPr>
          <w:p>
            <w:pPr>
              <w:pStyle w:val="TableContents"/>
              <w:suppressLineNumbers/>
              <w:bidi w:val="0"/>
              <w:spacing w:before="0" w:after="40"/>
              <w:ind w:hanging="0" w:start="43" w:end="43"/>
              <w:rPr/>
            </w:pPr>
            <w:r>
              <w:rPr>
                <w:sz w:val="19"/>
              </w:rPr>
              <w:t>Métodos, datos de evaluación, calificadores, umbrales, fallas graves, pruebas por subgrupos/casos límite/adversariales y limitaciones</w:t>
            </w:r>
          </w:p>
        </w:tc>
      </w:tr>
      <w:tr>
        <w:trPr>
          <w:cantSplit/>
        </w:trPr>
        <w:tc>
          <w:tcPr>
            <w:tcW w:w="4680" w:type="dxa"/>
            <w:tcBorders/>
            <w:vAlign w:val="center"/>
          </w:tcPr>
          <w:p>
            <w:pPr>
              <w:pStyle w:val="TableContents"/>
              <w:suppressLineNumbers/>
              <w:bidi w:val="0"/>
              <w:spacing w:before="0" w:after="40"/>
              <w:ind w:hanging="0" w:start="43" w:end="43"/>
              <w:rPr/>
            </w:pPr>
            <w:r>
              <w:rPr>
                <w:sz w:val="19"/>
              </w:rPr>
              <w:t>Despliegue</w:t>
            </w:r>
          </w:p>
        </w:tc>
        <w:tc>
          <w:tcPr>
            <w:tcW w:w="4680" w:type="dxa"/>
            <w:tcBorders/>
            <w:vAlign w:val="center"/>
          </w:tcPr>
          <w:p>
            <w:pPr>
              <w:pStyle w:val="TableContents"/>
              <w:suppressLineNumbers/>
              <w:bidi w:val="0"/>
              <w:spacing w:before="0" w:after="40"/>
              <w:ind w:hanging="0" w:start="43" w:end="43"/>
              <w:rPr/>
            </w:pPr>
            <w:r>
              <w:rPr>
                <w:sz w:val="19"/>
              </w:rPr>
              <w:t>Aprobación de liberación, entorno, configuración, información al usuario, migración, seguimiento y reversión</w:t>
            </w:r>
          </w:p>
        </w:tc>
      </w:tr>
      <w:tr>
        <w:trPr>
          <w:cantSplit/>
        </w:trPr>
        <w:tc>
          <w:tcPr>
            <w:tcW w:w="4680" w:type="dxa"/>
            <w:tcBorders/>
            <w:vAlign w:val="center"/>
          </w:tcPr>
          <w:p>
            <w:pPr>
              <w:pStyle w:val="TableContents"/>
              <w:suppressLineNumbers/>
              <w:bidi w:val="0"/>
              <w:spacing w:before="0" w:after="40"/>
              <w:ind w:hanging="0" w:start="43" w:end="43"/>
              <w:rPr/>
            </w:pPr>
            <w:r>
              <w:rPr>
                <w:sz w:val="19"/>
              </w:rPr>
              <w:t>Operación/seguimiento</w:t>
            </w:r>
          </w:p>
        </w:tc>
        <w:tc>
          <w:tcPr>
            <w:tcW w:w="4680" w:type="dxa"/>
            <w:tcBorders/>
            <w:vAlign w:val="center"/>
          </w:tcPr>
          <w:p>
            <w:pPr>
              <w:pStyle w:val="TableContents"/>
              <w:suppressLineNumbers/>
              <w:bidi w:val="0"/>
              <w:spacing w:before="0" w:after="40"/>
              <w:ind w:hanging="0" w:start="43" w:end="43"/>
              <w:rPr/>
            </w:pPr>
            <w:r>
              <w:rPr>
                <w:sz w:val="19"/>
              </w:rPr>
              <w:t>Desempeño, deriva, seguridad, seguridad funcional, impacto, quejas, cambios, soporte, reparación y actualizaciones</w:t>
            </w:r>
          </w:p>
        </w:tc>
      </w:tr>
      <w:tr>
        <w:trPr>
          <w:cantSplit/>
        </w:trPr>
        <w:tc>
          <w:tcPr>
            <w:tcW w:w="4680" w:type="dxa"/>
            <w:tcBorders/>
            <w:vAlign w:val="center"/>
          </w:tcPr>
          <w:p>
            <w:pPr>
              <w:pStyle w:val="TableContents"/>
              <w:suppressLineNumbers/>
              <w:bidi w:val="0"/>
              <w:spacing w:before="0" w:after="40"/>
              <w:ind w:hanging="0" w:start="43" w:end="43"/>
              <w:rPr/>
            </w:pPr>
            <w:r>
              <w:rPr>
                <w:sz w:val="19"/>
              </w:rPr>
              <w:t>Documentación técnica/logs</w:t>
            </w:r>
          </w:p>
        </w:tc>
        <w:tc>
          <w:tcPr>
            <w:tcW w:w="4680" w:type="dxa"/>
            <w:tcBorders/>
            <w:vAlign w:val="center"/>
          </w:tcPr>
          <w:p>
            <w:pPr>
              <w:pStyle w:val="TableContents"/>
              <w:suppressLineNumbers/>
              <w:bidi w:val="0"/>
              <w:spacing w:before="0" w:after="40"/>
              <w:ind w:hanging="0" w:start="43" w:end="43"/>
              <w:rPr/>
            </w:pPr>
            <w:r>
              <w:rPr>
                <w:sz w:val="19"/>
              </w:rPr>
              <w:t>Instrucciones adecuadas a la audiencia más eventos trazables para auditoría, incidentes, decisiones y mejora</w:t>
            </w:r>
          </w:p>
        </w:tc>
      </w:tr>
    </w:tbl>
    <w:p>
      <w:pPr>
        <w:pStyle w:val="Heading2"/>
        <w:tabs>
          <w:tab w:val="clear" w:pos="709"/>
          <w:tab w:val="left" w:pos="0" w:leader="none"/>
        </w:tabs>
        <w:bidi w:val="0"/>
        <w:ind w:hanging="0" w:start="0"/>
        <w:jc w:val="left"/>
        <w:rPr/>
        <w:keepNext/>
      </w:pPr>
      <w:bookmarkStart w:id="69" w:name="cambio-y-retiro"/>
      <w:r>
        <w:rPr/>
        <w:t>25.1 Cambio y retiro</w:t>
      </w:r>
      <w:bookmarkEnd w:id="69"/>
    </w:p>
    <w:p>
      <w:pPr>
        <w:pStyle w:val="BodyText"/>
        <w:numPr>
          <w:ilvl w:val="0"/>
          <w:numId w:val="38"/>
        </w:numPr>
        <w:bidi w:val="0"/>
        <w:spacing w:before="0" w:after="0"/>
        <w:rPr/>
      </w:pPr>
      <w:r>
        <w:rPr/>
        <w:t>Versione modelo, datos, prompts, recuperación, herramientas, código, infraestructura, políticas, evaluación, aprobaciones y seguimiento.</w:t>
      </w:r>
    </w:p>
    <w:p>
      <w:pPr>
        <w:pStyle w:val="BodyText"/>
        <w:numPr>
          <w:ilvl w:val="0"/>
          <w:numId w:val="38"/>
        </w:numPr>
        <w:bidi w:val="0"/>
        <w:spacing w:before="0" w:after="0"/>
        <w:rPr/>
      </w:pPr>
      <w:r>
        <w:rPr/>
        <w:t>Defina disparadores de cambio material y alcance de regresión; despliegue gradualmente con capacidad de reversión.</w:t>
      </w:r>
    </w:p>
    <w:p>
      <w:pPr>
        <w:pStyle w:val="BodyText"/>
        <w:numPr>
          <w:ilvl w:val="0"/>
          <w:numId w:val="38"/>
        </w:numPr>
        <w:bidi w:val="0"/>
        <w:spacing w:before="0" w:after="0"/>
        <w:rPr/>
      </w:pPr>
      <w:r>
        <w:rPr/>
        <w:t>Retire usuarios, identidades, integraciones, endpoints, modelos, conjuntos de datos, índices, logs, documentación, contratos y copias del proveedor conforme a obligaciones; preserve los registros requeridos.</w:t>
      </w:r>
    </w:p>
    <w:p>
      <w:pPr>
        <w:pStyle w:val="Heading1"/>
        <w:tabs>
          <w:tab w:val="clear" w:pos="709"/>
          <w:tab w:val="left" w:pos="0" w:leader="none"/>
        </w:tabs>
        <w:bidi w:val="0"/>
        <w:ind w:hanging="0" w:start="0"/>
        <w:jc w:val="left"/>
        <w:rPr/>
        <w:keepNext/>
      </w:pPr>
      <w:bookmarkStart w:id="70" w:name="anexo-a.7-datos-para-sistemas-de-ia"/>
      <w:r>
        <w:rPr/>
        <w:t>26. Anexo A.7: Datos para sistemas de IA</w:t>
      </w:r>
      <w:bookmarkEnd w:id="70"/>
    </w:p>
    <w:p>
      <w:pPr>
        <w:pStyle w:val="Firstparagraph"/>
        <w:bidi w:val="0"/>
        <w:rPr>
          <w:i/>
          <w:iCs/>
        </w:rPr>
      </w:pPr>
      <w:r>
        <w:rPr>
          <w:i/>
          <w:iCs/>
        </w:rPr>
        <w:t>Cuando los controles del Anexo A.7 se seleccionan mediante el tratamiento de riesgos y la Declaración de Aplicabilidad de la organización, su implementación debe gobernar la adquisición, calidad, procedencia y preparación de datos para el desarrollo, la mejora y la operación de IA.</w:t>
      </w:r>
    </w:p>
    <w:p>
      <w:pPr>
        <w:pStyle w:val="FigureWithCaption"/>
        <w:keepNext w:val="true"/>
        <w:suppressLineNumbers/>
        <w:bidi w:val="0"/>
        <w:rPr/>
      </w:pPr>
      <w:r>
        <w:rPr/>
        <w:drawing>
          <wp:inline distT="0" distB="0" distL="0" distR="0">
            <wp:extent cx="5623560" cy="2955925"/>
            <wp:effectExtent l="0" t="0" r="0" b="0"/>
            <wp:docPr id="7" name="Manual 02 Figure 7" title="Figure 7" descr="El flujo de evidencia recomendado conecta la fuente y la autoridad con las transformaciones, la calidad, el uso, la retención y la elimin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7"/>
                    <pic:cNvPicPr>
                      <a:picLocks noChangeAspect="1" noChangeArrowheads="1"/>
                    </pic:cNvPicPr>
                  </pic:nvPicPr>
                  <pic:blipFill>
                    <a:blip r:embed="rId14">
                      <a:extLst>
                        <a:ext uri="{96DAC541-7B7A-43D3-8B79-37D633B846F1}">
                          <asvg:svgBlip xmlns:asvg="http://schemas.microsoft.com/office/drawing/2016/SVG/main" r:embed="rId15"/>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keepNext/>
      </w:pPr>
      <w:r>
        <w:rPr/>
        <w:t>El flujo de evidencia recomendado conecta la fuente y la autoridad con las transformaciones, la calidad, el uso, la retención y la eliminación.</w:t>
      </w:r>
    </w:p>
    <w:p>
      <w:pPr>
        <w:pStyle w:val="Caption"/>
        <w:bidi w:val="0"/>
        <w:spacing w:before="86" w:after="86"/>
        <w:rPr/>
        <w:keepNext/>
      </w:pPr>
      <w:r>
        <w:rPr/>
        <w:t>Figura 7. Cadena de evidencia de datos de IA</w:t>
      </w:r>
    </w:p>
    <w:p>
      <w:pPr>
        <w:pStyle w:val="BlockQuotation"/>
        <w:bidi w:val="0"/>
        <w:ind w:hanging="0" w:start="720" w:end="0"/>
        <w:rPr/>
      </w:pPr>
      <w:r>
        <w:rPr>
          <w:b/>
          <w:bCs/>
        </w:rPr>
        <w:t>Explicación accesible:</w:t>
      </w:r>
      <w:r>
        <w:rPr/>
        <w:t xml:space="preserve"> La cadena de evidencia sigue los datos desde su origen, autoridad y derechos, pasando por adquisición, transformación, etiquetado, calidad, versionado y uso, hasta retención o eliminación. Debe permitir reproducir qué datos sustentaron cada versión y decisión relevante.</w:t>
      </w:r>
    </w:p>
    <w:p>
      <w:pPr>
        <w:pStyle w:val="Heading2"/>
        <w:tabs>
          <w:tab w:val="clear" w:pos="709"/>
          <w:tab w:val="left" w:pos="0" w:leader="none"/>
        </w:tabs>
        <w:bidi w:val="0"/>
        <w:ind w:hanging="0" w:start="0"/>
        <w:jc w:val="left"/>
        <w:rPr/>
        <w:keepNext/>
      </w:pPr>
      <w:bookmarkStart w:id="71" w:name="controles-de-datos"/>
      <w:r>
        <w:rPr/>
        <w:t>26.1 Controles de datos</w:t>
      </w:r>
      <w:bookmarkEnd w:id="71"/>
    </w:p>
    <w:p>
      <w:pPr>
        <w:pStyle w:val="BodyText"/>
        <w:numPr>
          <w:ilvl w:val="0"/>
          <w:numId w:val="39"/>
        </w:numPr>
        <w:bidi w:val="0"/>
        <w:spacing w:before="0" w:after="0"/>
        <w:rPr/>
      </w:pPr>
      <w:r>
        <w:rPr/>
        <w:t>Defina requisitos de gestión de datos para privacidad, seguridad, representatividad, explicabilidad, procedencia, exactitud, integridad, disponibilidad, retención y eliminación según corresponda.</w:t>
      </w:r>
    </w:p>
    <w:p>
      <w:pPr>
        <w:pStyle w:val="BodyText"/>
        <w:numPr>
          <w:ilvl w:val="0"/>
          <w:numId w:val="39"/>
        </w:numPr>
        <w:bidi w:val="0"/>
        <w:spacing w:before="0" w:after="0"/>
        <w:rPr/>
      </w:pPr>
      <w:r>
        <w:rPr/>
        <w:t>Documente adquisición/selección: fuente, método, personas/población, derechos/licencia, propósito anterior, consentimiento/autoridad cuando aplique, metadatos, fecha, restricciones y sesgos conocidos.</w:t>
      </w:r>
    </w:p>
    <w:p>
      <w:pPr>
        <w:pStyle w:val="BodyText"/>
        <w:numPr>
          <w:ilvl w:val="0"/>
          <w:numId w:val="39"/>
        </w:numPr>
        <w:bidi w:val="0"/>
        <w:spacing w:before="0" w:after="0"/>
        <w:rPr/>
      </w:pPr>
      <w:r>
        <w:rPr/>
        <w:t>Establezca criterios y umbrales de calidad específicos del uso para exactitud, completitud, coherencia, vigencia, unicidad, validez, representatividad, etiquetas y cobertura de subgrupos.</w:t>
      </w:r>
    </w:p>
    <w:p>
      <w:pPr>
        <w:pStyle w:val="BodyText"/>
        <w:numPr>
          <w:ilvl w:val="0"/>
          <w:numId w:val="39"/>
        </w:numPr>
        <w:bidi w:val="0"/>
        <w:spacing w:before="0" w:after="0"/>
        <w:rPr/>
      </w:pPr>
      <w:r>
        <w:rPr/>
        <w:t>Preserve procedencia a través de creación, adquisición, transferencia, transformación, etiquetado, aumento, filtrado, versionado, validación, uso, intercambio, corrección y eliminación.</w:t>
      </w:r>
    </w:p>
    <w:p>
      <w:pPr>
        <w:pStyle w:val="BodyText"/>
        <w:numPr>
          <w:ilvl w:val="0"/>
          <w:numId w:val="39"/>
        </w:numPr>
        <w:bidi w:val="0"/>
        <w:spacing w:before="0" w:after="0"/>
        <w:rPr/>
      </w:pPr>
      <w:r>
        <w:rPr/>
        <w:t>Documente métodos de preparación, código/herramienta/versión, parámetros, personas, comprobaciones de calidad, justificación, salidas y reproducibilidad.</w:t>
      </w:r>
    </w:p>
    <w:p>
      <w:pPr>
        <w:pStyle w:val="BodyText"/>
        <w:numPr>
          <w:ilvl w:val="0"/>
          <w:numId w:val="39"/>
        </w:numPr>
        <w:bidi w:val="0"/>
        <w:spacing w:before="0" w:after="0"/>
        <w:rPr/>
      </w:pPr>
      <w:r>
        <w:rPr/>
        <w:t>Separe y proteja conjuntos de entrenamiento, validación, prueba, producción, seguimiento e incidentes; evite contaminación del conjunto de evaluación.</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Evidencia de datos</w:t>
            </w:r>
          </w:p>
        </w:tc>
        <w:tc>
          <w:tcPr>
            <w:tcW w:w="4680" w:type="dxa"/>
            <w:tcBorders/>
            <w:vAlign w:val="center"/>
            <w:shd w:fill="1F4E78"/>
          </w:tcPr>
          <w:p>
            <w:pPr>
              <w:pStyle w:val="TableHeading"/>
              <w:bidi w:val="0"/>
              <w:spacing w:before="0" w:after="40"/>
              <w:rPr>
                <w:b/>
                <w:bCs/>
              </w:rPr>
            </w:pPr>
            <w:r>
              <w:rPr>
                <w:b/>
                <w:bCs/>
                <w:sz w:val="19"/>
                <w:color w:val="FFFFFF"/>
              </w:rPr>
              <w:t>Prueba</w:t>
            </w:r>
          </w:p>
        </w:tc>
      </w:tr>
      <w:tr>
        <w:trPr>
          <w:cantSplit/>
        </w:trPr>
        <w:tc>
          <w:tcPr>
            <w:tcW w:w="4680" w:type="dxa"/>
            <w:tcBorders/>
            <w:vAlign w:val="center"/>
          </w:tcPr>
          <w:p>
            <w:pPr>
              <w:pStyle w:val="TableContents"/>
              <w:suppressLineNumbers/>
              <w:bidi w:val="0"/>
              <w:spacing w:before="0" w:after="40"/>
              <w:ind w:hanging="0" w:start="43" w:end="43"/>
              <w:rPr/>
            </w:pPr>
            <w:r>
              <w:rPr>
                <w:sz w:val="19"/>
              </w:rPr>
              <w:t>Ficha de conjunto/datos</w:t>
            </w:r>
          </w:p>
        </w:tc>
        <w:tc>
          <w:tcPr>
            <w:tcW w:w="4680" w:type="dxa"/>
            <w:tcBorders/>
            <w:vAlign w:val="center"/>
          </w:tcPr>
          <w:p>
            <w:pPr>
              <w:pStyle w:val="TableContents"/>
              <w:suppressLineNumbers/>
              <w:bidi w:val="0"/>
              <w:spacing w:before="0" w:after="40"/>
              <w:ind w:hanging="0" w:start="43" w:end="43"/>
              <w:rPr/>
            </w:pPr>
            <w:r>
              <w:rPr>
                <w:sz w:val="19"/>
              </w:rPr>
              <w:t>Trazar propósito, población, campos, fuente, derechos, calidad, limitaciones y propietario</w:t>
            </w:r>
          </w:p>
        </w:tc>
      </w:tr>
      <w:tr>
        <w:trPr>
          <w:cantSplit/>
        </w:trPr>
        <w:tc>
          <w:tcPr>
            <w:tcW w:w="4680" w:type="dxa"/>
            <w:tcBorders/>
            <w:vAlign w:val="center"/>
          </w:tcPr>
          <w:p>
            <w:pPr>
              <w:pStyle w:val="TableContents"/>
              <w:suppressLineNumbers/>
              <w:bidi w:val="0"/>
              <w:spacing w:before="0" w:after="40"/>
              <w:ind w:hanging="0" w:start="43" w:end="43"/>
              <w:rPr/>
            </w:pPr>
            <w:r>
              <w:rPr>
                <w:sz w:val="19"/>
              </w:rPr>
              <w:t>Linaje</w:t>
            </w:r>
          </w:p>
        </w:tc>
        <w:tc>
          <w:tcPr>
            <w:tcW w:w="4680" w:type="dxa"/>
            <w:tcBorders/>
            <w:vAlign w:val="center"/>
          </w:tcPr>
          <w:p>
            <w:pPr>
              <w:pStyle w:val="TableContents"/>
              <w:suppressLineNumbers/>
              <w:bidi w:val="0"/>
              <w:spacing w:before="0" w:after="40"/>
              <w:ind w:hanging="0" w:start="43" w:end="43"/>
              <w:rPr/>
            </w:pPr>
            <w:r>
              <w:rPr>
                <w:sz w:val="19"/>
              </w:rPr>
              <w:t>Reproducir transformaciones de fuente a característica y versión</w:t>
            </w:r>
          </w:p>
        </w:tc>
      </w:tr>
      <w:tr>
        <w:trPr>
          <w:cantSplit/>
        </w:trPr>
        <w:tc>
          <w:tcPr>
            <w:tcW w:w="4680" w:type="dxa"/>
            <w:tcBorders/>
            <w:vAlign w:val="center"/>
          </w:tcPr>
          <w:p>
            <w:pPr>
              <w:pStyle w:val="TableContents"/>
              <w:suppressLineNumbers/>
              <w:bidi w:val="0"/>
              <w:spacing w:before="0" w:after="40"/>
              <w:ind w:hanging="0" w:start="43" w:end="43"/>
              <w:rPr/>
            </w:pPr>
            <w:r>
              <w:rPr>
                <w:sz w:val="19"/>
              </w:rPr>
              <w:t>Resultado de calidad</w:t>
            </w:r>
          </w:p>
        </w:tc>
        <w:tc>
          <w:tcPr>
            <w:tcW w:w="4680" w:type="dxa"/>
            <w:tcBorders/>
            <w:vAlign w:val="center"/>
          </w:tcPr>
          <w:p>
            <w:pPr>
              <w:pStyle w:val="TableContents"/>
              <w:suppressLineNumbers/>
              <w:bidi w:val="0"/>
              <w:spacing w:before="0" w:after="40"/>
              <w:ind w:hanging="0" w:start="43" w:end="43"/>
              <w:rPr/>
            </w:pPr>
            <w:r>
              <w:rPr>
                <w:sz w:val="19"/>
              </w:rPr>
              <w:t>Verificar población/muestra, reglas, fallas, corrección y aprobación</w:t>
            </w:r>
          </w:p>
        </w:tc>
      </w:tr>
      <w:tr>
        <w:trPr>
          <w:cantSplit/>
        </w:trPr>
        <w:tc>
          <w:tcPr>
            <w:tcW w:w="4680" w:type="dxa"/>
            <w:tcBorders/>
            <w:vAlign w:val="center"/>
          </w:tcPr>
          <w:p>
            <w:pPr>
              <w:pStyle w:val="TableContents"/>
              <w:suppressLineNumbers/>
              <w:bidi w:val="0"/>
              <w:spacing w:before="0" w:after="40"/>
              <w:ind w:hanging="0" w:start="43" w:end="43"/>
              <w:rPr/>
            </w:pPr>
            <w:r>
              <w:rPr>
                <w:sz w:val="19"/>
              </w:rPr>
              <w:t>Acceso/retención</w:t>
            </w:r>
          </w:p>
        </w:tc>
        <w:tc>
          <w:tcPr>
            <w:tcW w:w="4680" w:type="dxa"/>
            <w:tcBorders/>
            <w:vAlign w:val="center"/>
          </w:tcPr>
          <w:p>
            <w:pPr>
              <w:pStyle w:val="TableContents"/>
              <w:suppressLineNumbers/>
              <w:bidi w:val="0"/>
              <w:spacing w:before="0" w:after="40"/>
              <w:ind w:hanging="0" w:start="43" w:end="43"/>
              <w:rPr/>
            </w:pPr>
            <w:r>
              <w:rPr>
                <w:sz w:val="19"/>
              </w:rPr>
              <w:t>Muestrear concesiones, revisiones, retiros, uso, copias y eliminación</w:t>
            </w:r>
          </w:p>
        </w:tc>
      </w:tr>
      <w:tr>
        <w:trPr>
          <w:cantSplit/>
        </w:trPr>
        <w:tc>
          <w:tcPr>
            <w:tcW w:w="4680" w:type="dxa"/>
            <w:tcBorders/>
            <w:vAlign w:val="center"/>
          </w:tcPr>
          <w:p>
            <w:pPr>
              <w:pStyle w:val="TableContents"/>
              <w:suppressLineNumbers/>
              <w:bidi w:val="0"/>
              <w:spacing w:before="0" w:after="40"/>
              <w:ind w:hanging="0" w:start="43" w:end="43"/>
              <w:rPr/>
            </w:pPr>
            <w:r>
              <w:rPr>
                <w:sz w:val="19"/>
              </w:rPr>
              <w:t>Sesgo/representación</w:t>
            </w:r>
          </w:p>
        </w:tc>
        <w:tc>
          <w:tcPr>
            <w:tcW w:w="4680" w:type="dxa"/>
            <w:tcBorders/>
            <w:vAlign w:val="center"/>
          </w:tcPr>
          <w:p>
            <w:pPr>
              <w:pStyle w:val="TableContents"/>
              <w:suppressLineNumbers/>
              <w:bidi w:val="0"/>
              <w:spacing w:before="0" w:after="40"/>
              <w:ind w:hanging="0" w:start="43" w:end="43"/>
              <w:rPr/>
            </w:pPr>
            <w:r>
              <w:rPr>
                <w:sz w:val="19"/>
              </w:rPr>
              <w:t>Comprobar grupos pertinentes, historia, proxies, etiquetas, brechas y mitigación</w:t>
            </w:r>
          </w:p>
        </w:tc>
      </w:tr>
    </w:tbl>
    <w:p>
      <w:pPr>
        <w:pStyle w:val="Heading1"/>
        <w:tabs>
          <w:tab w:val="clear" w:pos="709"/>
          <w:tab w:val="left" w:pos="0" w:leader="none"/>
        </w:tabs>
        <w:bidi w:val="0"/>
        <w:ind w:hanging="0" w:start="0"/>
        <w:jc w:val="left"/>
        <w:rPr/>
        <w:keepNext/>
      </w:pPr>
      <w:bookmarkStart w:id="72" w:name="anexo-a.8-información-para-partes-intere"/>
      <w:r>
        <w:rPr/>
        <w:t>27. Anexo A.8: Información para partes interesadas</w:t>
      </w:r>
      <w:bookmarkEnd w:id="72"/>
    </w:p>
    <w:p>
      <w:pPr>
        <w:pStyle w:val="Firstparagraph"/>
        <w:bidi w:val="0"/>
        <w:rPr>
          <w:i/>
          <w:iCs/>
        </w:rPr>
      </w:pPr>
      <w:r>
        <w:rPr>
          <w:i/>
          <w:iCs/>
        </w:rPr>
        <w:t>Cuando los controles del Anexo A.8 se seleccionan mediante el tratamiento de riesgos y la Declaración de Aplicabilidad de la organización, su implementación debe proporcionar información útil para usuarios y partes interesadas, junto con el reporte y la comunicación de incidentes.</w:t>
      </w:r>
    </w:p>
    <w:p>
      <w:pPr>
        <w:pStyle w:val="FigureWithCaption"/>
        <w:keepNext w:val="true"/>
        <w:suppressLineNumbers/>
        <w:bidi w:val="0"/>
        <w:rPr/>
      </w:pPr>
      <w:r>
        <w:rPr/>
        <w:drawing>
          <wp:inline distT="0" distB="0" distL="0" distR="0">
            <wp:extent cx="5623560" cy="2955925"/>
            <wp:effectExtent l="0" t="0" r="0" b="0"/>
            <wp:docPr id="8" name="Manual 02 Figure 8" title="Figure 8" descr="La transparencia es comunicación específica para cada audiencia que permite uso seguro, rendición de cuentas y repa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g8"/>
                    <pic:cNvPicPr>
                      <a:picLocks noChangeAspect="1" noChangeArrowheads="1"/>
                    </pic:cNvPicPr>
                  </pic:nvPicPr>
                  <pic:blipFill>
                    <a:blip r:embed="rId16">
                      <a:extLst>
                        <a:ext uri="{96DAC541-7B7A-43D3-8B79-37D633B846F1}">
                          <asvg:svgBlip xmlns:asvg="http://schemas.microsoft.com/office/drawing/2016/SVG/main" r:embed="rId17"/>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keepNext/>
      </w:pPr>
      <w:r>
        <w:rPr/>
        <w:t>La transparencia es comunicación específica para cada audiencia que permite uso seguro, rendición de cuentas y reparación.</w:t>
      </w:r>
    </w:p>
    <w:p>
      <w:pPr>
        <w:pStyle w:val="Caption"/>
        <w:bidi w:val="0"/>
        <w:spacing w:before="86" w:after="86"/>
        <w:rPr/>
        <w:keepNext/>
      </w:pPr>
      <w:r>
        <w:rPr/>
        <w:t>Figura 8. Información para partes interesadas</w:t>
      </w:r>
    </w:p>
    <w:p>
      <w:pPr>
        <w:pStyle w:val="BlockQuotation"/>
        <w:bidi w:val="0"/>
        <w:ind w:hanging="0" w:start="720" w:end="0"/>
        <w:rPr/>
      </w:pPr>
      <w:r>
        <w:rPr>
          <w:b/>
          <w:bCs/>
        </w:rPr>
        <w:t>Explicación accesible:</w:t>
      </w:r>
      <w:r>
        <w:rPr/>
        <w:t xml:space="preserve"> La información debe adaptarse a la audiencia. Usuarios necesitan propósito, capacidades y límites; personas afectadas necesitan saber cómo interviene la IA y cómo solicitar revisión o reparación; clientes, reguladores y público reciben información proporcional a sus responsabilidades y riesgos.</w:t>
      </w:r>
    </w:p>
    <w:p>
      <w:pPr>
        <w:pStyle w:val="Heading2"/>
        <w:tabs>
          <w:tab w:val="clear" w:pos="709"/>
          <w:tab w:val="left" w:pos="0" w:leader="none"/>
        </w:tabs>
        <w:bidi w:val="0"/>
        <w:ind w:hanging="0" w:start="0"/>
        <w:jc w:val="left"/>
        <w:rPr/>
        <w:keepNext/>
      </w:pPr>
      <w:bookmarkStart w:id="73" w:name="paquete-de-información"/>
      <w:r>
        <w:rPr/>
        <w:t>27.1 Paquete de información</w:t>
      </w:r>
      <w:bookmarkEnd w:id="73"/>
    </w:p>
    <w:p>
      <w:pPr>
        <w:pStyle w:val="BodyText"/>
        <w:numPr>
          <w:ilvl w:val="0"/>
          <w:numId w:val="40"/>
        </w:numPr>
        <w:bidi w:val="0"/>
        <w:spacing w:before="0" w:after="0"/>
        <w:rPr/>
      </w:pPr>
      <w:r>
        <w:rPr/>
        <w:t>Usuarios: propósito previsto, capacidades, limitaciones, entradas/salidas esperadas, uso prohibido, verificación, supervisión humana, seguimiento, escalamiento y soporte.</w:t>
      </w:r>
    </w:p>
    <w:p>
      <w:pPr>
        <w:pStyle w:val="BodyText"/>
        <w:numPr>
          <w:ilvl w:val="0"/>
          <w:numId w:val="40"/>
        </w:numPr>
        <w:bidi w:val="0"/>
        <w:spacing w:before="0" w:after="0"/>
        <w:rPr/>
      </w:pPr>
      <w:r>
        <w:rPr/>
        <w:t>Personas afectadas: que se utiliza IA cuando corresponda, su papel en la decisión, factores/limitaciones importantes, datos y derechos, revisión humana, corrección, apelación, queja y reparación.</w:t>
      </w:r>
    </w:p>
    <w:p>
      <w:pPr>
        <w:pStyle w:val="BodyText"/>
        <w:numPr>
          <w:ilvl w:val="0"/>
          <w:numId w:val="40"/>
        </w:numPr>
        <w:bidi w:val="0"/>
        <w:spacing w:before="0" w:after="0"/>
        <w:rPr/>
      </w:pPr>
      <w:r>
        <w:rPr/>
        <w:t>Clientes/socios: responsabilidades, configuración, datos, dependencias de control, evidencia, incidentes, cambios, soporte y salida.</w:t>
      </w:r>
    </w:p>
    <w:p>
      <w:pPr>
        <w:pStyle w:val="BodyText"/>
        <w:numPr>
          <w:ilvl w:val="0"/>
          <w:numId w:val="40"/>
        </w:numPr>
        <w:bidi w:val="0"/>
        <w:spacing w:before="0" w:after="0"/>
        <w:rPr/>
      </w:pPr>
      <w:r>
        <w:rPr/>
        <w:t>Reguladores/auditores: documentación controlada, alcance, evaluaciones, controles, resultados de pruebas, incidentes, cambios, hallazgos y acción correctiva según se requiera.</w:t>
      </w:r>
    </w:p>
    <w:p>
      <w:pPr>
        <w:pStyle w:val="BodyText"/>
        <w:numPr>
          <w:ilvl w:val="0"/>
          <w:numId w:val="40"/>
        </w:numPr>
        <w:bidi w:val="0"/>
        <w:spacing w:before="0" w:after="0"/>
        <w:rPr/>
      </w:pPr>
      <w:r>
        <w:rPr/>
        <w:t>Público: transparencia proporcional, impactos significativos, gobierno, información de seguridad, contacto e informes cuando corresponda.</w:t>
      </w:r>
    </w:p>
    <w:p>
      <w:pPr>
        <w:pStyle w:val="Heading2"/>
        <w:tabs>
          <w:tab w:val="clear" w:pos="709"/>
          <w:tab w:val="left" w:pos="0" w:leader="none"/>
        </w:tabs>
        <w:bidi w:val="0"/>
        <w:ind w:hanging="0" w:start="0"/>
        <w:jc w:val="left"/>
        <w:rPr/>
        <w:keepNext/>
      </w:pPr>
      <w:bookmarkStart w:id="74" w:name="reporte-externo-e-incidentes"/>
      <w:r>
        <w:rPr/>
        <w:t>27.2 Reporte externo e incidentes</w:t>
      </w:r>
      <w:bookmarkEnd w:id="74"/>
    </w:p>
    <w:p>
      <w:pPr>
        <w:pStyle w:val="BodyText"/>
        <w:numPr>
          <w:ilvl w:val="0"/>
          <w:numId w:val="41"/>
        </w:numPr>
        <w:bidi w:val="0"/>
        <w:spacing w:before="0" w:after="0"/>
        <w:rPr/>
      </w:pPr>
      <w:r>
        <w:rPr/>
        <w:t>Proporcione canales accesibles para reportar errores, daños, sesgo, preocupaciones de seguridad/privacidad, uso indebido, problemas de accesibilidad o efectos inesperados.</w:t>
      </w:r>
    </w:p>
    <w:p>
      <w:pPr>
        <w:pStyle w:val="BodyText"/>
        <w:numPr>
          <w:ilvl w:val="0"/>
          <w:numId w:val="41"/>
        </w:numPr>
        <w:bidi w:val="0"/>
        <w:spacing w:before="0" w:after="0"/>
        <w:rPr/>
      </w:pPr>
      <w:r>
        <w:rPr/>
        <w:t>Defina triaje, gravedad, investigación, protección, retroalimentación, corrección, reparación, escalamiento, retención y análisis de tendencias.</w:t>
      </w:r>
    </w:p>
    <w:p>
      <w:pPr>
        <w:pStyle w:val="BodyText"/>
        <w:numPr>
          <w:ilvl w:val="0"/>
          <w:numId w:val="41"/>
        </w:numPr>
        <w:bidi w:val="0"/>
        <w:spacing w:before="0" w:after="0"/>
        <w:rPr/>
      </w:pPr>
      <w:r>
        <w:rPr/>
        <w:t>Predefina audiencias de incidentes, contenido, propietario/portavoz, revisión legal, momento, canal, accesibilidad, coordinación, actualizaciones y cierre.</w:t>
      </w:r>
    </w:p>
    <w:p>
      <w:pPr>
        <w:pStyle w:val="BodyText"/>
        <w:numPr>
          <w:ilvl w:val="0"/>
          <w:numId w:val="41"/>
        </w:numPr>
        <w:bidi w:val="0"/>
        <w:spacing w:before="0" w:after="0"/>
        <w:rPr/>
      </w:pPr>
      <w:r>
        <w:rPr/>
        <w:t>No divulgue en exceso información sensible de seguridad o datos personales; tampoco oculte limitaciones materiales detrás de la confidencialidad.</w:t>
      </w:r>
    </w:p>
    <w:p>
      <w:pPr>
        <w:pStyle w:val="Heading1"/>
        <w:tabs>
          <w:tab w:val="clear" w:pos="709"/>
          <w:tab w:val="left" w:pos="0" w:leader="none"/>
        </w:tabs>
        <w:bidi w:val="0"/>
        <w:ind w:hanging="0" w:start="0"/>
        <w:jc w:val="left"/>
        <w:rPr/>
        <w:keepNext/>
      </w:pPr>
      <w:bookmarkStart w:id="75" w:name="anexos-a.9-y-a.10-uso-responsable-provee"/>
      <w:r>
        <w:rPr/>
        <w:t>28. Anexos A.9 y A.10: Uso responsable, proveedores y clientes</w:t>
      </w:r>
      <w:bookmarkEnd w:id="75"/>
    </w:p>
    <w:p>
      <w:pPr>
        <w:pStyle w:val="Firstparagraph"/>
        <w:bidi w:val="0"/>
        <w:rPr>
          <w:i/>
          <w:iCs/>
        </w:rPr>
      </w:pPr>
      <w:r>
        <w:rPr>
          <w:i/>
          <w:iCs/>
        </w:rPr>
        <w:t>El Anexo A.9 gobierna el uso responsable y el propósito previsto; el Anexo A.10 asigna deberes entre proveedores, clientes y la cadena de valor de IA.</w:t>
      </w:r>
    </w:p>
    <w:p>
      <w:pPr>
        <w:pStyle w:val="FigureWithCaption"/>
        <w:keepNext w:val="true"/>
        <w:suppressLineNumbers/>
        <w:bidi w:val="0"/>
        <w:rPr/>
      </w:pPr>
      <w:r>
        <w:rPr/>
        <w:drawing>
          <wp:inline distT="0" distB="0" distL="0" distR="0">
            <wp:extent cx="5623560" cy="2955925"/>
            <wp:effectExtent l="0" t="0" r="0" b="0"/>
            <wp:docPr id="9" name="Manual 02 Figure 9" title="Figure 9" descr="El aseguramiento de proveedores basado en riesgos corresponde al modelo, servicio, uso, flujo de datos y configuración exactos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g9"/>
                    <pic:cNvPicPr>
                      <a:picLocks noChangeAspect="1" noChangeArrowheads="1"/>
                    </pic:cNvPicPr>
                  </pic:nvPicPr>
                  <pic:blipFill>
                    <a:blip r:embed="rId18">
                      <a:extLst>
                        <a:ext uri="{96DAC541-7B7A-43D3-8B79-37D633B846F1}">
                          <asvg:svgBlip xmlns:asvg="http://schemas.microsoft.com/office/drawing/2016/SVG/main" r:embed="rId19"/>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keepNext/>
      </w:pPr>
      <w:r>
        <w:rPr/>
        <w:t>El aseguramiento de proveedores basado en riesgos corresponde al modelo, servicio, uso, flujo de datos y configuración exactos del cliente.</w:t>
      </w:r>
    </w:p>
    <w:p>
      <w:pPr>
        <w:pStyle w:val="Caption"/>
        <w:bidi w:val="0"/>
        <w:spacing w:before="86" w:after="86"/>
        <w:rPr/>
        <w:keepNext/>
      </w:pPr>
      <w:r>
        <w:rPr/>
        <w:t>Figura 9. Ciclo de vida de IA de terceros</w:t>
      </w:r>
    </w:p>
    <w:p>
      <w:pPr>
        <w:pStyle w:val="BlockQuotation"/>
        <w:bidi w:val="0"/>
        <w:ind w:hanging="0" w:start="720" w:end="0"/>
        <w:rPr/>
      </w:pPr>
      <w:r>
        <w:rPr>
          <w:b/>
          <w:bCs/>
        </w:rPr>
        <w:t>Explicación accesible:</w:t>
      </w:r>
      <w:r>
        <w:rPr/>
        <w:t xml:space="preserve"> El control de terceros comienza identificando actores y responsabilidades, sigue con debida diligencia y contratos, supervisa cambios del proveedor y termina con continuidad, portabilidad, eliminación y salida. La responsabilidad no puede transferirse mediante lenguaje contractual ambiguo.</w:t>
      </w:r>
    </w:p>
    <w:p>
      <w:pPr>
        <w:pStyle w:val="Heading2"/>
        <w:tabs>
          <w:tab w:val="clear" w:pos="709"/>
          <w:tab w:val="left" w:pos="0" w:leader="none"/>
        </w:tabs>
        <w:bidi w:val="0"/>
        <w:ind w:hanging="0" w:start="0"/>
        <w:jc w:val="left"/>
        <w:rPr/>
        <w:keepNext/>
      </w:pPr>
      <w:bookmarkStart w:id="76" w:name="uso-responsable"/>
      <w:r>
        <w:rPr/>
        <w:t>28.1 Uso responsable</w:t>
      </w:r>
      <w:bookmarkEnd w:id="76"/>
    </w:p>
    <w:p>
      <w:pPr>
        <w:pStyle w:val="BodyText"/>
        <w:numPr>
          <w:ilvl w:val="0"/>
          <w:numId w:val="42"/>
        </w:numPr>
        <w:bidi w:val="0"/>
        <w:spacing w:before="0" w:after="0"/>
        <w:rPr/>
      </w:pPr>
      <w:r>
        <w:rPr/>
        <w:t>Defina usos aprobados y prohibidos, usuarios, datos, resultados, decisiones, autonomía, verificación, supervisión humana, logging, soporte, incidente y condiciones de detención.</w:t>
      </w:r>
    </w:p>
    <w:p>
      <w:pPr>
        <w:pStyle w:val="BodyText"/>
        <w:numPr>
          <w:ilvl w:val="0"/>
          <w:numId w:val="42"/>
        </w:numPr>
        <w:bidi w:val="0"/>
        <w:spacing w:before="0" w:after="0"/>
        <w:rPr/>
      </w:pPr>
      <w:r>
        <w:rPr/>
        <w:t>Establezca objetivos medibles de uso responsable vinculados a impactos y riesgos pertinentes.</w:t>
      </w:r>
    </w:p>
    <w:p>
      <w:pPr>
        <w:pStyle w:val="BodyText"/>
        <w:numPr>
          <w:ilvl w:val="0"/>
          <w:numId w:val="42"/>
        </w:numPr>
        <w:bidi w:val="0"/>
        <w:spacing w:before="0" w:after="0"/>
        <w:rPr/>
      </w:pPr>
      <w:r>
        <w:rPr/>
        <w:t>Capacite a usuarios y supervisores; haga cumplir mediante identidad, configuración, interfaces, política, seguimiento, revisión y consecuencias.</w:t>
      </w:r>
    </w:p>
    <w:p>
      <w:pPr>
        <w:pStyle w:val="BodyText"/>
        <w:numPr>
          <w:ilvl w:val="0"/>
          <w:numId w:val="42"/>
        </w:numPr>
        <w:bidi w:val="0"/>
        <w:spacing w:before="0" w:after="0"/>
        <w:rPr/>
      </w:pPr>
      <w:r>
        <w:rPr/>
        <w:t>Detecte expansión no controlada del alcance y exija reevaluación antes de reutilización, ampliación, nuevas poblaciones, mayor impacto o nuevas integraciones/herramientas.</w:t>
      </w:r>
    </w:p>
    <w:p>
      <w:pPr>
        <w:pStyle w:val="Heading2"/>
        <w:tabs>
          <w:tab w:val="clear" w:pos="709"/>
          <w:tab w:val="left" w:pos="0" w:leader="none"/>
        </w:tabs>
        <w:bidi w:val="0"/>
        <w:ind w:hanging="0" w:start="0"/>
        <w:jc w:val="left"/>
        <w:rPr/>
        <w:keepNext/>
      </w:pPr>
      <w:bookmarkStart w:id="77" w:name="terceros-y-clientes"/>
      <w:r>
        <w:rPr/>
        <w:t>28.2 Terceros y clientes</w:t>
      </w:r>
      <w:bookmarkEnd w:id="77"/>
    </w:p>
    <w:p>
      <w:pPr>
        <w:pStyle w:val="BodyText"/>
        <w:numPr>
          <w:ilvl w:val="0"/>
          <w:numId w:val="43"/>
        </w:numPr>
        <w:bidi w:val="0"/>
        <w:spacing w:before="0" w:after="0"/>
        <w:rPr/>
      </w:pPr>
      <w:r>
        <w:rPr/>
        <w:t>Mapee desarrollador/proveedor/implementador, proveedores de datos/modelos/herramientas/nube, integradores, servicios humanos, clientes, usuarios y partes afectadas.</w:t>
      </w:r>
    </w:p>
    <w:p>
      <w:pPr>
        <w:pStyle w:val="BodyText"/>
        <w:numPr>
          <w:ilvl w:val="0"/>
          <w:numId w:val="43"/>
        </w:numPr>
        <w:bidi w:val="0"/>
        <w:spacing w:before="0" w:after="0"/>
        <w:rPr/>
      </w:pPr>
      <w:r>
        <w:rPr/>
        <w:t>Asigne responsabilidad por datos, requisitos, pruebas, configuración, transparencia, supervisión humana, seguridad, incidentes, seguimiento, cambio, evidencia, derechos, eliminación y salida.</w:t>
      </w:r>
    </w:p>
    <w:p>
      <w:pPr>
        <w:pStyle w:val="BodyText"/>
        <w:numPr>
          <w:ilvl w:val="0"/>
          <w:numId w:val="43"/>
        </w:numPr>
        <w:bidi w:val="0"/>
        <w:spacing w:before="0" w:after="0"/>
        <w:rPr/>
      </w:pPr>
      <w:r>
        <w:rPr/>
        <w:t>Realice debida diligencia y contratación basadas en riesgo; verifique documentación de modelo/sistema, evaluación, aseguramiento de seguridad/privacidad, términos de datos, PI, soporte, vulnerabilidades, cambios, subprocesadores, resiliencia y portabilidad.</w:t>
      </w:r>
    </w:p>
    <w:p>
      <w:pPr>
        <w:pStyle w:val="BodyText"/>
        <w:numPr>
          <w:ilvl w:val="0"/>
          <w:numId w:val="43"/>
        </w:numPr>
        <w:bidi w:val="0"/>
        <w:spacing w:before="0" w:after="0"/>
        <w:rPr/>
      </w:pPr>
      <w:r>
        <w:rPr/>
        <w:t>Supervise cambios del proveedor en modelo/términos/entrenamiento/retención/subprocesadores/incidentes/obsolescencia y reevalúe oportunamente.</w:t>
      </w:r>
    </w:p>
    <w:p>
      <w:pPr>
        <w:pStyle w:val="BodyText"/>
        <w:numPr>
          <w:ilvl w:val="0"/>
          <w:numId w:val="43"/>
        </w:numPr>
        <w:bidi w:val="0"/>
        <w:spacing w:before="0" w:after="0"/>
        <w:rPr/>
      </w:pPr>
      <w:r>
        <w:rPr/>
        <w:t>Defina obligaciones y soporte del cliente; no utilice la responsabilidad del cliente como transferencia vaga de deberes del proveedor.</w:t>
      </w:r>
    </w:p>
    <w:p>
      <w:pPr>
        <w:pStyle w:val="Heading1"/>
        <w:tabs>
          <w:tab w:val="clear" w:pos="709"/>
          <w:tab w:val="left" w:pos="0" w:leader="none"/>
        </w:tabs>
        <w:bidi w:val="0"/>
        <w:ind w:hanging="0" w:start="0"/>
        <w:jc w:val="left"/>
        <w:rPr/>
        <w:keepNext/>
      </w:pPr>
      <w:bookmarkStart w:id="78" w:name="certificación-isoiec-420062025-y-prepara"/>
      <w:r>
        <w:rPr/>
        <w:t>29. Certificación, ISO/IEC 42006:2025 y preparación para auditoría</w:t>
      </w:r>
      <w:bookmarkEnd w:id="78"/>
    </w:p>
    <w:p>
      <w:pPr>
        <w:pStyle w:val="Firstparagraph"/>
        <w:bidi w:val="0"/>
        <w:rPr>
          <w:i/>
          <w:iCs/>
        </w:rPr>
      </w:pPr>
      <w:r>
        <w:rPr>
          <w:i/>
          <w:iCs/>
        </w:rPr>
        <w:t>La certificación evalúa el SGIA frente a ISO/IEC 42001 dentro de un alcance definido; ISO/IEC 42006:2025 fortalece requisitos para organismos de certificación.</w:t>
      </w:r>
    </w:p>
    <w:p>
      <w:pPr>
        <w:pStyle w:val="Heading2"/>
        <w:tabs>
          <w:tab w:val="clear" w:pos="709"/>
          <w:tab w:val="left" w:pos="0" w:leader="none"/>
        </w:tabs>
        <w:bidi w:val="0"/>
        <w:ind w:hanging="0" w:start="0"/>
        <w:jc w:val="left"/>
        <w:rPr/>
        <w:keepNext/>
      </w:pPr>
      <w:bookmarkStart w:id="79" w:name="ruta-de-certificación"/>
      <w:r>
        <w:rPr/>
        <w:t>29.1 Ruta de certificación</w:t>
      </w:r>
      <w:bookmarkEnd w:id="79"/>
    </w:p>
    <w:p>
      <w:pPr>
        <w:pStyle w:val="BodyText"/>
        <w:numPr>
          <w:ilvl w:val="0"/>
          <w:numId w:val="44"/>
        </w:numPr>
        <w:bidi w:val="0"/>
        <w:spacing w:before="0" w:after="0"/>
        <w:rPr/>
      </w:pPr>
      <w:r>
        <w:rPr/>
        <w:t>Seleccione un organismo de certificación competente y verifique acreditación/estado, esquema, geografía, competencia, imparcialidad, capacidad de alcance y contrato.</w:t>
      </w:r>
    </w:p>
    <w:p>
      <w:pPr>
        <w:pStyle w:val="BodyText"/>
        <w:numPr>
          <w:ilvl w:val="0"/>
          <w:numId w:val="44"/>
        </w:numPr>
        <w:bidi w:val="0"/>
        <w:spacing w:before="0" w:after="0"/>
        <w:rPr/>
      </w:pPr>
      <w:r>
        <w:rPr/>
        <w:t>Solicitud y planificación: organización, alcance del SGIA, funciones, sitios, personas, sistemas, complejidad, procesos externalizados, normas y tiempo de auditoría.</w:t>
      </w:r>
    </w:p>
    <w:p>
      <w:pPr>
        <w:pStyle w:val="BodyText"/>
        <w:numPr>
          <w:ilvl w:val="0"/>
          <w:numId w:val="44"/>
        </w:numPr>
        <w:bidi w:val="0"/>
        <w:spacing w:before="0" w:after="0"/>
        <w:rPr/>
      </w:pPr>
      <w:r>
        <w:rPr/>
        <w:t>Etapa 1: preparación, alcance, sistema documentado, contexto, métodos de riesgo/impacto, Declaración de Aplicabilidad, auditoría interna, revisión por la dirección y preparación para Etapa 2.</w:t>
      </w:r>
    </w:p>
    <w:p>
      <w:pPr>
        <w:pStyle w:val="BodyText"/>
        <w:numPr>
          <w:ilvl w:val="0"/>
          <w:numId w:val="44"/>
        </w:numPr>
        <w:bidi w:val="0"/>
        <w:spacing w:before="0" w:after="0"/>
        <w:rPr/>
      </w:pPr>
      <w:r>
        <w:rPr/>
        <w:t>Etapa 2: implementación y eficacia operacional mediante entrevistas, muestras, registros, observación y trazabilidad.</w:t>
      </w:r>
    </w:p>
    <w:p>
      <w:pPr>
        <w:pStyle w:val="BodyText"/>
        <w:numPr>
          <w:ilvl w:val="0"/>
          <w:numId w:val="44"/>
        </w:numPr>
        <w:bidi w:val="0"/>
        <w:spacing w:before="0" w:after="0"/>
        <w:rPr/>
      </w:pPr>
      <w:r>
        <w:rPr/>
        <w:t>Resuelva no conformidades con corrección, causa, acción correctiva y evidencia de eficacia conforme a las reglas del esquema.</w:t>
      </w:r>
    </w:p>
    <w:p>
      <w:pPr>
        <w:pStyle w:val="BodyText"/>
        <w:numPr>
          <w:ilvl w:val="0"/>
          <w:numId w:val="44"/>
        </w:numPr>
        <w:bidi w:val="0"/>
        <w:spacing w:before="0" w:after="0"/>
        <w:rPr/>
      </w:pPr>
      <w:r>
        <w:rPr/>
        <w:t>Decisión de certificación, certificado, auditorías de vigilancia, cambios de alcance, recertificación, suspensión/retiro y mejora continua.</w:t>
      </w:r>
    </w:p>
    <w:p>
      <w:pPr>
        <w:pStyle w:val="Heading2"/>
        <w:tabs>
          <w:tab w:val="clear" w:pos="709"/>
          <w:tab w:val="left" w:pos="0" w:leader="none"/>
        </w:tabs>
        <w:bidi w:val="0"/>
        <w:ind w:hanging="0" w:start="0"/>
        <w:jc w:val="left"/>
        <w:rPr/>
        <w:keepNext/>
      </w:pPr>
      <w:bookmarkStart w:id="80" w:name="importancia-de-isoiec-420062025"/>
      <w:r>
        <w:rPr/>
        <w:t>29.2 Importancia de ISO/IEC 42006:2025</w:t>
      </w:r>
      <w:bookmarkEnd w:id="80"/>
    </w:p>
    <w:p>
      <w:pPr>
        <w:pStyle w:val="BodyText"/>
        <w:numPr>
          <w:ilvl w:val="0"/>
          <w:numId w:val="45"/>
        </w:numPr>
        <w:bidi w:val="0"/>
        <w:spacing w:before="0" w:after="0"/>
        <w:rPr/>
      </w:pPr>
      <w:r>
        <w:rPr/>
        <w:t>Añade requisitos específicos de SGIA para organismos que auditan y certifican frente a ISO/IEC 42001 y se apoya en ISO/IEC 17021-1.</w:t>
      </w:r>
    </w:p>
    <w:p>
      <w:pPr>
        <w:pStyle w:val="BodyText"/>
        <w:numPr>
          <w:ilvl w:val="0"/>
          <w:numId w:val="45"/>
        </w:numPr>
        <w:bidi w:val="0"/>
        <w:spacing w:before="0" w:after="0"/>
        <w:rPr/>
      </w:pPr>
      <w:r>
        <w:rPr/>
        <w:t>Apoya competencia apropiada, procesos de auditoría coherentes, imparcialidad, tiempo de auditoría y rigor para organizaciones que desarrollan, proporcionan o utilizan sistemas de IA.</w:t>
      </w:r>
    </w:p>
    <w:p>
      <w:pPr>
        <w:pStyle w:val="BodyText"/>
        <w:numPr>
          <w:ilvl w:val="0"/>
          <w:numId w:val="45"/>
        </w:numPr>
        <w:bidi w:val="0"/>
        <w:spacing w:before="0" w:after="0"/>
        <w:rPr/>
      </w:pPr>
      <w:r>
        <w:rPr/>
        <w:t>La organización debe verificar que una certificación declarada se emita bajo un esquema acreditado pertinente y que el alcance y estado del certificado coincidan con la afirmación.</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Paquete de evidencia de auditoría</w:t>
            </w:r>
          </w:p>
        </w:tc>
        <w:tc>
          <w:tcPr>
            <w:tcW w:w="4680" w:type="dxa"/>
            <w:tcBorders/>
            <w:vAlign w:val="center"/>
            <w:shd w:fill="1F4E78"/>
          </w:tcPr>
          <w:p>
            <w:pPr>
              <w:pStyle w:val="TableHeading"/>
              <w:bidi w:val="0"/>
              <w:spacing w:before="0" w:after="40"/>
              <w:rPr>
                <w:b/>
                <w:bCs/>
              </w:rPr>
            </w:pPr>
            <w:r>
              <w:rPr>
                <w:b/>
                <w:bCs/>
                <w:sz w:val="19"/>
                <w:color w:val="FFFFFF"/>
              </w:rPr>
              <w:t>Ejemplos</w:t>
            </w:r>
          </w:p>
        </w:tc>
      </w:tr>
      <w:tr>
        <w:trPr>
          <w:cantSplit/>
        </w:trPr>
        <w:tc>
          <w:tcPr>
            <w:tcW w:w="4680" w:type="dxa"/>
            <w:tcBorders/>
            <w:vAlign w:val="center"/>
          </w:tcPr>
          <w:p>
            <w:pPr>
              <w:pStyle w:val="TableContents"/>
              <w:suppressLineNumbers/>
              <w:bidi w:val="0"/>
              <w:spacing w:before="0" w:after="40"/>
              <w:ind w:hanging="0" w:start="43" w:end="43"/>
              <w:rPr/>
            </w:pPr>
            <w:r>
              <w:rPr>
                <w:sz w:val="19"/>
              </w:rPr>
              <w:t>Fundamento</w:t>
            </w:r>
          </w:p>
        </w:tc>
        <w:tc>
          <w:tcPr>
            <w:tcW w:w="4680" w:type="dxa"/>
            <w:tcBorders/>
            <w:vAlign w:val="center"/>
          </w:tcPr>
          <w:p>
            <w:pPr>
              <w:pStyle w:val="TableContents"/>
              <w:suppressLineNumbers/>
              <w:bidi w:val="0"/>
              <w:spacing w:before="0" w:after="40"/>
              <w:ind w:hanging="0" w:start="43" w:end="43"/>
              <w:rPr/>
            </w:pPr>
            <w:r>
              <w:rPr>
                <w:sz w:val="19"/>
              </w:rPr>
              <w:t>Alcance, contexto, partes, política, mapa de procesos, funciones e inventario</w:t>
            </w:r>
          </w:p>
        </w:tc>
      </w:tr>
      <w:tr>
        <w:trPr>
          <w:cantSplit/>
        </w:trPr>
        <w:tc>
          <w:tcPr>
            <w:tcW w:w="4680" w:type="dxa"/>
            <w:tcBorders/>
            <w:vAlign w:val="center"/>
          </w:tcPr>
          <w:p>
            <w:pPr>
              <w:pStyle w:val="TableContents"/>
              <w:suppressLineNumbers/>
              <w:bidi w:val="0"/>
              <w:spacing w:before="0" w:after="40"/>
              <w:ind w:hanging="0" w:start="43" w:end="43"/>
              <w:rPr/>
            </w:pPr>
            <w:r>
              <w:rPr>
                <w:sz w:val="19"/>
              </w:rPr>
              <w:t>Planificación</w:t>
            </w:r>
          </w:p>
        </w:tc>
        <w:tc>
          <w:tcPr>
            <w:tcW w:w="4680" w:type="dxa"/>
            <w:tcBorders/>
            <w:vAlign w:val="center"/>
          </w:tcPr>
          <w:p>
            <w:pPr>
              <w:pStyle w:val="TableContents"/>
              <w:suppressLineNumbers/>
              <w:bidi w:val="0"/>
              <w:spacing w:before="0" w:after="40"/>
              <w:ind w:hanging="0" w:start="43" w:end="43"/>
              <w:rPr/>
            </w:pPr>
            <w:r>
              <w:rPr>
                <w:sz w:val="19"/>
              </w:rPr>
              <w:t>Método/resultados de riesgo, tratamiento, Declaración de Aplicabilidad, proceso/resultados de impacto, objetivos y cambios</w:t>
            </w:r>
          </w:p>
        </w:tc>
      </w:tr>
      <w:tr>
        <w:trPr>
          <w:cantSplit/>
        </w:trPr>
        <w:tc>
          <w:tcPr>
            <w:tcW w:w="4680" w:type="dxa"/>
            <w:tcBorders/>
            <w:vAlign w:val="center"/>
          </w:tcPr>
          <w:p>
            <w:pPr>
              <w:pStyle w:val="TableContents"/>
              <w:suppressLineNumbers/>
              <w:bidi w:val="0"/>
              <w:spacing w:before="0" w:after="40"/>
              <w:ind w:hanging="0" w:start="43" w:end="43"/>
              <w:rPr/>
            </w:pPr>
            <w:r>
              <w:rPr>
                <w:sz w:val="19"/>
              </w:rPr>
              <w:t>Soporte/operación</w:t>
            </w:r>
          </w:p>
        </w:tc>
        <w:tc>
          <w:tcPr>
            <w:tcW w:w="4680" w:type="dxa"/>
            <w:tcBorders/>
            <w:vAlign w:val="center"/>
          </w:tcPr>
          <w:p>
            <w:pPr>
              <w:pStyle w:val="TableContents"/>
              <w:suppressLineNumbers/>
              <w:bidi w:val="0"/>
              <w:spacing w:before="0" w:after="40"/>
              <w:ind w:hanging="0" w:start="43" w:end="43"/>
              <w:rPr/>
            </w:pPr>
            <w:r>
              <w:rPr>
                <w:sz w:val="19"/>
              </w:rPr>
              <w:t>Recursos, competencia, comunicación, documentos, ciclo de vida, datos, uso, proveedores e incidentes</w:t>
            </w:r>
          </w:p>
        </w:tc>
      </w:tr>
      <w:tr>
        <w:trPr>
          <w:cantSplit/>
        </w:trPr>
        <w:tc>
          <w:tcPr>
            <w:tcW w:w="4680" w:type="dxa"/>
            <w:tcBorders/>
            <w:vAlign w:val="center"/>
          </w:tcPr>
          <w:p>
            <w:pPr>
              <w:pStyle w:val="TableContents"/>
              <w:suppressLineNumbers/>
              <w:bidi w:val="0"/>
              <w:spacing w:before="0" w:after="40"/>
              <w:ind w:hanging="0" w:start="43" w:end="43"/>
              <w:rPr/>
            </w:pPr>
            <w:r>
              <w:rPr>
                <w:sz w:val="19"/>
              </w:rPr>
              <w:t>Evaluación/mejora</w:t>
            </w:r>
          </w:p>
        </w:tc>
        <w:tc>
          <w:tcPr>
            <w:tcW w:w="4680" w:type="dxa"/>
            <w:tcBorders/>
            <w:vAlign w:val="center"/>
          </w:tcPr>
          <w:p>
            <w:pPr>
              <w:pStyle w:val="TableContents"/>
              <w:suppressLineNumbers/>
              <w:bidi w:val="0"/>
              <w:spacing w:before="0" w:after="40"/>
              <w:ind w:hanging="0" w:start="43" w:end="43"/>
              <w:rPr/>
            </w:pPr>
            <w:r>
              <w:rPr>
                <w:sz w:val="19"/>
              </w:rPr>
              <w:t>Métricas, auditoría interna, revisión por la dirección, hallazgos, acciones correctivas y eficacia</w:t>
            </w:r>
          </w:p>
        </w:tc>
      </w:tr>
      <w:tr>
        <w:trPr>
          <w:cantSplit/>
        </w:trPr>
        <w:tc>
          <w:tcPr>
            <w:tcW w:w="4680" w:type="dxa"/>
            <w:tcBorders/>
            <w:vAlign w:val="center"/>
          </w:tcPr>
          <w:p>
            <w:pPr>
              <w:pStyle w:val="TableContents"/>
              <w:suppressLineNumbers/>
              <w:bidi w:val="0"/>
              <w:spacing w:before="0" w:after="40"/>
              <w:ind w:hanging="0" w:start="43" w:end="43"/>
              <w:rPr/>
            </w:pPr>
            <w:r>
              <w:rPr>
                <w:sz w:val="19"/>
              </w:rPr>
              <w:t>Muestras trazables</w:t>
            </w:r>
          </w:p>
        </w:tc>
        <w:tc>
          <w:tcPr>
            <w:tcW w:w="4680" w:type="dxa"/>
            <w:tcBorders/>
            <w:vAlign w:val="center"/>
          </w:tcPr>
          <w:p>
            <w:pPr>
              <w:pStyle w:val="TableContents"/>
              <w:suppressLineNumbers/>
              <w:bidi w:val="0"/>
              <w:spacing w:before="0" w:after="40"/>
              <w:ind w:hanging="0" w:start="43" w:end="43"/>
              <w:rPr/>
            </w:pPr>
            <w:r>
              <w:rPr>
                <w:sz w:val="19"/>
              </w:rPr>
              <w:t>Registros de extremo a extremo de sistemas de IA representativos de riesgo alto/medio/bajo y cambios materiales</w:t>
            </w:r>
          </w:p>
        </w:tc>
      </w:tr>
    </w:tbl>
    <w:p>
      <w:pPr>
        <w:pStyle w:val="Heading2"/>
        <w:tabs>
          <w:tab w:val="clear" w:pos="709"/>
          <w:tab w:val="left" w:pos="0" w:leader="none"/>
        </w:tabs>
        <w:bidi w:val="0"/>
        <w:ind w:hanging="0" w:start="0"/>
        <w:jc w:val="left"/>
        <w:rPr/>
        <w:keepNext/>
      </w:pPr>
      <w:bookmarkStart w:id="81" w:name="preparación-para-auditoría-sin-teatro"/>
      <w:r>
        <w:rPr/>
        <w:t>29.3 Preparación para auditoría sin teatro</w:t>
      </w:r>
      <w:bookmarkEnd w:id="81"/>
    </w:p>
    <w:p>
      <w:pPr>
        <w:pStyle w:val="BodyText"/>
        <w:numPr>
          <w:ilvl w:val="0"/>
          <w:numId w:val="46"/>
        </w:numPr>
        <w:bidi w:val="0"/>
        <w:spacing w:before="0" w:after="0"/>
        <w:rPr/>
      </w:pPr>
      <w:r>
        <w:rPr/>
        <w:t>Opere los controles el tiempo suficiente para producir evidencia honesta; no cree registros después de los hechos.</w:t>
      </w:r>
    </w:p>
    <w:p>
      <w:pPr>
        <w:pStyle w:val="BodyText"/>
        <w:numPr>
          <w:ilvl w:val="0"/>
          <w:numId w:val="46"/>
        </w:numPr>
        <w:bidi w:val="0"/>
        <w:spacing w:before="0" w:after="0"/>
        <w:rPr/>
      </w:pPr>
      <w:r>
        <w:rPr/>
        <w:t>Concilie el alcance, el inventario, el riesgo, el impacto, la Declaración de Aplicabilidad, el proveedor, las versiones del sistema, las métricas, la auditoría y la revisión por la dirección.</w:t>
      </w:r>
    </w:p>
    <w:p>
      <w:pPr>
        <w:pStyle w:val="BodyText"/>
        <w:numPr>
          <w:ilvl w:val="0"/>
          <w:numId w:val="46"/>
        </w:numPr>
        <w:bidi w:val="0"/>
        <w:spacing w:before="0" w:after="0"/>
        <w:rPr/>
      </w:pPr>
      <w:r>
        <w:rPr/>
        <w:t>Prepare a entrevistados para explicar su trabajo real y mostrar evidencia, no para memorizar respuestas.</w:t>
      </w:r>
    </w:p>
    <w:p>
      <w:pPr>
        <w:pStyle w:val="BodyText"/>
        <w:numPr>
          <w:ilvl w:val="0"/>
          <w:numId w:val="46"/>
        </w:numPr>
        <w:bidi w:val="0"/>
        <w:spacing w:before="0" w:after="0"/>
        <w:rPr/>
      </w:pPr>
      <w:r>
        <w:rPr/>
        <w:t>Revele con precisión brechas, riesgos aceptados, limitaciones, incidentes y acciones correctivas.</w:t>
      </w:r>
    </w:p>
    <w:p>
      <w:pPr>
        <w:pStyle w:val="Heading1"/>
        <w:tabs>
          <w:tab w:val="clear" w:pos="709"/>
          <w:tab w:val="left" w:pos="0" w:leader="none"/>
        </w:tabs>
        <w:bidi w:val="0"/>
        <w:ind w:hanging="0" w:start="0"/>
        <w:jc w:val="left"/>
        <w:rPr/>
        <w:keepNext/>
      </w:pPr>
      <w:bookmarkStart w:id="82" w:name="herramientas-de-código-abierto-para-evid"/>
      <w:r>
        <w:rPr/>
        <w:t>30. Herramientas de código abierto para evidencia del SGIA y aseguramiento de IA</w:t>
      </w:r>
      <w:bookmarkEnd w:id="82"/>
    </w:p>
    <w:p>
      <w:pPr>
        <w:pStyle w:val="Firstparagraph"/>
        <w:bidi w:val="0"/>
        <w:rPr>
          <w:i/>
          <w:iCs/>
        </w:rPr>
      </w:pPr>
      <w:r>
        <w:rPr>
          <w:i/>
          <w:iCs/>
        </w:rPr>
        <w:t>Las herramientas de código abierto pueden apoyar trazabilidad, evaluación, seguimiento, políticas, privacidad y hallazgos, pero no deciden la conformidad con ISO.</w:t>
      </w:r>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Herramienta</w:t>
            </w:r>
          </w:p>
        </w:tc>
        <w:tc>
          <w:tcPr>
            <w:tcW w:w="4680" w:type="dxa"/>
            <w:tcBorders/>
            <w:vAlign w:val="center"/>
            <w:shd w:fill="1F4E78"/>
          </w:tcPr>
          <w:p>
            <w:pPr>
              <w:pStyle w:val="TableHeading"/>
              <w:bidi w:val="0"/>
              <w:spacing w:before="0" w:after="40"/>
              <w:rPr>
                <w:b/>
                <w:bCs/>
              </w:rPr>
            </w:pPr>
            <w:r>
              <w:rPr>
                <w:b/>
                <w:bCs/>
                <w:sz w:val="19"/>
                <w:color w:val="FFFFFF"/>
              </w:rPr>
              <w:t>Propósito</w:t>
            </w:r>
          </w:p>
        </w:tc>
      </w:tr>
      <w:tr>
        <w:trPr>
          <w:cantSplit/>
        </w:trPr>
        <w:tc>
          <w:tcPr>
            <w:tcW w:w="4680" w:type="dxa"/>
            <w:tcBorders/>
            <w:vAlign w:val="center"/>
          </w:tcPr>
          <w:p>
            <w:pPr>
              <w:pStyle w:val="TableContents"/>
              <w:suppressLineNumbers/>
              <w:bidi w:val="0"/>
              <w:spacing w:before="0" w:after="40"/>
              <w:ind w:hanging="0" w:start="43" w:end="43"/>
              <w:rPr/>
            </w:pPr>
            <w:r>
              <w:rPr>
                <w:sz w:val="19"/>
              </w:rPr>
              <w:t>MLflow</w:t>
            </w:r>
          </w:p>
        </w:tc>
        <w:tc>
          <w:tcPr>
            <w:tcW w:w="4680" w:type="dxa"/>
            <w:tcBorders/>
            <w:vAlign w:val="center"/>
          </w:tcPr>
          <w:p>
            <w:pPr>
              <w:pStyle w:val="TableContents"/>
              <w:suppressLineNumbers/>
              <w:bidi w:val="0"/>
              <w:spacing w:before="0" w:after="40"/>
              <w:ind w:hanging="0" w:start="43" w:end="43"/>
              <w:rPr/>
            </w:pPr>
            <w:r>
              <w:rPr>
                <w:sz w:val="19"/>
              </w:rPr>
              <w:t>Seguimiento de experimentos, registro de modelos, linaje, aprobación y registros de despliegue</w:t>
            </w:r>
          </w:p>
        </w:tc>
      </w:tr>
      <w:tr>
        <w:trPr>
          <w:cantSplit/>
        </w:trPr>
        <w:tc>
          <w:tcPr>
            <w:tcW w:w="4680" w:type="dxa"/>
            <w:tcBorders/>
            <w:vAlign w:val="center"/>
          </w:tcPr>
          <w:p>
            <w:pPr>
              <w:pStyle w:val="TableContents"/>
              <w:suppressLineNumbers/>
              <w:bidi w:val="0"/>
              <w:spacing w:before="0" w:after="40"/>
              <w:ind w:hanging="0" w:start="43" w:end="43"/>
              <w:rPr/>
            </w:pPr>
            <w:r>
              <w:rPr>
                <w:sz w:val="19"/>
              </w:rPr>
              <w:t>DVC</w:t>
            </w:r>
          </w:p>
        </w:tc>
        <w:tc>
          <w:tcPr>
            <w:tcW w:w="4680" w:type="dxa"/>
            <w:tcBorders/>
            <w:vAlign w:val="center"/>
          </w:tcPr>
          <w:p>
            <w:pPr>
              <w:pStyle w:val="TableContents"/>
              <w:suppressLineNumbers/>
              <w:bidi w:val="0"/>
              <w:spacing w:before="0" w:after="40"/>
              <w:ind w:hanging="0" w:start="43" w:end="43"/>
              <w:rPr/>
            </w:pPr>
            <w:r>
              <w:rPr>
                <w:sz w:val="19"/>
              </w:rPr>
              <w:t>Control de versiones para datos, modelos y pipelines</w:t>
            </w:r>
          </w:p>
        </w:tc>
      </w:tr>
      <w:tr>
        <w:trPr>
          <w:cantSplit/>
        </w:trPr>
        <w:tc>
          <w:tcPr>
            <w:tcW w:w="4680" w:type="dxa"/>
            <w:tcBorders/>
            <w:vAlign w:val="center"/>
          </w:tcPr>
          <w:p>
            <w:pPr>
              <w:pStyle w:val="TableContents"/>
              <w:suppressLineNumbers/>
              <w:bidi w:val="0"/>
              <w:spacing w:before="0" w:after="40"/>
              <w:ind w:hanging="0" w:start="43" w:end="43"/>
              <w:rPr/>
            </w:pPr>
            <w:r>
              <w:rPr>
                <w:sz w:val="19"/>
              </w:rPr>
              <w:t>OpenLineage</w:t>
            </w:r>
          </w:p>
        </w:tc>
        <w:tc>
          <w:tcPr>
            <w:tcW w:w="4680" w:type="dxa"/>
            <w:tcBorders/>
            <w:vAlign w:val="center"/>
          </w:tcPr>
          <w:p>
            <w:pPr>
              <w:pStyle w:val="TableContents"/>
              <w:suppressLineNumbers/>
              <w:bidi w:val="0"/>
              <w:spacing w:before="0" w:after="40"/>
              <w:ind w:hanging="0" w:start="43" w:end="43"/>
              <w:rPr/>
            </w:pPr>
            <w:r>
              <w:rPr>
                <w:sz w:val="19"/>
              </w:rPr>
              <w:t>Estándar abierto y herramientas para eventos de linaje de datos/trabajos</w:t>
            </w:r>
          </w:p>
        </w:tc>
      </w:tr>
      <w:tr>
        <w:trPr>
          <w:cantSplit/>
        </w:trPr>
        <w:tc>
          <w:tcPr>
            <w:tcW w:w="4680" w:type="dxa"/>
            <w:tcBorders/>
            <w:vAlign w:val="center"/>
          </w:tcPr>
          <w:p>
            <w:pPr>
              <w:pStyle w:val="TableContents"/>
              <w:suppressLineNumbers/>
              <w:bidi w:val="0"/>
              <w:spacing w:before="0" w:after="40"/>
              <w:ind w:hanging="0" w:start="43" w:end="43"/>
              <w:rPr/>
            </w:pPr>
            <w:r>
              <w:rPr>
                <w:sz w:val="19"/>
              </w:rPr>
              <w:t>OpenMetadata</w:t>
            </w:r>
          </w:p>
        </w:tc>
        <w:tc>
          <w:tcPr>
            <w:tcW w:w="4680" w:type="dxa"/>
            <w:tcBorders/>
            <w:vAlign w:val="center"/>
          </w:tcPr>
          <w:p>
            <w:pPr>
              <w:pStyle w:val="TableContents"/>
              <w:suppressLineNumbers/>
              <w:bidi w:val="0"/>
              <w:spacing w:before="0" w:after="40"/>
              <w:ind w:hanging="0" w:start="43" w:end="43"/>
              <w:rPr/>
            </w:pPr>
            <w:r>
              <w:rPr>
                <w:sz w:val="19"/>
              </w:rPr>
              <w:t>Catálogo de datos, linaje, propiedad, glosario y metadatos de calidad</w:t>
            </w:r>
          </w:p>
        </w:tc>
      </w:tr>
      <w:tr>
        <w:trPr>
          <w:cantSplit/>
        </w:trPr>
        <w:tc>
          <w:tcPr>
            <w:tcW w:w="4680" w:type="dxa"/>
            <w:tcBorders/>
            <w:vAlign w:val="center"/>
          </w:tcPr>
          <w:p>
            <w:pPr>
              <w:pStyle w:val="TableContents"/>
              <w:suppressLineNumbers/>
              <w:bidi w:val="0"/>
              <w:spacing w:before="0" w:after="40"/>
              <w:ind w:hanging="0" w:start="43" w:end="43"/>
              <w:rPr/>
            </w:pPr>
            <w:r>
              <w:rPr>
                <w:sz w:val="19"/>
              </w:rPr>
              <w:t>Great Expectations</w:t>
            </w:r>
          </w:p>
        </w:tc>
        <w:tc>
          <w:tcPr>
            <w:tcW w:w="4680" w:type="dxa"/>
            <w:tcBorders/>
            <w:vAlign w:val="center"/>
          </w:tcPr>
          <w:p>
            <w:pPr>
              <w:pStyle w:val="TableContents"/>
              <w:suppressLineNumbers/>
              <w:bidi w:val="0"/>
              <w:spacing w:before="0" w:after="40"/>
              <w:ind w:hanging="0" w:start="43" w:end="43"/>
              <w:rPr/>
            </w:pPr>
            <w:r>
              <w:rPr>
                <w:sz w:val="19"/>
              </w:rPr>
              <w:t>Expectativas automatizadas de calidad de datos y resultados de validación</w:t>
            </w:r>
          </w:p>
        </w:tc>
      </w:tr>
      <w:tr>
        <w:trPr>
          <w:cantSplit/>
        </w:trPr>
        <w:tc>
          <w:tcPr>
            <w:tcW w:w="4680" w:type="dxa"/>
            <w:tcBorders/>
            <w:vAlign w:val="center"/>
          </w:tcPr>
          <w:p>
            <w:pPr>
              <w:pStyle w:val="TableContents"/>
              <w:suppressLineNumbers/>
              <w:bidi w:val="0"/>
              <w:spacing w:before="0" w:after="40"/>
              <w:ind w:hanging="0" w:start="43" w:end="43"/>
              <w:rPr/>
            </w:pPr>
            <w:r>
              <w:rPr>
                <w:sz w:val="19"/>
              </w:rPr>
              <w:t>Evidently</w:t>
            </w:r>
          </w:p>
        </w:tc>
        <w:tc>
          <w:tcPr>
            <w:tcW w:w="4680" w:type="dxa"/>
            <w:tcBorders/>
            <w:vAlign w:val="center"/>
          </w:tcPr>
          <w:p>
            <w:pPr>
              <w:pStyle w:val="TableContents"/>
              <w:suppressLineNumbers/>
              <w:bidi w:val="0"/>
              <w:spacing w:before="0" w:after="40"/>
              <w:ind w:hanging="0" w:start="43" w:end="43"/>
              <w:rPr/>
            </w:pPr>
            <w:r>
              <w:rPr>
                <w:sz w:val="19"/>
              </w:rPr>
              <w:t>Calidad de datos, deriva, desempeño de modelos e informes de seguimiento</w:t>
            </w:r>
          </w:p>
        </w:tc>
      </w:tr>
      <w:tr>
        <w:trPr>
          <w:cantSplit/>
        </w:trPr>
        <w:tc>
          <w:tcPr>
            <w:tcW w:w="4680" w:type="dxa"/>
            <w:tcBorders/>
            <w:vAlign w:val="center"/>
          </w:tcPr>
          <w:p>
            <w:pPr>
              <w:pStyle w:val="TableContents"/>
              <w:suppressLineNumbers/>
              <w:bidi w:val="0"/>
              <w:spacing w:before="0" w:after="40"/>
              <w:ind w:hanging="0" w:start="43" w:end="43"/>
              <w:rPr/>
            </w:pPr>
            <w:r>
              <w:rPr>
                <w:sz w:val="19"/>
              </w:rPr>
              <w:t>Deepchecks</w:t>
            </w:r>
          </w:p>
        </w:tc>
        <w:tc>
          <w:tcPr>
            <w:tcW w:w="4680" w:type="dxa"/>
            <w:tcBorders/>
            <w:vAlign w:val="center"/>
          </w:tcPr>
          <w:p>
            <w:pPr>
              <w:pStyle w:val="TableContents"/>
              <w:suppressLineNumbers/>
              <w:bidi w:val="0"/>
              <w:spacing w:before="0" w:after="40"/>
              <w:ind w:hanging="0" w:start="43" w:end="43"/>
              <w:rPr/>
            </w:pPr>
            <w:r>
              <w:rPr>
                <w:sz w:val="19"/>
              </w:rPr>
              <w:t>Pruebas para datos, modelos ML y aplicaciones LLM</w:t>
            </w:r>
          </w:p>
        </w:tc>
      </w:tr>
      <w:tr>
        <w:trPr>
          <w:cantSplit/>
        </w:trPr>
        <w:tc>
          <w:tcPr>
            <w:tcW w:w="4680" w:type="dxa"/>
            <w:tcBorders/>
            <w:vAlign w:val="center"/>
          </w:tcPr>
          <w:p>
            <w:pPr>
              <w:pStyle w:val="TableContents"/>
              <w:suppressLineNumbers/>
              <w:bidi w:val="0"/>
              <w:spacing w:before="0" w:after="40"/>
              <w:ind w:hanging="0" w:start="43" w:end="43"/>
              <w:rPr/>
            </w:pPr>
            <w:r>
              <w:rPr>
                <w:sz w:val="19"/>
              </w:rPr>
              <w:t>Giskard</w:t>
            </w:r>
          </w:p>
        </w:tc>
        <w:tc>
          <w:tcPr>
            <w:tcW w:w="4680" w:type="dxa"/>
            <w:tcBorders/>
            <w:vAlign w:val="center"/>
          </w:tcPr>
          <w:p>
            <w:pPr>
              <w:pStyle w:val="TableContents"/>
              <w:suppressLineNumbers/>
              <w:bidi w:val="0"/>
              <w:spacing w:before="0" w:after="40"/>
              <w:ind w:hanging="0" w:start="43" w:end="43"/>
              <w:rPr/>
            </w:pPr>
            <w:r>
              <w:rPr>
                <w:sz w:val="19"/>
              </w:rPr>
              <w:t>Pruebas de IA y análisis de vulnerabilidades</w:t>
            </w:r>
          </w:p>
        </w:tc>
      </w:tr>
      <w:tr>
        <w:trPr>
          <w:cantSplit/>
        </w:trPr>
        <w:tc>
          <w:tcPr>
            <w:tcW w:w="4680" w:type="dxa"/>
            <w:tcBorders/>
            <w:vAlign w:val="center"/>
          </w:tcPr>
          <w:p>
            <w:pPr>
              <w:pStyle w:val="TableContents"/>
              <w:suppressLineNumbers/>
              <w:bidi w:val="0"/>
              <w:spacing w:before="0" w:after="40"/>
              <w:ind w:hanging="0" w:start="43" w:end="43"/>
              <w:rPr/>
            </w:pPr>
            <w:r>
              <w:rPr>
                <w:sz w:val="19"/>
              </w:rPr>
              <w:t>Promptfoo</w:t>
            </w:r>
          </w:p>
        </w:tc>
        <w:tc>
          <w:tcPr>
            <w:tcW w:w="4680" w:type="dxa"/>
            <w:tcBorders/>
            <w:vAlign w:val="center"/>
          </w:tcPr>
          <w:p>
            <w:pPr>
              <w:pStyle w:val="TableContents"/>
              <w:suppressLineNumbers/>
              <w:bidi w:val="0"/>
              <w:spacing w:before="0" w:after="40"/>
              <w:ind w:hanging="0" w:start="43" w:end="43"/>
              <w:rPr/>
            </w:pPr>
            <w:r>
              <w:rPr>
                <w:sz w:val="19"/>
              </w:rPr>
              <w:t>Evaluaciones de prompts, modelos, RAG y red teaming</w:t>
            </w:r>
          </w:p>
        </w:tc>
      </w:tr>
      <w:tr>
        <w:trPr>
          <w:cantSplit/>
        </w:trPr>
        <w:tc>
          <w:tcPr>
            <w:tcW w:w="4680" w:type="dxa"/>
            <w:tcBorders/>
            <w:vAlign w:val="center"/>
          </w:tcPr>
          <w:p>
            <w:pPr>
              <w:pStyle w:val="TableContents"/>
              <w:suppressLineNumbers/>
              <w:bidi w:val="0"/>
              <w:spacing w:before="0" w:after="40"/>
              <w:ind w:hanging="0" w:start="43" w:end="43"/>
              <w:rPr/>
            </w:pPr>
            <w:r>
              <w:rPr>
                <w:sz w:val="19"/>
              </w:rPr>
              <w:t>Garak</w:t>
            </w:r>
          </w:p>
        </w:tc>
        <w:tc>
          <w:tcPr>
            <w:tcW w:w="4680" w:type="dxa"/>
            <w:tcBorders/>
            <w:vAlign w:val="center"/>
          </w:tcPr>
          <w:p>
            <w:pPr>
              <w:pStyle w:val="TableContents"/>
              <w:suppressLineNumbers/>
              <w:bidi w:val="0"/>
              <w:spacing w:before="0" w:after="40"/>
              <w:ind w:hanging="0" w:start="43" w:end="43"/>
              <w:rPr/>
            </w:pPr>
            <w:r>
              <w:rPr>
                <w:sz w:val="19"/>
              </w:rPr>
              <w:t>Análisis y sondas de vulnerabilidades de LLM</w:t>
            </w:r>
          </w:p>
        </w:tc>
      </w:tr>
      <w:tr>
        <w:trPr>
          <w:cantSplit/>
        </w:trPr>
        <w:tc>
          <w:tcPr>
            <w:tcW w:w="4680" w:type="dxa"/>
            <w:tcBorders/>
            <w:vAlign w:val="center"/>
          </w:tcPr>
          <w:p>
            <w:pPr>
              <w:pStyle w:val="TableContents"/>
              <w:suppressLineNumbers/>
              <w:bidi w:val="0"/>
              <w:spacing w:before="0" w:after="40"/>
              <w:ind w:hanging="0" w:start="43" w:end="43"/>
              <w:rPr/>
            </w:pPr>
            <w:r>
              <w:rPr>
                <w:sz w:val="19"/>
              </w:rPr>
              <w:t>PyRIT</w:t>
            </w:r>
          </w:p>
        </w:tc>
        <w:tc>
          <w:tcPr>
            <w:tcW w:w="4680" w:type="dxa"/>
            <w:tcBorders/>
            <w:vAlign w:val="center"/>
          </w:tcPr>
          <w:p>
            <w:pPr>
              <w:pStyle w:val="TableContents"/>
              <w:suppressLineNumbers/>
              <w:bidi w:val="0"/>
              <w:spacing w:before="0" w:after="40"/>
              <w:ind w:hanging="0" w:start="43" w:end="43"/>
              <w:rPr/>
            </w:pPr>
            <w:r>
              <w:rPr>
                <w:sz w:val="19"/>
              </w:rPr>
              <w:t>Identificación de riesgos y orquestación de red teaming para IA generativa</w:t>
            </w:r>
          </w:p>
        </w:tc>
      </w:tr>
      <w:tr>
        <w:trPr>
          <w:cantSplit/>
        </w:trPr>
        <w:tc>
          <w:tcPr>
            <w:tcW w:w="4680" w:type="dxa"/>
            <w:tcBorders/>
            <w:vAlign w:val="center"/>
          </w:tcPr>
          <w:p>
            <w:pPr>
              <w:pStyle w:val="TableContents"/>
              <w:suppressLineNumbers/>
              <w:bidi w:val="0"/>
              <w:spacing w:before="0" w:after="40"/>
              <w:ind w:hanging="0" w:start="43" w:end="43"/>
              <w:rPr/>
            </w:pPr>
            <w:r>
              <w:rPr>
                <w:sz w:val="19"/>
              </w:rPr>
              <w:t>Inspect AI</w:t>
            </w:r>
          </w:p>
        </w:tc>
        <w:tc>
          <w:tcPr>
            <w:tcW w:w="4680" w:type="dxa"/>
            <w:tcBorders/>
            <w:vAlign w:val="center"/>
          </w:tcPr>
          <w:p>
            <w:pPr>
              <w:pStyle w:val="TableContents"/>
              <w:suppressLineNumbers/>
              <w:bidi w:val="0"/>
              <w:spacing w:before="0" w:after="40"/>
              <w:ind w:hanging="0" w:start="43" w:end="43"/>
              <w:rPr/>
            </w:pPr>
            <w:r>
              <w:rPr>
                <w:sz w:val="19"/>
              </w:rPr>
              <w:t>Evaluaciones reproducibles de IA</w:t>
            </w:r>
          </w:p>
        </w:tc>
      </w:tr>
      <w:tr>
        <w:trPr>
          <w:cantSplit/>
        </w:trPr>
        <w:tc>
          <w:tcPr>
            <w:tcW w:w="4680" w:type="dxa"/>
            <w:tcBorders/>
            <w:vAlign w:val="center"/>
          </w:tcPr>
          <w:p>
            <w:pPr>
              <w:pStyle w:val="TableContents"/>
              <w:suppressLineNumbers/>
              <w:bidi w:val="0"/>
              <w:spacing w:before="0" w:after="40"/>
              <w:ind w:hanging="0" w:start="43" w:end="43"/>
              <w:rPr/>
            </w:pPr>
            <w:r>
              <w:rPr>
                <w:sz w:val="19"/>
              </w:rPr>
              <w:t>Presidio</w:t>
            </w:r>
          </w:p>
        </w:tc>
        <w:tc>
          <w:tcPr>
            <w:tcW w:w="4680" w:type="dxa"/>
            <w:tcBorders/>
            <w:vAlign w:val="center"/>
          </w:tcPr>
          <w:p>
            <w:pPr>
              <w:pStyle w:val="TableContents"/>
              <w:suppressLineNumbers/>
              <w:bidi w:val="0"/>
              <w:spacing w:before="0" w:after="40"/>
              <w:ind w:hanging="0" w:start="43" w:end="43"/>
              <w:rPr/>
            </w:pPr>
            <w:r>
              <w:rPr>
                <w:sz w:val="19"/>
              </w:rPr>
              <w:t>Detección y desidentificación de información personal</w:t>
            </w:r>
          </w:p>
        </w:tc>
      </w:tr>
      <w:tr>
        <w:trPr>
          <w:cantSplit/>
        </w:trPr>
        <w:tc>
          <w:tcPr>
            <w:tcW w:w="4680" w:type="dxa"/>
            <w:tcBorders/>
            <w:vAlign w:val="center"/>
          </w:tcPr>
          <w:p>
            <w:pPr>
              <w:pStyle w:val="TableContents"/>
              <w:suppressLineNumbers/>
              <w:bidi w:val="0"/>
              <w:spacing w:before="0" w:after="40"/>
              <w:ind w:hanging="0" w:start="43" w:end="43"/>
              <w:rPr/>
            </w:pPr>
            <w:r>
              <w:rPr>
                <w:sz w:val="19"/>
              </w:rPr>
              <w:t>ModelScan</w:t>
            </w:r>
          </w:p>
        </w:tc>
        <w:tc>
          <w:tcPr>
            <w:tcW w:w="4680" w:type="dxa"/>
            <w:tcBorders/>
            <w:vAlign w:val="center"/>
          </w:tcPr>
          <w:p>
            <w:pPr>
              <w:pStyle w:val="TableContents"/>
              <w:suppressLineNumbers/>
              <w:bidi w:val="0"/>
              <w:spacing w:before="0" w:after="40"/>
              <w:ind w:hanging="0" w:start="43" w:end="43"/>
              <w:rPr/>
            </w:pPr>
            <w:r>
              <w:rPr>
                <w:sz w:val="19"/>
              </w:rPr>
              <w:t>Análisis estático de archivos de modelos serializados</w:t>
            </w:r>
          </w:p>
        </w:tc>
      </w:tr>
      <w:tr>
        <w:trPr>
          <w:cantSplit/>
        </w:trPr>
        <w:tc>
          <w:tcPr>
            <w:tcW w:w="4680" w:type="dxa"/>
            <w:tcBorders/>
            <w:vAlign w:val="center"/>
          </w:tcPr>
          <w:p>
            <w:pPr>
              <w:pStyle w:val="TableContents"/>
              <w:suppressLineNumbers/>
              <w:bidi w:val="0"/>
              <w:spacing w:before="0" w:after="40"/>
              <w:ind w:hanging="0" w:start="43" w:end="43"/>
              <w:rPr/>
            </w:pPr>
            <w:r>
              <w:rPr>
                <w:sz w:val="19"/>
              </w:rPr>
              <w:t>CycloneDX</w:t>
            </w:r>
          </w:p>
        </w:tc>
        <w:tc>
          <w:tcPr>
            <w:tcW w:w="4680" w:type="dxa"/>
            <w:tcBorders/>
            <w:vAlign w:val="center"/>
          </w:tcPr>
          <w:p>
            <w:pPr>
              <w:pStyle w:val="TableContents"/>
              <w:suppressLineNumbers/>
              <w:bidi w:val="0"/>
              <w:spacing w:before="0" w:after="40"/>
              <w:ind w:hanging="0" w:start="43" w:end="43"/>
              <w:rPr/>
            </w:pPr>
            <w:r>
              <w:rPr>
                <w:sz w:val="19"/>
              </w:rPr>
              <w:t>Formatos y herramientas de lista de materiales de software, ML e IA</w:t>
            </w:r>
          </w:p>
        </w:tc>
      </w:tr>
      <w:tr>
        <w:trPr>
          <w:cantSplit/>
        </w:trPr>
        <w:tc>
          <w:tcPr>
            <w:tcW w:w="4680" w:type="dxa"/>
            <w:tcBorders/>
            <w:vAlign w:val="center"/>
          </w:tcPr>
          <w:p>
            <w:pPr>
              <w:pStyle w:val="TableContents"/>
              <w:suppressLineNumbers/>
              <w:bidi w:val="0"/>
              <w:spacing w:before="0" w:after="40"/>
              <w:ind w:hanging="0" w:start="43" w:end="43"/>
              <w:rPr/>
            </w:pPr>
            <w:r>
              <w:rPr>
                <w:sz w:val="19"/>
              </w:rPr>
              <w:t>Open Policy Agent</w:t>
            </w:r>
          </w:p>
        </w:tc>
        <w:tc>
          <w:tcPr>
            <w:tcW w:w="4680" w:type="dxa"/>
            <w:tcBorders/>
            <w:vAlign w:val="center"/>
          </w:tcPr>
          <w:p>
            <w:pPr>
              <w:pStyle w:val="TableContents"/>
              <w:suppressLineNumbers/>
              <w:bidi w:val="0"/>
              <w:spacing w:before="0" w:after="40"/>
              <w:ind w:hanging="0" w:start="43" w:end="43"/>
              <w:rPr/>
            </w:pPr>
            <w:r>
              <w:rPr>
                <w:sz w:val="19"/>
              </w:rPr>
              <w:t>Decisiones de política como código</w:t>
            </w:r>
          </w:p>
        </w:tc>
      </w:tr>
      <w:tr>
        <w:trPr>
          <w:cantSplit/>
        </w:trPr>
        <w:tc>
          <w:tcPr>
            <w:tcW w:w="4680" w:type="dxa"/>
            <w:tcBorders/>
            <w:vAlign w:val="center"/>
          </w:tcPr>
          <w:p>
            <w:pPr>
              <w:pStyle w:val="TableContents"/>
              <w:suppressLineNumbers/>
              <w:bidi w:val="0"/>
              <w:spacing w:before="0" w:after="40"/>
              <w:ind w:hanging="0" w:start="43" w:end="43"/>
              <w:rPr/>
            </w:pPr>
            <w:r>
              <w:rPr>
                <w:sz w:val="19"/>
              </w:rPr>
              <w:t>DefectDojo</w:t>
            </w:r>
          </w:p>
        </w:tc>
        <w:tc>
          <w:tcPr>
            <w:tcW w:w="4680" w:type="dxa"/>
            <w:tcBorders/>
            <w:vAlign w:val="center"/>
          </w:tcPr>
          <w:p>
            <w:pPr>
              <w:pStyle w:val="TableContents"/>
              <w:suppressLineNumbers/>
              <w:bidi w:val="0"/>
              <w:spacing w:before="0" w:after="40"/>
              <w:ind w:hanging="0" w:start="43" w:end="43"/>
              <w:rPr/>
            </w:pPr>
            <w:r>
              <w:rPr>
                <w:sz w:val="19"/>
              </w:rPr>
              <w:t>Admisión, deduplicación, propiedad, remediación y nueva prueba de hallazgos</w:t>
            </w:r>
          </w:p>
        </w:tc>
      </w:tr>
      <w:tr>
        <w:trPr>
          <w:cantSplit/>
        </w:trPr>
        <w:tc>
          <w:tcPr>
            <w:tcW w:w="4680" w:type="dxa"/>
            <w:tcBorders/>
            <w:vAlign w:val="center"/>
          </w:tcPr>
          <w:p>
            <w:pPr>
              <w:pStyle w:val="TableContents"/>
              <w:suppressLineNumbers/>
              <w:bidi w:val="0"/>
              <w:spacing w:before="0" w:after="40"/>
              <w:ind w:hanging="0" w:start="43" w:end="43"/>
              <w:rPr/>
            </w:pPr>
            <w:r>
              <w:rPr>
                <w:sz w:val="19"/>
              </w:rPr>
              <w:t>Langfuse</w:t>
            </w:r>
          </w:p>
        </w:tc>
        <w:tc>
          <w:tcPr>
            <w:tcW w:w="4680" w:type="dxa"/>
            <w:tcBorders/>
            <w:vAlign w:val="center"/>
          </w:tcPr>
          <w:p>
            <w:pPr>
              <w:pStyle w:val="TableContents"/>
              <w:suppressLineNumbers/>
              <w:bidi w:val="0"/>
              <w:spacing w:before="0" w:after="40"/>
              <w:ind w:hanging="0" w:start="43" w:end="43"/>
              <w:rPr/>
            </w:pPr>
            <w:r>
              <w:rPr>
                <w:sz w:val="19"/>
              </w:rPr>
              <w:t>Trazabilidad de LLM, gestión de prompts y evaluación de código abierto</w:t>
            </w:r>
          </w:p>
        </w:tc>
      </w:tr>
    </w:tbl>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Gobierno de herramientas:</w:t>
      </w:r>
      <w:r>
        <w:rPr/>
        <w:t xml:space="preserve"> Utilice únicamente sistemas, modelos, cuentas, repositorios y datos autorizados. Comience con entornos aislados y datos sintéticos. Proteja credenciales, prompts, resultados, trazas, información personal y hallazgos. Registre versiones y valide resultados automatizados.</w:t>
      </w:r>
    </w:p>
    <w:p>
      <w:pPr>
        <w:pStyle w:val="Heading2"/>
        <w:tabs>
          <w:tab w:val="clear" w:pos="709"/>
          <w:tab w:val="left" w:pos="0" w:leader="none"/>
        </w:tabs>
        <w:bidi w:val="0"/>
        <w:ind w:hanging="0" w:start="0"/>
        <w:jc w:val="left"/>
        <w:rPr/>
        <w:keepNext/>
      </w:pPr>
      <w:bookmarkStart w:id="83" w:name="mlflow"/>
      <w:r>
        <w:rPr/>
        <w:t>30.1 MLflow</w:t>
      </w:r>
      <w:bookmarkEnd w:id="83"/>
    </w:p>
    <w:p>
      <w:pPr>
        <w:pStyle w:val="Firstparagraph"/>
        <w:bidi w:val="0"/>
        <w:rPr/>
      </w:pPr>
      <w:r>
        <w:rPr>
          <w:b/>
          <w:bCs/>
        </w:rPr>
        <w:t>Propósito:</w:t>
      </w:r>
      <w:r>
        <w:rPr/>
        <w:t xml:space="preserve"> Seguimiento de experimentos, registro de modelos, linaje, aprobación y registros de despliegue. Proyecto oficial: </w:t>
      </w:r>
      <w:hyperlink r:id="rId20">
        <w:r>
          <w:rPr>
            <w:rStyle w:val="Hyperlink"/>
          </w:rPr>
          <w:t>MLflow</w:t>
        </w:r>
      </w:hyperlink>
    </w:p>
    <w:p>
      <w:pPr>
        <w:pStyle w:val="BodyText"/>
        <w:bidi w:val="0"/>
        <w:spacing w:before="86" w:after="86"/>
        <w:rPr/>
      </w:pPr>
      <w:r>
        <w:rPr>
          <w:b/>
          <w:bCs/>
        </w:rPr>
        <w:t>Inicio seguro:</w:t>
      </w:r>
      <w:r>
        <w:rPr/>
        <w:t xml:space="preserve"> Cree un proyecto local; registre parámetros, referencia de conjunto de datos, métricas, artefactos, propietario y aprobación; registre únicamente modelos probados; restrinja cambios al registro.</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84" w:name="dvc"/>
      <w:r>
        <w:rPr/>
        <w:t>30.2 DVC</w:t>
      </w:r>
      <w:bookmarkEnd w:id="84"/>
    </w:p>
    <w:p>
      <w:pPr>
        <w:pStyle w:val="Firstparagraph"/>
        <w:bidi w:val="0"/>
        <w:rPr/>
      </w:pPr>
      <w:r>
        <w:rPr>
          <w:b/>
          <w:bCs/>
        </w:rPr>
        <w:t>Propósito:</w:t>
      </w:r>
      <w:r>
        <w:rPr/>
        <w:t xml:space="preserve"> Control de versiones para datos, modelos y pipelines. Proyecto oficial: </w:t>
      </w:r>
      <w:hyperlink r:id="rId21">
        <w:r>
          <w:rPr>
            <w:rStyle w:val="Hyperlink"/>
          </w:rPr>
          <w:t>DVC</w:t>
        </w:r>
      </w:hyperlink>
    </w:p>
    <w:p>
      <w:pPr>
        <w:pStyle w:val="BodyText"/>
        <w:bidi w:val="0"/>
        <w:spacing w:before="86" w:after="86"/>
        <w:rPr/>
      </w:pPr>
      <w:r>
        <w:rPr>
          <w:b/>
          <w:bCs/>
        </w:rPr>
        <w:t>Inicio seguro:</w:t>
      </w:r>
      <w:r>
        <w:rPr/>
        <w:t xml:space="preserve"> Utilice un conjunto sintético en un repositorio de entrenamiento; versione datos y etapas del pipeline; reproduzca una ejecución; proteja almacenamiento remoto y credenciales.</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85" w:name="openlineage"/>
      <w:r>
        <w:rPr/>
        <w:t>30.3 OpenLineage</w:t>
      </w:r>
      <w:bookmarkEnd w:id="85"/>
    </w:p>
    <w:p>
      <w:pPr>
        <w:pStyle w:val="Firstparagraph"/>
        <w:bidi w:val="0"/>
        <w:rPr/>
      </w:pPr>
      <w:r>
        <w:rPr>
          <w:b/>
          <w:bCs/>
        </w:rPr>
        <w:t>Propósito:</w:t>
      </w:r>
      <w:r>
        <w:rPr/>
        <w:t xml:space="preserve"> Estándar abierto y herramientas para eventos de linaje de datos/trabajos. Proyecto oficial: </w:t>
      </w:r>
      <w:hyperlink r:id="rId22">
        <w:r>
          <w:rPr>
            <w:rStyle w:val="Hyperlink"/>
          </w:rPr>
          <w:t>OpenLineage</w:t>
        </w:r>
      </w:hyperlink>
    </w:p>
    <w:p>
      <w:pPr>
        <w:pStyle w:val="BodyText"/>
        <w:bidi w:val="0"/>
        <w:spacing w:before="86" w:after="86"/>
        <w:rPr/>
      </w:pPr>
      <w:r>
        <w:rPr>
          <w:b/>
          <w:bCs/>
        </w:rPr>
        <w:t>Inicio seguro:</w:t>
      </w:r>
      <w:r>
        <w:rPr/>
        <w:t xml:space="preserve"> Instrumente un pipeline pequeño de laboratorio; registre relaciones entre conjuntos de datos y trabajos; verifique integridad de eventos; proteja metadatos sensibles.</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86" w:name="openmetadata"/>
      <w:r>
        <w:rPr/>
        <w:t>30.4 OpenMetadata</w:t>
      </w:r>
      <w:bookmarkEnd w:id="86"/>
    </w:p>
    <w:p>
      <w:pPr>
        <w:pStyle w:val="Firstparagraph"/>
        <w:bidi w:val="0"/>
        <w:rPr/>
      </w:pPr>
      <w:r>
        <w:rPr>
          <w:b/>
          <w:bCs/>
        </w:rPr>
        <w:t>Propósito:</w:t>
      </w:r>
      <w:r>
        <w:rPr/>
        <w:t xml:space="preserve"> Catálogo de datos, linaje, propiedad, glosario y metadatos de calidad. Proyecto oficial: </w:t>
      </w:r>
      <w:hyperlink r:id="rId23">
        <w:r>
          <w:rPr>
            <w:rStyle w:val="Hyperlink"/>
          </w:rPr>
          <w:t>OpenMetadata</w:t>
        </w:r>
      </w:hyperlink>
    </w:p>
    <w:p>
      <w:pPr>
        <w:pStyle w:val="BodyText"/>
        <w:bidi w:val="0"/>
        <w:spacing w:before="86" w:after="86"/>
        <w:rPr/>
      </w:pPr>
      <w:r>
        <w:rPr>
          <w:b/>
          <w:bCs/>
        </w:rPr>
        <w:t>Inicio seguro:</w:t>
      </w:r>
      <w:r>
        <w:rPr/>
        <w:t xml:space="preserve"> Despliegue una instancia de laboratorio; catalogue conjuntos sintéticos; asigne propietarios/clasificación; documente linaje y retención; restrinja conectores.</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87" w:name="great-expectations"/>
      <w:r>
        <w:rPr/>
        <w:t>30.5 Great Expectations</w:t>
      </w:r>
      <w:bookmarkEnd w:id="87"/>
    </w:p>
    <w:p>
      <w:pPr>
        <w:pStyle w:val="Firstparagraph"/>
        <w:bidi w:val="0"/>
        <w:rPr/>
      </w:pPr>
      <w:r>
        <w:rPr>
          <w:b/>
          <w:bCs/>
        </w:rPr>
        <w:t>Propósito:</w:t>
      </w:r>
      <w:r>
        <w:rPr/>
        <w:t xml:space="preserve"> Expectativas automatizadas de calidad de datos y resultados de validación. Proyecto oficial: </w:t>
      </w:r>
      <w:hyperlink r:id="rId24">
        <w:r>
          <w:rPr>
            <w:rStyle w:val="Hyperlink"/>
          </w:rPr>
          <w:t>Great Expectations</w:t>
        </w:r>
      </w:hyperlink>
    </w:p>
    <w:p>
      <w:pPr>
        <w:pStyle w:val="BodyText"/>
        <w:bidi w:val="0"/>
        <w:spacing w:before="86" w:after="86"/>
        <w:rPr/>
      </w:pPr>
      <w:r>
        <w:rPr>
          <w:b/>
          <w:bCs/>
        </w:rPr>
        <w:t>Inicio seguro:</w:t>
      </w:r>
      <w:r>
        <w:rPr/>
        <w:t xml:space="preserve"> Defina expectativas de exactitud, completitud, rango y nulos para datos sintéticos; ejecute validación; conserve suite/versión/resultados y excepciones.</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88" w:name="evidently"/>
      <w:r>
        <w:rPr/>
        <w:t>30.6 Evidently</w:t>
      </w:r>
      <w:bookmarkEnd w:id="88"/>
    </w:p>
    <w:p>
      <w:pPr>
        <w:pStyle w:val="Firstparagraph"/>
        <w:bidi w:val="0"/>
        <w:rPr/>
      </w:pPr>
      <w:r>
        <w:rPr>
          <w:b/>
          <w:bCs/>
        </w:rPr>
        <w:t>Propósito:</w:t>
      </w:r>
      <w:r>
        <w:rPr/>
        <w:t xml:space="preserve"> Calidad de datos, deriva, desempeño del modelo e informes de seguimiento. Proyecto oficial: </w:t>
      </w:r>
      <w:hyperlink r:id="rId25">
        <w:r>
          <w:rPr>
            <w:rStyle w:val="Hyperlink"/>
          </w:rPr>
          <w:t>Evidently</w:t>
        </w:r>
      </w:hyperlink>
    </w:p>
    <w:p>
      <w:pPr>
        <w:pStyle w:val="BodyText"/>
        <w:bidi w:val="0"/>
        <w:spacing w:before="86" w:after="86"/>
        <w:rPr/>
      </w:pPr>
      <w:r>
        <w:rPr>
          <w:b/>
          <w:bCs/>
        </w:rPr>
        <w:t>Inicio seguro:</w:t>
      </w:r>
      <w:r>
        <w:rPr/>
        <w:t xml:space="preserve"> Cree conjuntos sintéticos de referencia y actuales; ejecute un informe; defina umbrales de acción; investigue antes de reentrenar o revertir.</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89" w:name="deepchecks"/>
      <w:r>
        <w:rPr/>
        <w:t>30.7 Deepchecks</w:t>
      </w:r>
      <w:bookmarkEnd w:id="89"/>
    </w:p>
    <w:p>
      <w:pPr>
        <w:pStyle w:val="Firstparagraph"/>
        <w:bidi w:val="0"/>
        <w:rPr/>
      </w:pPr>
      <w:r>
        <w:rPr>
          <w:b/>
          <w:bCs/>
        </w:rPr>
        <w:t>Propósito:</w:t>
      </w:r>
      <w:r>
        <w:rPr/>
        <w:t xml:space="preserve"> Pruebas para datos, modelos ML y aplicaciones LLM. Proyecto oficial: </w:t>
      </w:r>
      <w:hyperlink r:id="rId26">
        <w:r>
          <w:rPr>
            <w:rStyle w:val="Hyperlink"/>
          </w:rPr>
          <w:t>Deepchecks</w:t>
        </w:r>
      </w:hyperlink>
    </w:p>
    <w:p>
      <w:pPr>
        <w:pStyle w:val="BodyText"/>
        <w:bidi w:val="0"/>
        <w:spacing w:before="86" w:after="86"/>
        <w:rPr/>
      </w:pPr>
      <w:r>
        <w:rPr>
          <w:b/>
          <w:bCs/>
        </w:rPr>
        <w:t>Inicio seguro:</w:t>
      </w:r>
      <w:r>
        <w:rPr/>
        <w:t xml:space="preserve"> Ejecute una suite enfocada sobre datos de laboratorio aprobados; revise relevancia y falsos positivos; registre excepciones; repita después de la corrección.</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90" w:name="giskard"/>
      <w:r>
        <w:rPr/>
        <w:t>30.8 Giskard</w:t>
      </w:r>
      <w:bookmarkEnd w:id="90"/>
    </w:p>
    <w:p>
      <w:pPr>
        <w:pStyle w:val="Firstparagraph"/>
        <w:bidi w:val="0"/>
        <w:rPr/>
      </w:pPr>
      <w:r>
        <w:rPr>
          <w:b/>
          <w:bCs/>
        </w:rPr>
        <w:t>Propósito:</w:t>
      </w:r>
      <w:r>
        <w:rPr/>
        <w:t xml:space="preserve"> Pruebas de IA y análisis de vulnerabilidades. Proyecto oficial: </w:t>
      </w:r>
      <w:hyperlink r:id="rId27">
        <w:r>
          <w:rPr>
            <w:rStyle w:val="Hyperlink"/>
          </w:rPr>
          <w:t>Giskard</w:t>
        </w:r>
      </w:hyperlink>
    </w:p>
    <w:p>
      <w:pPr>
        <w:pStyle w:val="BodyText"/>
        <w:bidi w:val="0"/>
        <w:spacing w:before="86" w:after="86"/>
        <w:rPr/>
      </w:pPr>
      <w:r>
        <w:rPr>
          <w:b/>
          <w:bCs/>
        </w:rPr>
        <w:t>Inicio seguro:</w:t>
      </w:r>
      <w:r>
        <w:rPr/>
        <w:t xml:space="preserve"> Conecte solo un modelo y conjunto de prueba aprobados; seleccione pruebas pertinentes; valide fallas manualmente; conserve informe y nueva prueba de remediación.</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91" w:name="promptfoo"/>
      <w:r>
        <w:rPr/>
        <w:t>30.9 Promptfoo</w:t>
      </w:r>
      <w:bookmarkEnd w:id="91"/>
    </w:p>
    <w:p>
      <w:pPr>
        <w:pStyle w:val="Firstparagraph"/>
        <w:bidi w:val="0"/>
        <w:rPr/>
      </w:pPr>
      <w:r>
        <w:rPr>
          <w:b/>
          <w:bCs/>
        </w:rPr>
        <w:t>Propósito:</w:t>
      </w:r>
      <w:r>
        <w:rPr/>
        <w:t xml:space="preserve"> Evaluaciones de prompts, modelos, RAG y red teaming. Proyecto oficial: </w:t>
      </w:r>
      <w:hyperlink r:id="rId28">
        <w:r>
          <w:rPr>
            <w:rStyle w:val="Hyperlink"/>
          </w:rPr>
          <w:t>Promptfoo</w:t>
        </w:r>
      </w:hyperlink>
    </w:p>
    <w:p>
      <w:pPr>
        <w:pStyle w:val="BodyText"/>
        <w:bidi w:val="0"/>
        <w:spacing w:before="86" w:after="86"/>
        <w:rPr/>
      </w:pPr>
      <w:r>
        <w:rPr>
          <w:b/>
          <w:bCs/>
        </w:rPr>
        <w:t>Inicio seguro:</w:t>
      </w:r>
      <w:r>
        <w:rPr/>
        <w:t xml:space="preserve"> Cree una suite YAML versionada con casos sintéticos y comportamiento esperado; ejecútela localmente; revise fallas; conserve configuración y resultados.</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92" w:name="garak"/>
      <w:r>
        <w:rPr/>
        <w:t>30.10 Garak</w:t>
      </w:r>
      <w:bookmarkEnd w:id="92"/>
    </w:p>
    <w:p>
      <w:pPr>
        <w:pStyle w:val="Firstparagraph"/>
        <w:bidi w:val="0"/>
        <w:rPr/>
      </w:pPr>
      <w:r>
        <w:rPr>
          <w:b/>
          <w:bCs/>
        </w:rPr>
        <w:t>Propósito:</w:t>
      </w:r>
      <w:r>
        <w:rPr/>
        <w:t xml:space="preserve"> Análisis y sondas de vulnerabilidades de LLM. Proyecto oficial: </w:t>
      </w:r>
      <w:hyperlink r:id="rId29">
        <w:r>
          <w:rPr>
            <w:rStyle w:val="Hyperlink"/>
          </w:rPr>
          <w:t>Garak</w:t>
        </w:r>
      </w:hyperlink>
    </w:p>
    <w:p>
      <w:pPr>
        <w:pStyle w:val="BodyText"/>
        <w:bidi w:val="0"/>
        <w:spacing w:before="86" w:after="86"/>
        <w:rPr/>
      </w:pPr>
      <w:r>
        <w:rPr>
          <w:b/>
          <w:bCs/>
        </w:rPr>
        <w:t>Inicio seguro:</w:t>
      </w:r>
      <w:r>
        <w:rPr/>
        <w:t xml:space="preserve"> Utilice un modelo aislado de laboratorio y un conjunto limitado de sondas aprobadas; limite solicitudes y costos; proteja resultados; valide cada hallazgo.</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93" w:name="pyrit"/>
      <w:r>
        <w:rPr/>
        <w:t>30.11 PyRIT</w:t>
      </w:r>
      <w:bookmarkEnd w:id="93"/>
    </w:p>
    <w:p>
      <w:pPr>
        <w:pStyle w:val="Firstparagraph"/>
        <w:bidi w:val="0"/>
        <w:rPr/>
      </w:pPr>
      <w:r>
        <w:rPr>
          <w:b/>
          <w:bCs/>
        </w:rPr>
        <w:t>Propósito:</w:t>
      </w:r>
      <w:r>
        <w:rPr/>
        <w:t xml:space="preserve"> Identificación de riesgos y orquestación de red teaming para IA generativa. Proyecto oficial: </w:t>
      </w:r>
      <w:hyperlink r:id="rId30">
        <w:r>
          <w:rPr>
            <w:rStyle w:val="Hyperlink"/>
          </w:rPr>
          <w:t>PyRIT</w:t>
        </w:r>
      </w:hyperlink>
    </w:p>
    <w:p>
      <w:pPr>
        <w:pStyle w:val="BodyText"/>
        <w:bidi w:val="0"/>
        <w:spacing w:before="86" w:after="86"/>
        <w:rPr/>
      </w:pPr>
      <w:r>
        <w:rPr>
          <w:b/>
          <w:bCs/>
        </w:rPr>
        <w:t>Inicio seguro:</w:t>
      </w:r>
      <w:r>
        <w:rPr/>
        <w:t xml:space="preserve"> Defina reglas escritas de laboratorio; use objetivos inocuos y datos sintéticos; establezca límites de solicitudes/tiempo/costo; proteja transcripciones y hallazgos.</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94" w:name="inspect-ai"/>
      <w:r>
        <w:rPr/>
        <w:t>30.12 Inspect AI</w:t>
      </w:r>
      <w:bookmarkEnd w:id="94"/>
    </w:p>
    <w:p>
      <w:pPr>
        <w:pStyle w:val="Firstparagraph"/>
        <w:bidi w:val="0"/>
        <w:rPr/>
      </w:pPr>
      <w:r>
        <w:rPr>
          <w:b/>
          <w:bCs/>
        </w:rPr>
        <w:t>Propósito:</w:t>
      </w:r>
      <w:r>
        <w:rPr/>
        <w:t xml:space="preserve"> Evaluaciones reproducibles de IA. Proyecto oficial: </w:t>
      </w:r>
      <w:hyperlink r:id="rId31">
        <w:r>
          <w:rPr>
            <w:rStyle w:val="Hyperlink"/>
          </w:rPr>
          <w:t>Inspect AI</w:t>
        </w:r>
      </w:hyperlink>
    </w:p>
    <w:p>
      <w:pPr>
        <w:pStyle w:val="BodyText"/>
        <w:bidi w:val="0"/>
        <w:spacing w:before="86" w:after="86"/>
        <w:rPr/>
      </w:pPr>
      <w:r>
        <w:rPr>
          <w:b/>
          <w:bCs/>
        </w:rPr>
        <w:t>Inicio seguro:</w:t>
      </w:r>
      <w:r>
        <w:rPr/>
        <w:t xml:space="preserve"> Defina tarea, conjunto de datos, solver, evaluador y regla de aceptación; fije versiones; ejecute un modelo aprobado; conserve logs y limitaciones.</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95" w:name="presidio"/>
      <w:r>
        <w:rPr/>
        <w:t>30.13 Presidio</w:t>
      </w:r>
      <w:bookmarkEnd w:id="95"/>
    </w:p>
    <w:p>
      <w:pPr>
        <w:pStyle w:val="Firstparagraph"/>
        <w:bidi w:val="0"/>
        <w:rPr/>
      </w:pPr>
      <w:r>
        <w:rPr>
          <w:b/>
          <w:bCs/>
        </w:rPr>
        <w:t>Propósito:</w:t>
      </w:r>
      <w:r>
        <w:rPr/>
        <w:t xml:space="preserve"> Detección y desidentificación de información personal. Proyecto oficial: </w:t>
      </w:r>
      <w:hyperlink r:id="rId32">
        <w:r>
          <w:rPr>
            <w:rStyle w:val="Hyperlink"/>
          </w:rPr>
          <w:t>Presidio</w:t>
        </w:r>
      </w:hyperlink>
    </w:p>
    <w:p>
      <w:pPr>
        <w:pStyle w:val="BodyText"/>
        <w:bidi w:val="0"/>
        <w:spacing w:before="86" w:after="86"/>
        <w:rPr/>
      </w:pPr>
      <w:r>
        <w:rPr>
          <w:b/>
          <w:bCs/>
        </w:rPr>
        <w:t>Inicio seguro:</w:t>
      </w:r>
      <w:r>
        <w:rPr/>
        <w:t xml:space="preserve"> Pruebe con ejemplos sintéticos; configure reconocedores para idioma/contexto; inspeccione falsos positivos y omisiones; proteja la salida del analizador.</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96" w:name="modelscan"/>
      <w:r>
        <w:rPr/>
        <w:t>30.14 ModelScan</w:t>
      </w:r>
      <w:bookmarkEnd w:id="96"/>
    </w:p>
    <w:p>
      <w:pPr>
        <w:pStyle w:val="Firstparagraph"/>
        <w:bidi w:val="0"/>
        <w:rPr/>
      </w:pPr>
      <w:r>
        <w:rPr>
          <w:b/>
          <w:bCs/>
        </w:rPr>
        <w:t>Propósito:</w:t>
      </w:r>
      <w:r>
        <w:rPr/>
        <w:t xml:space="preserve"> Análisis estático de archivos de modelos serializados. Proyecto oficial: </w:t>
      </w:r>
      <w:hyperlink r:id="rId33">
        <w:r>
          <w:rPr>
            <w:rStyle w:val="Hyperlink"/>
          </w:rPr>
          <w:t>ModelScan</w:t>
        </w:r>
      </w:hyperlink>
    </w:p>
    <w:p>
      <w:pPr>
        <w:pStyle w:val="BodyText"/>
        <w:bidi w:val="0"/>
        <w:spacing w:before="86" w:after="86"/>
        <w:rPr/>
      </w:pPr>
      <w:r>
        <w:rPr>
          <w:b/>
          <w:bCs/>
        </w:rPr>
        <w:t>Inicio seguro:</w:t>
      </w:r>
      <w:r>
        <w:rPr/>
        <w:t xml:space="preserve"> Analice un artefacto en cuarentena; verifique fuente y hash; investigue advertencias; nunca cargue un modelo no confiable solamente para probarlo.</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97" w:name="cyclonedx"/>
      <w:r>
        <w:rPr/>
        <w:t>30.15 CycloneDX</w:t>
      </w:r>
      <w:bookmarkEnd w:id="97"/>
    </w:p>
    <w:p>
      <w:pPr>
        <w:pStyle w:val="Firstparagraph"/>
        <w:bidi w:val="0"/>
        <w:rPr/>
      </w:pPr>
      <w:r>
        <w:rPr>
          <w:b/>
          <w:bCs/>
        </w:rPr>
        <w:t>Propósito:</w:t>
      </w:r>
      <w:r>
        <w:rPr/>
        <w:t xml:space="preserve"> Formatos y herramientas de lista de materiales de software, ML e IA. Proyecto oficial: </w:t>
      </w:r>
      <w:hyperlink r:id="rId34">
        <w:r>
          <w:rPr>
            <w:rStyle w:val="Hyperlink"/>
          </w:rPr>
          <w:t>CycloneDX</w:t>
        </w:r>
      </w:hyperlink>
    </w:p>
    <w:p>
      <w:pPr>
        <w:pStyle w:val="BodyText"/>
        <w:bidi w:val="0"/>
        <w:spacing w:before="86" w:after="86"/>
        <w:rPr/>
      </w:pPr>
      <w:r>
        <w:rPr>
          <w:b/>
          <w:bCs/>
        </w:rPr>
        <w:t>Inicio seguro:</w:t>
      </w:r>
      <w:r>
        <w:rPr/>
        <w:t xml:space="preserve"> Genere una lista de materiales para un repositorio de laboratorio; valide componentes y versiones; vincule hallazgos con propietarios y registros de proveedores.</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98" w:name="open-policy-agent"/>
      <w:r>
        <w:rPr/>
        <w:t>30.16 Open Policy Agent</w:t>
      </w:r>
      <w:bookmarkEnd w:id="98"/>
    </w:p>
    <w:p>
      <w:pPr>
        <w:pStyle w:val="Firstparagraph"/>
        <w:bidi w:val="0"/>
        <w:rPr/>
      </w:pPr>
      <w:r>
        <w:rPr>
          <w:b/>
          <w:bCs/>
        </w:rPr>
        <w:t>Propósito:</w:t>
      </w:r>
      <w:r>
        <w:rPr/>
        <w:t xml:space="preserve"> Decisiones de política como código. Proyecto oficial: </w:t>
      </w:r>
      <w:hyperlink r:id="rId35">
        <w:r>
          <w:rPr>
            <w:rStyle w:val="Hyperlink"/>
          </w:rPr>
          <w:t>Open Policy Agent</w:t>
        </w:r>
      </w:hyperlink>
    </w:p>
    <w:p>
      <w:pPr>
        <w:pStyle w:val="BodyText"/>
        <w:bidi w:val="0"/>
        <w:spacing w:before="86" w:after="86"/>
        <w:rPr/>
      </w:pPr>
      <w:r>
        <w:rPr>
          <w:b/>
          <w:bCs/>
        </w:rPr>
        <w:t>Inicio seguro:</w:t>
      </w:r>
      <w:r>
        <w:rPr/>
        <w:t xml:space="preserve"> Escriba una regla pequeña de laboratorio para modelo/datos/uso aprobados; pruebe permitir, negar y casos con datos faltantes; haga revisión por pares; conserve autoridad humana para excepciones.</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99" w:name="defectdojo"/>
      <w:r>
        <w:rPr/>
        <w:t>30.17 DefectDojo</w:t>
      </w:r>
      <w:bookmarkEnd w:id="99"/>
    </w:p>
    <w:p>
      <w:pPr>
        <w:pStyle w:val="Firstparagraph"/>
        <w:bidi w:val="0"/>
        <w:rPr/>
      </w:pPr>
      <w:r>
        <w:rPr>
          <w:b/>
          <w:bCs/>
        </w:rPr>
        <w:t>Propósito:</w:t>
      </w:r>
      <w:r>
        <w:rPr/>
        <w:t xml:space="preserve"> Admisión, deduplicación, propiedad, remediación y nueva prueba de hallazgos. Proyecto oficial: </w:t>
      </w:r>
      <w:hyperlink r:id="rId36">
        <w:r>
          <w:rPr>
            <w:rStyle w:val="Hyperlink"/>
          </w:rPr>
          <w:t>DefectDojo</w:t>
        </w:r>
      </w:hyperlink>
    </w:p>
    <w:p>
      <w:pPr>
        <w:pStyle w:val="BodyText"/>
        <w:bidi w:val="0"/>
        <w:spacing w:before="86" w:after="86"/>
        <w:rPr/>
      </w:pPr>
      <w:r>
        <w:rPr>
          <w:b/>
          <w:bCs/>
        </w:rPr>
        <w:t>Inicio seguro:</w:t>
      </w:r>
      <w:r>
        <w:rPr/>
        <w:t xml:space="preserve"> Importe resultados seguros de laboratorio; valide duplicados y gravedad; asigne propietario/fecha; adjunte evidencia; cierre solo después de nueva prueba.</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2"/>
        <w:tabs>
          <w:tab w:val="clear" w:pos="709"/>
          <w:tab w:val="left" w:pos="0" w:leader="none"/>
        </w:tabs>
        <w:bidi w:val="0"/>
        <w:ind w:hanging="0" w:start="0"/>
        <w:jc w:val="left"/>
        <w:rPr/>
        <w:keepNext/>
      </w:pPr>
      <w:bookmarkStart w:id="100" w:name="langfuse"/>
      <w:r>
        <w:rPr/>
        <w:t>30.18 Langfuse</w:t>
      </w:r>
      <w:bookmarkEnd w:id="100"/>
    </w:p>
    <w:p>
      <w:pPr>
        <w:pStyle w:val="Firstparagraph"/>
        <w:bidi w:val="0"/>
        <w:rPr/>
      </w:pPr>
      <w:r>
        <w:rPr>
          <w:b/>
          <w:bCs/>
        </w:rPr>
        <w:t>Propósito:</w:t>
      </w:r>
      <w:r>
        <w:rPr/>
        <w:t xml:space="preserve"> Trazabilidad de LLM, gestión de prompts y evaluación de código abierto. Proyecto oficial: </w:t>
      </w:r>
      <w:hyperlink r:id="rId37">
        <w:r>
          <w:rPr>
            <w:rStyle w:val="Hyperlink"/>
          </w:rPr>
          <w:t>Langfuse</w:t>
        </w:r>
      </w:hyperlink>
    </w:p>
    <w:p>
      <w:pPr>
        <w:pStyle w:val="BodyText"/>
        <w:bidi w:val="0"/>
        <w:spacing w:before="86" w:after="86"/>
        <w:rPr/>
      </w:pPr>
      <w:r>
        <w:rPr>
          <w:b/>
          <w:bCs/>
        </w:rPr>
        <w:t>Inicio seguro:</w:t>
      </w:r>
      <w:r>
        <w:rPr/>
        <w:t xml:space="preserve"> Use un laboratorio aprobado; redacte campos sensibles; trace un flujo; restrinja acceso/retención; conecte trazas con evaluación y registros de incidentes.</w:t>
      </w:r>
    </w:p>
    <w:p>
      <w:pPr>
        <w:pStyle w:val="BodyText"/>
        <w:bidi w:val="0"/>
        <w:spacing w:before="86" w:after="86"/>
        <w:rPr/>
      </w:pPr>
      <w:r>
        <w:rPr>
          <w:b/>
          <w:bCs/>
        </w:rPr>
        <w:t>Evidencia del SGIA:</w:t>
      </w:r>
      <w:r>
        <w:rPr/>
        <w:t xml:space="preserve"> autoridad/alcance, versiones de sistema/modelo/datos, identidad, herramienta/versión/configuración, criterios/umbrales, fecha, población fuente, resultado, validación humana, limitaciones, hallazgo, propietario/acción, aprobación y nueva prueba.</w:t>
      </w:r>
    </w:p>
    <w:p>
      <w:pPr>
        <w:pStyle w:val="Heading1"/>
        <w:tabs>
          <w:tab w:val="clear" w:pos="709"/>
          <w:tab w:val="left" w:pos="0" w:leader="none"/>
        </w:tabs>
        <w:bidi w:val="0"/>
        <w:ind w:hanging="0" w:start="0"/>
        <w:jc w:val="left"/>
        <w:rPr/>
        <w:keepNext/>
      </w:pPr>
      <w:bookmarkStart w:id="101" w:name="guía-práctica-para-responsables-y-analis"/>
      <w:r>
        <w:rPr/>
        <w:t>31. Guía práctica para responsables y analistas junior, laboratorio y entrevistas</w:t>
      </w:r>
      <w:bookmarkEnd w:id="101"/>
    </w:p>
    <w:p>
      <w:pPr>
        <w:pStyle w:val="Firstparagraph"/>
        <w:bidi w:val="0"/>
        <w:rPr>
          <w:i/>
          <w:iCs/>
        </w:rPr>
      </w:pPr>
      <w:r>
        <w:rPr>
          <w:i/>
          <w:iCs/>
        </w:rPr>
        <w:t>Los responsables mantienen el SGIA conectado con resultados reales; los analistas junior crean inventarios, papeles de trabajo, hallazgos y evidencia de mejora confiables.</w:t>
      </w:r>
    </w:p>
    <w:p>
      <w:pPr>
        <w:pStyle w:val="FigureWithCaption"/>
        <w:keepNext w:val="true"/>
        <w:suppressLineNumbers/>
        <w:bidi w:val="0"/>
        <w:rPr/>
      </w:pPr>
      <w:r>
        <w:rPr/>
        <w:drawing>
          <wp:inline distT="0" distB="0" distL="0" distR="0">
            <wp:extent cx="5623560" cy="2955925"/>
            <wp:effectExtent l="0" t="0" r="0" b="0"/>
            <wp:docPr id="10" name="Manual 02 Figure 10" title="Figure 10" descr="El trabajo práctico y las limitaciones declaradas con honestidad valen más que memorizar números de cláusu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10"/>
                    <pic:cNvPicPr>
                      <a:picLocks noChangeAspect="1" noChangeArrowheads="1"/>
                    </pic:cNvPicPr>
                  </pic:nvPicPr>
                  <pic:blipFill>
                    <a:blip r:embed="rId38">
                      <a:extLst>
                        <a:ext uri="{96DAC541-7B7A-43D3-8B79-37D633B846F1}">
                          <asvg:svgBlip xmlns:asvg="http://schemas.microsoft.com/office/drawing/2016/SVG/main" r:embed="rId39"/>
                        </a:ext>
                      </a:extLst>
                    </a:blip>
                    <a:stretch>
                      <a:fillRect/>
                    </a:stretch>
                  </pic:blipFill>
                  <pic:spPr bwMode="auto">
                    <a:xfrm>
                      <a:off x="0" y="0"/>
                      <a:ext cx="5623560" cy="2955925"/>
                    </a:xfrm>
                    <a:prstGeom prst="rect">
                      <a:avLst/>
                    </a:prstGeom>
                    <a:noFill/>
                  </pic:spPr>
                </pic:pic>
              </a:graphicData>
            </a:graphic>
          </wp:inline>
        </w:drawing>
      </w:r>
    </w:p>
    <w:p>
      <w:pPr>
        <w:pStyle w:val="FigureCaption"/>
        <w:bidi w:val="0"/>
        <w:rPr/>
        <w:keepNext/>
      </w:pPr>
      <w:r>
        <w:rPr/>
        <w:t>El trabajo práctico y las limitaciones declaradas con honestidad valen más que memorizar números de cláusulas.</w:t>
      </w:r>
    </w:p>
    <w:p>
      <w:pPr>
        <w:pStyle w:val="Caption"/>
        <w:bidi w:val="0"/>
        <w:spacing w:before="86" w:after="86"/>
        <w:rPr/>
        <w:keepNext/>
      </w:pPr>
      <w:r>
        <w:rPr/>
        <w:t>Figura 10. Ruta del analista junior de SGIA</w:t>
      </w:r>
    </w:p>
    <w:p>
      <w:pPr>
        <w:pStyle w:val="BlockQuotation"/>
        <w:bidi w:val="0"/>
        <w:ind w:hanging="0" w:start="720" w:end="0"/>
        <w:rPr/>
      </w:pPr>
      <w:r>
        <w:rPr>
          <w:b/>
          <w:bCs/>
        </w:rPr>
        <w:t>Explicación accesible:</w:t>
      </w:r>
      <w:r>
        <w:rPr/>
        <w:t xml:space="preserve"> La ruta del analista junior comienza con comprensión de alcance y criterios, continúa con inventarios y evidencia, pruebas y papeles de trabajo, redacción objetiva de hallazgos, seguimiento de acciones y aprendizaje continuo, sin asumir autoridad de certificación o auditoría que no corresponda.</w:t>
      </w:r>
    </w:p>
    <w:p>
      <w:pPr>
        <w:pStyle w:val="Heading2"/>
        <w:tabs>
          <w:tab w:val="clear" w:pos="709"/>
          <w:tab w:val="left" w:pos="0" w:leader="none"/>
        </w:tabs>
        <w:bidi w:val="0"/>
        <w:ind w:hanging="0" w:start="0"/>
        <w:jc w:val="left"/>
        <w:rPr/>
        <w:keepNext/>
      </w:pPr>
      <w:bookmarkStart w:id="102" w:name="preguntas-para-responsables"/>
      <w:r>
        <w:rPr/>
        <w:t>31.1 Preguntas para responsables</w:t>
      </w:r>
      <w:bookmarkEnd w:id="102"/>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rPr>
          <w:tblHeader w:val="true"/>
          <w:cantSplit/>
        </w:trPr>
        <w:tc>
          <w:tcPr>
            <w:tcW w:w="3120" w:type="dxa"/>
            <w:tcBorders/>
            <w:vAlign w:val="center"/>
            <w:shd w:fill="1F4E78"/>
          </w:tcPr>
          <w:p>
            <w:pPr>
              <w:pStyle w:val="TableHeading"/>
              <w:bidi w:val="0"/>
              <w:spacing w:before="0" w:after="40"/>
              <w:rPr>
                <w:b/>
                <w:bCs/>
              </w:rPr>
            </w:pPr>
            <w:r>
              <w:rPr>
                <w:b/>
                <w:bCs/>
                <w:sz w:val="19"/>
                <w:color w:val="FFFFFF"/>
              </w:rPr>
              <w:t>Pregunta</w:t>
            </w:r>
          </w:p>
        </w:tc>
        <w:tc>
          <w:tcPr>
            <w:tcW w:w="3120" w:type="dxa"/>
            <w:tcBorders/>
            <w:vAlign w:val="center"/>
            <w:shd w:fill="1F4E78"/>
          </w:tcPr>
          <w:p>
            <w:pPr>
              <w:pStyle w:val="TableHeading"/>
              <w:bidi w:val="0"/>
              <w:spacing w:before="0" w:after="40"/>
              <w:rPr>
                <w:b/>
                <w:bCs/>
              </w:rPr>
            </w:pPr>
            <w:r>
              <w:rPr>
                <w:b/>
                <w:bCs/>
                <w:sz w:val="19"/>
                <w:color w:val="FFFFFF"/>
              </w:rPr>
              <w:t>Evidencia sólida</w:t>
            </w:r>
          </w:p>
        </w:tc>
        <w:tc>
          <w:tcPr>
            <w:tcW w:w="3120" w:type="dxa"/>
            <w:tcBorders/>
            <w:vAlign w:val="center"/>
            <w:shd w:fill="1F4E78"/>
          </w:tcPr>
          <w:p>
            <w:pPr>
              <w:pStyle w:val="TableHeading"/>
              <w:bidi w:val="0"/>
              <w:spacing w:before="0" w:after="40"/>
              <w:rPr>
                <w:b/>
                <w:bCs/>
              </w:rPr>
            </w:pPr>
            <w:r>
              <w:rPr>
                <w:b/>
                <w:bCs/>
                <w:sz w:val="19"/>
                <w:color w:val="FFFFFF"/>
              </w:rPr>
              <w:t>Señal de alerta</w:t>
            </w:r>
          </w:p>
        </w:tc>
      </w:tr>
      <w:tr>
        <w:trPr>
          <w:cantSplit/>
        </w:trPr>
        <w:tc>
          <w:tcPr>
            <w:tcW w:w="3120" w:type="dxa"/>
            <w:tcBorders/>
            <w:vAlign w:val="center"/>
          </w:tcPr>
          <w:p>
            <w:pPr>
              <w:pStyle w:val="TableContents"/>
              <w:suppressLineNumbers/>
              <w:bidi w:val="0"/>
              <w:spacing w:before="0" w:after="40"/>
              <w:ind w:hanging="0" w:start="43" w:end="43"/>
              <w:rPr/>
            </w:pPr>
            <w:r>
              <w:rPr>
                <w:sz w:val="19"/>
              </w:rPr>
              <w:t>¿Qué está dentro del alcance?</w:t>
            </w:r>
          </w:p>
        </w:tc>
        <w:tc>
          <w:tcPr>
            <w:tcW w:w="3120" w:type="dxa"/>
            <w:tcBorders/>
            <w:vAlign w:val="center"/>
          </w:tcPr>
          <w:p>
            <w:pPr>
              <w:pStyle w:val="TableContents"/>
              <w:suppressLineNumbers/>
              <w:bidi w:val="0"/>
              <w:spacing w:before="0" w:after="40"/>
              <w:ind w:hanging="0" w:start="43" w:end="43"/>
              <w:rPr/>
            </w:pPr>
            <w:r>
              <w:rPr>
                <w:sz w:val="19"/>
              </w:rPr>
              <w:t>Inventario reconciliado de IA y límites de organización/función/sistema/datos/proveedor</w:t>
            </w:r>
          </w:p>
        </w:tc>
        <w:tc>
          <w:tcPr>
            <w:tcW w:w="3120" w:type="dxa"/>
            <w:tcBorders/>
            <w:vAlign w:val="center"/>
          </w:tcPr>
          <w:p>
            <w:pPr>
              <w:pStyle w:val="TableContents"/>
              <w:suppressLineNumbers/>
              <w:bidi w:val="0"/>
              <w:spacing w:before="0" w:after="40"/>
              <w:ind w:hanging="0" w:start="43" w:end="43"/>
              <w:rPr/>
            </w:pPr>
            <w:r>
              <w:rPr>
                <w:sz w:val="19"/>
              </w:rPr>
              <w:t>Alcance de marketing más amplio que el certificado</w:t>
            </w:r>
          </w:p>
        </w:tc>
      </w:tr>
      <w:tr>
        <w:trPr>
          <w:cantSplit/>
        </w:trPr>
        <w:tc>
          <w:tcPr>
            <w:tcW w:w="3120" w:type="dxa"/>
            <w:tcBorders/>
            <w:vAlign w:val="center"/>
          </w:tcPr>
          <w:p>
            <w:pPr>
              <w:pStyle w:val="TableContents"/>
              <w:suppressLineNumbers/>
              <w:bidi w:val="0"/>
              <w:spacing w:before="0" w:after="40"/>
              <w:ind w:hanging="0" w:start="43" w:end="43"/>
              <w:rPr/>
            </w:pPr>
            <w:r>
              <w:rPr>
                <w:sz w:val="19"/>
              </w:rPr>
              <w:t>¿Quién puede decidir?</w:t>
            </w:r>
          </w:p>
        </w:tc>
        <w:tc>
          <w:tcPr>
            <w:tcW w:w="3120" w:type="dxa"/>
            <w:tcBorders/>
            <w:vAlign w:val="center"/>
          </w:tcPr>
          <w:p>
            <w:pPr>
              <w:pStyle w:val="TableContents"/>
              <w:suppressLineNumbers/>
              <w:bidi w:val="0"/>
              <w:spacing w:before="0" w:after="40"/>
              <w:ind w:hanging="0" w:start="43" w:end="43"/>
              <w:rPr/>
            </w:pPr>
            <w:r>
              <w:rPr>
                <w:sz w:val="19"/>
              </w:rPr>
              <w:t>Autoridad nombrada de negocio, sistema, datos, impacto, riesgo, proveedor, incidente y auditoría</w:t>
            </w:r>
          </w:p>
        </w:tc>
        <w:tc>
          <w:tcPr>
            <w:tcW w:w="3120" w:type="dxa"/>
            <w:tcBorders/>
            <w:vAlign w:val="center"/>
          </w:tcPr>
          <w:p>
            <w:pPr>
              <w:pStyle w:val="TableContents"/>
              <w:suppressLineNumbers/>
              <w:bidi w:val="0"/>
              <w:spacing w:before="0" w:after="40"/>
              <w:ind w:hanging="0" w:start="43" w:end="43"/>
              <w:rPr/>
            </w:pPr>
            <w:r>
              <w:rPr>
                <w:sz w:val="19"/>
              </w:rPr>
              <w:t>El equipo de IA acepta solo el riesgo legal/comercial</w:t>
            </w:r>
          </w:p>
        </w:tc>
      </w:tr>
      <w:tr>
        <w:trPr>
          <w:cantSplit/>
        </w:trPr>
        <w:tc>
          <w:tcPr>
            <w:tcW w:w="3120" w:type="dxa"/>
            <w:tcBorders/>
            <w:vAlign w:val="center"/>
          </w:tcPr>
          <w:p>
            <w:pPr>
              <w:pStyle w:val="TableContents"/>
              <w:suppressLineNumbers/>
              <w:bidi w:val="0"/>
              <w:spacing w:before="0" w:after="40"/>
              <w:ind w:hanging="0" w:start="43" w:end="43"/>
              <w:rPr/>
            </w:pPr>
            <w:r>
              <w:rPr>
                <w:sz w:val="19"/>
              </w:rPr>
              <w:t>¿Qué daños son posibles?</w:t>
            </w:r>
          </w:p>
        </w:tc>
        <w:tc>
          <w:tcPr>
            <w:tcW w:w="3120" w:type="dxa"/>
            <w:tcBorders/>
            <w:vAlign w:val="center"/>
          </w:tcPr>
          <w:p>
            <w:pPr>
              <w:pStyle w:val="TableContents"/>
              <w:suppressLineNumbers/>
              <w:bidi w:val="0"/>
              <w:spacing w:before="0" w:after="40"/>
              <w:ind w:hanging="0" w:start="43" w:end="43"/>
              <w:rPr/>
            </w:pPr>
            <w:r>
              <w:rPr>
                <w:sz w:val="19"/>
              </w:rPr>
              <w:t>Evaluaciones vigentes de riesgo e impacto con personas afectadas y alternativas</w:t>
            </w:r>
          </w:p>
        </w:tc>
        <w:tc>
          <w:tcPr>
            <w:tcW w:w="3120" w:type="dxa"/>
            <w:tcBorders/>
            <w:vAlign w:val="center"/>
          </w:tcPr>
          <w:p>
            <w:pPr>
              <w:pStyle w:val="TableContents"/>
              <w:suppressLineNumbers/>
              <w:bidi w:val="0"/>
              <w:spacing w:before="0" w:after="40"/>
              <w:ind w:hanging="0" w:start="43" w:end="43"/>
              <w:rPr/>
            </w:pPr>
            <w:r>
              <w:rPr>
                <w:sz w:val="19"/>
              </w:rPr>
              <w:t>Solo se considera exactitud del modelo</w:t>
            </w:r>
          </w:p>
        </w:tc>
      </w:tr>
      <w:tr>
        <w:trPr>
          <w:cantSplit/>
        </w:trPr>
        <w:tc>
          <w:tcPr>
            <w:tcW w:w="3120" w:type="dxa"/>
            <w:tcBorders/>
            <w:vAlign w:val="center"/>
          </w:tcPr>
          <w:p>
            <w:pPr>
              <w:pStyle w:val="TableContents"/>
              <w:suppressLineNumbers/>
              <w:bidi w:val="0"/>
              <w:spacing w:before="0" w:after="40"/>
              <w:ind w:hanging="0" w:start="43" w:end="43"/>
              <w:rPr/>
            </w:pPr>
            <w:r>
              <w:rPr>
                <w:sz w:val="19"/>
              </w:rPr>
              <w:t>¿Qué demuestra preparación?</w:t>
            </w:r>
          </w:p>
        </w:tc>
        <w:tc>
          <w:tcPr>
            <w:tcW w:w="3120" w:type="dxa"/>
            <w:tcBorders/>
            <w:vAlign w:val="center"/>
          </w:tcPr>
          <w:p>
            <w:pPr>
              <w:pStyle w:val="TableContents"/>
              <w:suppressLineNumbers/>
              <w:bidi w:val="0"/>
              <w:spacing w:before="0" w:after="40"/>
              <w:ind w:hanging="0" w:start="43" w:end="43"/>
              <w:rPr/>
            </w:pPr>
            <w:r>
              <w:rPr>
                <w:sz w:val="19"/>
              </w:rPr>
              <w:t>Evaluación versionada y similar a producción, umbrales, fallas, supervisión y reversión</w:t>
            </w:r>
          </w:p>
        </w:tc>
        <w:tc>
          <w:tcPr>
            <w:tcW w:w="3120" w:type="dxa"/>
            <w:tcBorders/>
            <w:vAlign w:val="center"/>
          </w:tcPr>
          <w:p>
            <w:pPr>
              <w:pStyle w:val="TableContents"/>
              <w:suppressLineNumbers/>
              <w:bidi w:val="0"/>
              <w:spacing w:before="0" w:after="40"/>
              <w:ind w:hanging="0" w:start="43" w:end="43"/>
              <w:rPr/>
            </w:pPr>
            <w:r>
              <w:rPr>
                <w:sz w:val="19"/>
              </w:rPr>
              <w:t>Solo demostración del proveedor o política</w:t>
            </w:r>
          </w:p>
        </w:tc>
      </w:tr>
      <w:tr>
        <w:trPr>
          <w:cantSplit/>
        </w:trPr>
        <w:tc>
          <w:tcPr>
            <w:tcW w:w="3120" w:type="dxa"/>
            <w:tcBorders/>
            <w:vAlign w:val="center"/>
          </w:tcPr>
          <w:p>
            <w:pPr>
              <w:pStyle w:val="TableContents"/>
              <w:suppressLineNumbers/>
              <w:bidi w:val="0"/>
              <w:spacing w:before="0" w:after="40"/>
              <w:ind w:hanging="0" w:start="43" w:end="43"/>
              <w:rPr/>
            </w:pPr>
            <w:r>
              <w:rPr>
                <w:sz w:val="19"/>
              </w:rPr>
              <w:t>¿Qué cambia el riesgo?</w:t>
            </w:r>
          </w:p>
        </w:tc>
        <w:tc>
          <w:tcPr>
            <w:tcW w:w="3120" w:type="dxa"/>
            <w:tcBorders/>
            <w:vAlign w:val="center"/>
          </w:tcPr>
          <w:p>
            <w:pPr>
              <w:pStyle w:val="TableContents"/>
              <w:suppressLineNumbers/>
              <w:bidi w:val="0"/>
              <w:spacing w:before="0" w:after="40"/>
              <w:ind w:hanging="0" w:start="43" w:end="43"/>
              <w:rPr/>
            </w:pPr>
            <w:r>
              <w:rPr>
                <w:sz w:val="19"/>
              </w:rPr>
              <w:t>Lista de disparadores, seguimiento, aviso del proveedor, regresión y reevaluación</w:t>
            </w:r>
          </w:p>
        </w:tc>
        <w:tc>
          <w:tcPr>
            <w:tcW w:w="3120" w:type="dxa"/>
            <w:tcBorders/>
            <w:vAlign w:val="center"/>
          </w:tcPr>
          <w:p>
            <w:pPr>
              <w:pStyle w:val="TableContents"/>
              <w:suppressLineNumbers/>
              <w:bidi w:val="0"/>
              <w:spacing w:before="0" w:after="40"/>
              <w:ind w:hanging="0" w:start="43" w:end="43"/>
              <w:rPr/>
            </w:pPr>
            <w:r>
              <w:rPr>
                <w:sz w:val="19"/>
              </w:rPr>
              <w:t>Actualizaciones automáticas sin revisión</w:t>
            </w:r>
          </w:p>
        </w:tc>
      </w:tr>
      <w:tr>
        <w:trPr>
          <w:cantSplit/>
        </w:trPr>
        <w:tc>
          <w:tcPr>
            <w:tcW w:w="3120" w:type="dxa"/>
            <w:tcBorders/>
            <w:vAlign w:val="center"/>
          </w:tcPr>
          <w:p>
            <w:pPr>
              <w:pStyle w:val="TableContents"/>
              <w:suppressLineNumbers/>
              <w:bidi w:val="0"/>
              <w:spacing w:before="0" w:after="40"/>
              <w:ind w:hanging="0" w:start="43" w:end="43"/>
              <w:rPr/>
            </w:pPr>
            <w:r>
              <w:rPr>
                <w:sz w:val="19"/>
              </w:rPr>
              <w:t>¿Está mejorando el SGIA?</w:t>
            </w:r>
          </w:p>
        </w:tc>
        <w:tc>
          <w:tcPr>
            <w:tcW w:w="3120" w:type="dxa"/>
            <w:tcBorders/>
            <w:vAlign w:val="center"/>
          </w:tcPr>
          <w:p>
            <w:pPr>
              <w:pStyle w:val="TableContents"/>
              <w:suppressLineNumbers/>
              <w:bidi w:val="0"/>
              <w:spacing w:before="0" w:after="40"/>
              <w:ind w:hanging="0" w:start="43" w:end="43"/>
              <w:rPr/>
            </w:pPr>
            <w:r>
              <w:rPr>
                <w:sz w:val="19"/>
              </w:rPr>
              <w:t>Objetivos, auditoría, quejas/incidentes, causas raíz y acciones eficaces</w:t>
            </w:r>
          </w:p>
        </w:tc>
        <w:tc>
          <w:tcPr>
            <w:tcW w:w="3120" w:type="dxa"/>
            <w:tcBorders/>
            <w:vAlign w:val="center"/>
          </w:tcPr>
          <w:p>
            <w:pPr>
              <w:pStyle w:val="TableContents"/>
              <w:suppressLineNumbers/>
              <w:bidi w:val="0"/>
              <w:spacing w:before="0" w:after="40"/>
              <w:ind w:hanging="0" w:start="43" w:end="43"/>
              <w:rPr/>
            </w:pPr>
            <w:r>
              <w:rPr>
                <w:sz w:val="19"/>
              </w:rPr>
              <w:t>El certificado es la única medida de éxito</w:t>
            </w:r>
          </w:p>
        </w:tc>
      </w:tr>
    </w:tbl>
    <w:p>
      <w:pPr>
        <w:pStyle w:val="Heading2"/>
        <w:tabs>
          <w:tab w:val="clear" w:pos="709"/>
          <w:tab w:val="left" w:pos="0" w:leader="none"/>
        </w:tabs>
        <w:bidi w:val="0"/>
        <w:ind w:hanging="0" w:start="0"/>
        <w:jc w:val="left"/>
        <w:rPr/>
        <w:keepNext/>
      </w:pPr>
      <w:bookmarkStart w:id="103" w:name="trabajo-del-analista-junior"/>
      <w:r>
        <w:rPr/>
        <w:t>31.2 Trabajo del analista junior</w:t>
      </w:r>
      <w:bookmarkEnd w:id="103"/>
    </w:p>
    <w:p>
      <w:pPr>
        <w:pStyle w:val="BodyText"/>
        <w:numPr>
          <w:ilvl w:val="0"/>
          <w:numId w:val="47"/>
        </w:numPr>
        <w:bidi w:val="0"/>
        <w:spacing w:before="0" w:after="0"/>
        <w:rPr/>
      </w:pPr>
      <w:r>
        <w:rPr/>
        <w:t>Mantenga inventario de IA, alcance, partes interesadas, obligaciones, registros de riesgo/impacto, Declaración de Aplicabilidad, registros de proveedores, objetivos, evidencia y acciones.</w:t>
      </w:r>
    </w:p>
    <w:p>
      <w:pPr>
        <w:pStyle w:val="BodyText"/>
        <w:numPr>
          <w:ilvl w:val="0"/>
          <w:numId w:val="47"/>
        </w:numPr>
        <w:bidi w:val="0"/>
        <w:spacing w:before="0" w:after="0"/>
        <w:rPr/>
      </w:pPr>
      <w:r>
        <w:rPr/>
        <w:t>Mapee cláusulas/controles a procesos y evidencia real del sistema; reconcilie poblaciones y versiones.</w:t>
      </w:r>
    </w:p>
    <w:p>
      <w:pPr>
        <w:pStyle w:val="BodyText"/>
        <w:numPr>
          <w:ilvl w:val="0"/>
          <w:numId w:val="47"/>
        </w:numPr>
        <w:bidi w:val="0"/>
        <w:spacing w:before="0" w:after="0"/>
        <w:rPr/>
      </w:pPr>
      <w:r>
        <w:rPr/>
        <w:t>Pruebe control documental, competencia, puertas del ciclo de vida, linaje/calidad de datos, evaluación, uso responsable, cambio de proveedores, seguimiento, incidentes y acción correctiva.</w:t>
      </w:r>
    </w:p>
    <w:p>
      <w:pPr>
        <w:pStyle w:val="BodyText"/>
        <w:numPr>
          <w:ilvl w:val="0"/>
          <w:numId w:val="47"/>
        </w:numPr>
        <w:bidi w:val="0"/>
        <w:spacing w:before="0" w:after="0"/>
        <w:rPr/>
      </w:pPr>
      <w:r>
        <w:rPr/>
        <w:t>Redacte hallazgos objetivos y resúmenes para responsables; siga la corrección y la nueva prueba de eficacia.</w:t>
      </w:r>
    </w:p>
    <w:p>
      <w:pPr>
        <w:pStyle w:val="BodyText"/>
        <w:numPr>
          <w:ilvl w:val="0"/>
          <w:numId w:val="47"/>
        </w:numPr>
        <w:bidi w:val="0"/>
        <w:spacing w:before="0" w:after="0"/>
        <w:rPr/>
      </w:pPr>
      <w:r>
        <w:rPr/>
        <w:t>Apoye auditorías internas y revisión por la dirección sin tomar decisiones reservadas a propietarios o auditores.</w:t>
      </w:r>
    </w:p>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Regla del laboratorio de portafolio:</w:t>
      </w:r>
      <w:r>
        <w:rPr/>
        <w:t xml:space="preserve"> Utilice una organización ficticia, datos sintéticos y modelos locales o de prueba aprobados. Nunca afirme que el proyecto está certificado, que fue auditado por un organismo acreditado o que se basa en evidencia confidencial de un empleador.</w:t>
      </w:r>
    </w:p>
    <w:p>
      <w:pPr>
        <w:pStyle w:val="Heading2"/>
        <w:tabs>
          <w:tab w:val="clear" w:pos="709"/>
          <w:tab w:val="left" w:pos="0" w:leader="none"/>
        </w:tabs>
        <w:bidi w:val="0"/>
        <w:ind w:hanging="0" w:start="0"/>
        <w:jc w:val="left"/>
        <w:rPr/>
        <w:keepNext/>
      </w:pPr>
      <w:bookmarkStart w:id="104" w:name="laboratorio-ficticio"/>
      <w:r>
        <w:rPr/>
        <w:t>31.3 Laboratorio ficticio</w:t>
      </w:r>
      <w:bookmarkEnd w:id="104"/>
    </w:p>
    <w:p>
      <w:pPr>
        <w:pStyle w:val="BodyText"/>
        <w:numPr>
          <w:ilvl w:val="0"/>
          <w:numId w:val="48"/>
        </w:numPr>
        <w:bidi w:val="0"/>
        <w:spacing w:before="0" w:after="0"/>
        <w:rPr/>
      </w:pPr>
      <w:r>
        <w:rPr/>
        <w:t>Cree una empresa ficticia de 100 personas que desarrolla un asistente RAG de soporte al cliente y utiliza un asistente adquirido para redactar contenido de RR. HH. que no puede tomar decisiones laborales.</w:t>
      </w:r>
    </w:p>
    <w:p>
      <w:pPr>
        <w:pStyle w:val="BodyText"/>
        <w:numPr>
          <w:ilvl w:val="0"/>
          <w:numId w:val="48"/>
        </w:numPr>
        <w:bidi w:val="0"/>
        <w:spacing w:before="0" w:after="0"/>
        <w:rPr/>
      </w:pPr>
      <w:r>
        <w:rPr/>
        <w:t>Defina contexto del SGIA, partes interesadas, funciones, alcance, política, mapa de procesos, inventario de IA, obligaciones y hoja de ruta de implementación.</w:t>
      </w:r>
    </w:p>
    <w:p>
      <w:pPr>
        <w:pStyle w:val="BodyText"/>
        <w:numPr>
          <w:ilvl w:val="0"/>
          <w:numId w:val="48"/>
        </w:numPr>
        <w:bidi w:val="0"/>
        <w:spacing w:before="0" w:after="0"/>
        <w:rPr/>
      </w:pPr>
      <w:r>
        <w:rPr/>
        <w:t>Cree método de riesgo, seis escenarios, plan de tratamiento, Declaración de Aplicabilidad de 38 controles y dos evaluaciones de impacto utilizando conceptos de ISO/IEC 42005.</w:t>
      </w:r>
    </w:p>
    <w:p>
      <w:pPr>
        <w:pStyle w:val="BodyText"/>
        <w:numPr>
          <w:ilvl w:val="0"/>
          <w:numId w:val="48"/>
        </w:numPr>
        <w:bidi w:val="0"/>
        <w:spacing w:before="0" w:after="0"/>
        <w:rPr/>
      </w:pPr>
      <w:r>
        <w:rPr/>
        <w:t>Construya registros de recursos, conjuntos de datos, modelo/sistema, proveedores, información al usuario, comunicación, competencia y control documental.</w:t>
      </w:r>
    </w:p>
    <w:p>
      <w:pPr>
        <w:pStyle w:val="BodyText"/>
        <w:numPr>
          <w:ilvl w:val="0"/>
          <w:numId w:val="48"/>
        </w:numPr>
        <w:bidi w:val="0"/>
        <w:spacing w:before="0" w:after="0"/>
        <w:rPr/>
      </w:pPr>
      <w:r>
        <w:rPr/>
        <w:t>Ejecute evaluaciones sintéticas con dos herramientas de código abierto; conserve versiones, umbrales, fallas, corrección y nueva prueba.</w:t>
      </w:r>
    </w:p>
    <w:p>
      <w:pPr>
        <w:pStyle w:val="BodyText"/>
        <w:numPr>
          <w:ilvl w:val="0"/>
          <w:numId w:val="48"/>
        </w:numPr>
        <w:bidi w:val="0"/>
        <w:spacing w:before="0" w:after="0"/>
        <w:rPr/>
      </w:pPr>
      <w:r>
        <w:rPr/>
        <w:t>Cree objetivos/tablero, plan de auditoría interna y cinco papeles de trabajo, dos hallazgos, acciones correctivas, paquete de revisión por la dirección e informe de preparación para certificación.</w:t>
      </w:r>
    </w:p>
    <w:p>
      <w:pPr>
        <w:pStyle w:val="BodyText"/>
        <w:numPr>
          <w:ilvl w:val="0"/>
          <w:numId w:val="48"/>
        </w:numPr>
        <w:bidi w:val="0"/>
        <w:spacing w:before="0" w:after="0"/>
        <w:rPr/>
      </w:pPr>
      <w:r>
        <w:rPr/>
        <w:t>Publique únicamente evidencia ficticia saneada y una declaración honesta de limitaciones.</w:t>
      </w:r>
    </w:p>
    <w:p>
      <w:pPr>
        <w:pStyle w:val="Heading2"/>
        <w:tabs>
          <w:tab w:val="clear" w:pos="709"/>
          <w:tab w:val="left" w:pos="0" w:leader="none"/>
        </w:tabs>
        <w:bidi w:val="0"/>
        <w:ind w:hanging="0" w:start="0"/>
        <w:jc w:val="left"/>
        <w:rPr/>
        <w:keepNext/>
      </w:pPr>
      <w:bookmarkStart w:id="105" w:name="plan-de-treinta-días"/>
      <w:r>
        <w:rPr/>
        <w:t>31.4 Plan de treinta días</w:t>
      </w:r>
      <w:bookmarkEnd w:id="105"/>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3120"/>
        <w:gridCol w:w="3120"/>
        <w:gridCol w:w="3120"/>
      </w:tblGrid>
      <w:tr>
        <w:trPr>
          <w:tblHeader w:val="true"/>
          <w:cantSplit/>
        </w:trPr>
        <w:tc>
          <w:tcPr>
            <w:tcW w:w="3120" w:type="dxa"/>
            <w:tcBorders/>
            <w:vAlign w:val="center"/>
            <w:shd w:fill="1F4E78"/>
          </w:tcPr>
          <w:p>
            <w:pPr>
              <w:pStyle w:val="TableHeading"/>
              <w:bidi w:val="0"/>
              <w:spacing w:before="0" w:after="40"/>
              <w:rPr>
                <w:b/>
                <w:bCs/>
              </w:rPr>
            </w:pPr>
            <w:r>
              <w:rPr>
                <w:b/>
                <w:bCs/>
                <w:sz w:val="19"/>
                <w:color w:val="FFFFFF"/>
              </w:rPr>
              <w:t>Días</w:t>
            </w:r>
          </w:p>
        </w:tc>
        <w:tc>
          <w:tcPr>
            <w:tcW w:w="3120" w:type="dxa"/>
            <w:tcBorders/>
            <w:vAlign w:val="center"/>
            <w:shd w:fill="1F4E78"/>
          </w:tcPr>
          <w:p>
            <w:pPr>
              <w:pStyle w:val="TableHeading"/>
              <w:bidi w:val="0"/>
              <w:spacing w:before="0" w:after="40"/>
              <w:rPr>
                <w:b/>
                <w:bCs/>
              </w:rPr>
            </w:pPr>
            <w:r>
              <w:rPr>
                <w:b/>
                <w:bCs/>
                <w:sz w:val="19"/>
                <w:color w:val="FFFFFF"/>
              </w:rPr>
              <w:t>Enfoque</w:t>
            </w:r>
          </w:p>
        </w:tc>
        <w:tc>
          <w:tcPr>
            <w:tcW w:w="3120" w:type="dxa"/>
            <w:tcBorders/>
            <w:vAlign w:val="center"/>
            <w:shd w:fill="1F4E78"/>
          </w:tcPr>
          <w:p>
            <w:pPr>
              <w:pStyle w:val="TableHeading"/>
              <w:bidi w:val="0"/>
              <w:spacing w:before="0" w:after="40"/>
              <w:rPr>
                <w:b/>
                <w:bCs/>
              </w:rPr>
            </w:pPr>
            <w:r>
              <w:rPr>
                <w:b/>
                <w:bCs/>
                <w:sz w:val="19"/>
                <w:color w:val="FFFFFF"/>
              </w:rPr>
              <w:t>Entregable</w:t>
            </w:r>
          </w:p>
        </w:tc>
      </w:tr>
      <w:tr>
        <w:trPr>
          <w:cantSplit/>
        </w:trPr>
        <w:tc>
          <w:tcPr>
            <w:tcW w:w="3120" w:type="dxa"/>
            <w:tcBorders/>
            <w:vAlign w:val="center"/>
          </w:tcPr>
          <w:p>
            <w:pPr>
              <w:pStyle w:val="TableContents"/>
              <w:suppressLineNumbers/>
              <w:bidi w:val="0"/>
              <w:spacing w:before="0" w:after="40"/>
              <w:ind w:hanging="0" w:start="43" w:end="43"/>
              <w:rPr/>
            </w:pPr>
            <w:r>
              <w:rPr>
                <w:sz w:val="19"/>
              </w:rPr>
              <w:t>1–3</w:t>
            </w:r>
          </w:p>
        </w:tc>
        <w:tc>
          <w:tcPr>
            <w:tcW w:w="3120" w:type="dxa"/>
            <w:tcBorders/>
            <w:vAlign w:val="center"/>
          </w:tcPr>
          <w:p>
            <w:pPr>
              <w:pStyle w:val="TableContents"/>
              <w:suppressLineNumbers/>
              <w:bidi w:val="0"/>
              <w:spacing w:before="0" w:after="40"/>
              <w:ind w:hanging="0" w:start="43" w:end="43"/>
              <w:rPr/>
            </w:pPr>
            <w:r>
              <w:rPr>
                <w:sz w:val="19"/>
              </w:rPr>
              <w:t>Norma, SGIA, PHVA</w:t>
            </w:r>
          </w:p>
        </w:tc>
        <w:tc>
          <w:tcPr>
            <w:tcW w:w="3120" w:type="dxa"/>
            <w:tcBorders/>
            <w:vAlign w:val="center"/>
          </w:tcPr>
          <w:p>
            <w:pPr>
              <w:pStyle w:val="TableContents"/>
              <w:suppressLineNumbers/>
              <w:bidi w:val="0"/>
              <w:spacing w:before="0" w:after="40"/>
              <w:ind w:hanging="0" w:start="43" w:end="43"/>
              <w:rPr/>
            </w:pPr>
            <w:r>
              <w:rPr>
                <w:sz w:val="19"/>
              </w:rPr>
              <w:t>Mapa de cláusulas y glosario</w:t>
            </w:r>
          </w:p>
        </w:tc>
      </w:tr>
      <w:tr>
        <w:trPr>
          <w:cantSplit/>
        </w:trPr>
        <w:tc>
          <w:tcPr>
            <w:tcW w:w="3120" w:type="dxa"/>
            <w:tcBorders/>
            <w:vAlign w:val="center"/>
          </w:tcPr>
          <w:p>
            <w:pPr>
              <w:pStyle w:val="TableContents"/>
              <w:suppressLineNumbers/>
              <w:bidi w:val="0"/>
              <w:spacing w:before="0" w:after="40"/>
              <w:ind w:hanging="0" w:start="43" w:end="43"/>
              <w:rPr/>
            </w:pPr>
            <w:r>
              <w:rPr>
                <w:sz w:val="19"/>
              </w:rPr>
              <w:t>4–6</w:t>
            </w:r>
          </w:p>
        </w:tc>
        <w:tc>
          <w:tcPr>
            <w:tcW w:w="3120" w:type="dxa"/>
            <w:tcBorders/>
            <w:vAlign w:val="center"/>
          </w:tcPr>
          <w:p>
            <w:pPr>
              <w:pStyle w:val="TableContents"/>
              <w:suppressLineNumbers/>
              <w:bidi w:val="0"/>
              <w:spacing w:before="0" w:after="40"/>
              <w:ind w:hanging="0" w:start="43" w:end="43"/>
              <w:rPr/>
            </w:pPr>
            <w:r>
              <w:rPr>
                <w:sz w:val="19"/>
              </w:rPr>
              <w:t>Contexto, partes, alcance</w:t>
            </w:r>
          </w:p>
        </w:tc>
        <w:tc>
          <w:tcPr>
            <w:tcW w:w="3120" w:type="dxa"/>
            <w:tcBorders/>
            <w:vAlign w:val="center"/>
          </w:tcPr>
          <w:p>
            <w:pPr>
              <w:pStyle w:val="TableContents"/>
              <w:suppressLineNumbers/>
              <w:bidi w:val="0"/>
              <w:spacing w:before="0" w:after="40"/>
              <w:ind w:hanging="0" w:start="43" w:end="43"/>
              <w:rPr/>
            </w:pPr>
            <w:r>
              <w:rPr>
                <w:sz w:val="19"/>
              </w:rPr>
              <w:t>Alcance y registro de partes interesadas</w:t>
            </w:r>
          </w:p>
        </w:tc>
      </w:tr>
      <w:tr>
        <w:trPr>
          <w:cantSplit/>
        </w:trPr>
        <w:tc>
          <w:tcPr>
            <w:tcW w:w="3120" w:type="dxa"/>
            <w:tcBorders/>
            <w:vAlign w:val="center"/>
          </w:tcPr>
          <w:p>
            <w:pPr>
              <w:pStyle w:val="TableContents"/>
              <w:suppressLineNumbers/>
              <w:bidi w:val="0"/>
              <w:spacing w:before="0" w:after="40"/>
              <w:ind w:hanging="0" w:start="43" w:end="43"/>
              <w:rPr/>
            </w:pPr>
            <w:r>
              <w:rPr>
                <w:sz w:val="19"/>
              </w:rPr>
              <w:t>7–9</w:t>
            </w:r>
          </w:p>
        </w:tc>
        <w:tc>
          <w:tcPr>
            <w:tcW w:w="3120" w:type="dxa"/>
            <w:tcBorders/>
            <w:vAlign w:val="center"/>
          </w:tcPr>
          <w:p>
            <w:pPr>
              <w:pStyle w:val="TableContents"/>
              <w:suppressLineNumbers/>
              <w:bidi w:val="0"/>
              <w:spacing w:before="0" w:after="40"/>
              <w:ind w:hanging="0" w:start="43" w:end="43"/>
              <w:rPr/>
            </w:pPr>
            <w:r>
              <w:rPr>
                <w:sz w:val="19"/>
              </w:rPr>
              <w:t>Liderazgo y planificación</w:t>
            </w:r>
          </w:p>
        </w:tc>
        <w:tc>
          <w:tcPr>
            <w:tcW w:w="3120" w:type="dxa"/>
            <w:tcBorders/>
            <w:vAlign w:val="center"/>
          </w:tcPr>
          <w:p>
            <w:pPr>
              <w:pStyle w:val="TableContents"/>
              <w:suppressLineNumbers/>
              <w:bidi w:val="0"/>
              <w:spacing w:before="0" w:after="40"/>
              <w:ind w:hanging="0" w:start="43" w:end="43"/>
              <w:rPr/>
            </w:pPr>
            <w:r>
              <w:rPr>
                <w:sz w:val="19"/>
              </w:rPr>
              <w:t>Política, RACI y objetivos</w:t>
            </w:r>
          </w:p>
        </w:tc>
      </w:tr>
      <w:tr>
        <w:trPr>
          <w:cantSplit/>
        </w:trPr>
        <w:tc>
          <w:tcPr>
            <w:tcW w:w="3120" w:type="dxa"/>
            <w:tcBorders/>
            <w:vAlign w:val="center"/>
          </w:tcPr>
          <w:p>
            <w:pPr>
              <w:pStyle w:val="TableContents"/>
              <w:suppressLineNumbers/>
              <w:bidi w:val="0"/>
              <w:spacing w:before="0" w:after="40"/>
              <w:ind w:hanging="0" w:start="43" w:end="43"/>
              <w:rPr/>
            </w:pPr>
            <w:r>
              <w:rPr>
                <w:sz w:val="19"/>
              </w:rPr>
              <w:t>10–12</w:t>
            </w:r>
          </w:p>
        </w:tc>
        <w:tc>
          <w:tcPr>
            <w:tcW w:w="3120" w:type="dxa"/>
            <w:tcBorders/>
            <w:vAlign w:val="center"/>
          </w:tcPr>
          <w:p>
            <w:pPr>
              <w:pStyle w:val="TableContents"/>
              <w:suppressLineNumbers/>
              <w:bidi w:val="0"/>
              <w:spacing w:before="0" w:after="40"/>
              <w:ind w:hanging="0" w:start="43" w:end="43"/>
              <w:rPr/>
            </w:pPr>
            <w:r>
              <w:rPr>
                <w:sz w:val="19"/>
              </w:rPr>
              <w:t>Riesgo y tratamiento</w:t>
            </w:r>
          </w:p>
        </w:tc>
        <w:tc>
          <w:tcPr>
            <w:tcW w:w="3120" w:type="dxa"/>
            <w:tcBorders/>
            <w:vAlign w:val="center"/>
          </w:tcPr>
          <w:p>
            <w:pPr>
              <w:pStyle w:val="TableContents"/>
              <w:suppressLineNumbers/>
              <w:bidi w:val="0"/>
              <w:spacing w:before="0" w:after="40"/>
              <w:ind w:hanging="0" w:start="43" w:end="43"/>
              <w:rPr/>
            </w:pPr>
            <w:r>
              <w:rPr>
                <w:sz w:val="19"/>
              </w:rPr>
              <w:t>Método, registro, plan y Declaración de Aplicabilidad</w:t>
            </w:r>
          </w:p>
        </w:tc>
      </w:tr>
      <w:tr>
        <w:trPr>
          <w:cantSplit/>
        </w:trPr>
        <w:tc>
          <w:tcPr>
            <w:tcW w:w="3120" w:type="dxa"/>
            <w:tcBorders/>
            <w:vAlign w:val="center"/>
          </w:tcPr>
          <w:p>
            <w:pPr>
              <w:pStyle w:val="TableContents"/>
              <w:suppressLineNumbers/>
              <w:bidi w:val="0"/>
              <w:spacing w:before="0" w:after="40"/>
              <w:ind w:hanging="0" w:start="43" w:end="43"/>
              <w:rPr/>
            </w:pPr>
            <w:r>
              <w:rPr>
                <w:sz w:val="19"/>
              </w:rPr>
              <w:t>13–15</w:t>
            </w:r>
          </w:p>
        </w:tc>
        <w:tc>
          <w:tcPr>
            <w:tcW w:w="3120" w:type="dxa"/>
            <w:tcBorders/>
            <w:vAlign w:val="center"/>
          </w:tcPr>
          <w:p>
            <w:pPr>
              <w:pStyle w:val="TableContents"/>
              <w:suppressLineNumbers/>
              <w:bidi w:val="0"/>
              <w:spacing w:before="0" w:after="40"/>
              <w:ind w:hanging="0" w:start="43" w:end="43"/>
              <w:rPr/>
            </w:pPr>
            <w:r>
              <w:rPr>
                <w:sz w:val="19"/>
              </w:rPr>
              <w:t>Evaluación de impacto</w:t>
            </w:r>
          </w:p>
        </w:tc>
        <w:tc>
          <w:tcPr>
            <w:tcW w:w="3120" w:type="dxa"/>
            <w:tcBorders/>
            <w:vAlign w:val="center"/>
          </w:tcPr>
          <w:p>
            <w:pPr>
              <w:pStyle w:val="TableContents"/>
              <w:suppressLineNumbers/>
              <w:bidi w:val="0"/>
              <w:spacing w:before="0" w:after="40"/>
              <w:ind w:hanging="0" w:start="43" w:end="43"/>
              <w:rPr/>
            </w:pPr>
            <w:r>
              <w:rPr>
                <w:sz w:val="19"/>
              </w:rPr>
              <w:t>Dos papeles de trabajo de impacto</w:t>
            </w:r>
          </w:p>
        </w:tc>
      </w:tr>
      <w:tr>
        <w:trPr>
          <w:cantSplit/>
        </w:trPr>
        <w:tc>
          <w:tcPr>
            <w:tcW w:w="3120" w:type="dxa"/>
            <w:tcBorders/>
            <w:vAlign w:val="center"/>
          </w:tcPr>
          <w:p>
            <w:pPr>
              <w:pStyle w:val="TableContents"/>
              <w:suppressLineNumbers/>
              <w:bidi w:val="0"/>
              <w:spacing w:before="0" w:after="40"/>
              <w:ind w:hanging="0" w:start="43" w:end="43"/>
              <w:rPr/>
            </w:pPr>
            <w:r>
              <w:rPr>
                <w:sz w:val="19"/>
              </w:rPr>
              <w:t>16–18</w:t>
            </w:r>
          </w:p>
        </w:tc>
        <w:tc>
          <w:tcPr>
            <w:tcW w:w="3120" w:type="dxa"/>
            <w:tcBorders/>
            <w:vAlign w:val="center"/>
          </w:tcPr>
          <w:p>
            <w:pPr>
              <w:pStyle w:val="TableContents"/>
              <w:suppressLineNumbers/>
              <w:bidi w:val="0"/>
              <w:spacing w:before="0" w:after="40"/>
              <w:ind w:hanging="0" w:start="43" w:end="43"/>
              <w:rPr/>
            </w:pPr>
            <w:r>
              <w:rPr>
                <w:sz w:val="19"/>
              </w:rPr>
              <w:t>Soporte y documentos</w:t>
            </w:r>
          </w:p>
        </w:tc>
        <w:tc>
          <w:tcPr>
            <w:tcW w:w="3120" w:type="dxa"/>
            <w:tcBorders/>
            <w:vAlign w:val="center"/>
          </w:tcPr>
          <w:p>
            <w:pPr>
              <w:pStyle w:val="TableContents"/>
              <w:suppressLineNumbers/>
              <w:bidi w:val="0"/>
              <w:spacing w:before="0" w:after="40"/>
              <w:ind w:hanging="0" w:start="43" w:end="43"/>
              <w:rPr/>
            </w:pPr>
            <w:r>
              <w:rPr>
                <w:sz w:val="19"/>
              </w:rPr>
              <w:t>Competencia, comunicación y controles documentales</w:t>
            </w:r>
          </w:p>
        </w:tc>
      </w:tr>
      <w:tr>
        <w:trPr>
          <w:cantSplit/>
        </w:trPr>
        <w:tc>
          <w:tcPr>
            <w:tcW w:w="3120" w:type="dxa"/>
            <w:tcBorders/>
            <w:vAlign w:val="center"/>
          </w:tcPr>
          <w:p>
            <w:pPr>
              <w:pStyle w:val="TableContents"/>
              <w:suppressLineNumbers/>
              <w:bidi w:val="0"/>
              <w:spacing w:before="0" w:after="40"/>
              <w:ind w:hanging="0" w:start="43" w:end="43"/>
              <w:rPr/>
            </w:pPr>
            <w:r>
              <w:rPr>
                <w:sz w:val="19"/>
              </w:rPr>
              <w:t>19–21</w:t>
            </w:r>
          </w:p>
        </w:tc>
        <w:tc>
          <w:tcPr>
            <w:tcW w:w="3120" w:type="dxa"/>
            <w:tcBorders/>
            <w:vAlign w:val="center"/>
          </w:tcPr>
          <w:p>
            <w:pPr>
              <w:pStyle w:val="TableContents"/>
              <w:suppressLineNumbers/>
              <w:bidi w:val="0"/>
              <w:spacing w:before="0" w:after="40"/>
              <w:ind w:hanging="0" w:start="43" w:end="43"/>
              <w:rPr/>
            </w:pPr>
            <w:r>
              <w:rPr>
                <w:sz w:val="19"/>
              </w:rPr>
              <w:t>Ciclo de vida, datos, uso, proveedores</w:t>
            </w:r>
          </w:p>
        </w:tc>
        <w:tc>
          <w:tcPr>
            <w:tcW w:w="3120" w:type="dxa"/>
            <w:tcBorders/>
            <w:vAlign w:val="center"/>
          </w:tcPr>
          <w:p>
            <w:pPr>
              <w:pStyle w:val="TableContents"/>
              <w:suppressLineNumbers/>
              <w:bidi w:val="0"/>
              <w:spacing w:before="0" w:after="40"/>
              <w:ind w:hanging="0" w:start="43" w:end="43"/>
              <w:rPr/>
            </w:pPr>
            <w:r>
              <w:rPr>
                <w:sz w:val="19"/>
              </w:rPr>
              <w:t>Cinco papeles de trabajo de controles</w:t>
            </w:r>
          </w:p>
        </w:tc>
      </w:tr>
      <w:tr>
        <w:trPr>
          <w:cantSplit/>
        </w:trPr>
        <w:tc>
          <w:tcPr>
            <w:tcW w:w="3120" w:type="dxa"/>
            <w:tcBorders/>
            <w:vAlign w:val="center"/>
          </w:tcPr>
          <w:p>
            <w:pPr>
              <w:pStyle w:val="TableContents"/>
              <w:suppressLineNumbers/>
              <w:bidi w:val="0"/>
              <w:spacing w:before="0" w:after="40"/>
              <w:ind w:hanging="0" w:start="43" w:end="43"/>
              <w:rPr/>
            </w:pPr>
            <w:r>
              <w:rPr>
                <w:sz w:val="19"/>
              </w:rPr>
              <w:t>22–24</w:t>
            </w:r>
          </w:p>
        </w:tc>
        <w:tc>
          <w:tcPr>
            <w:tcW w:w="3120" w:type="dxa"/>
            <w:tcBorders/>
            <w:vAlign w:val="center"/>
          </w:tcPr>
          <w:p>
            <w:pPr>
              <w:pStyle w:val="TableContents"/>
              <w:suppressLineNumbers/>
              <w:bidi w:val="0"/>
              <w:spacing w:before="0" w:after="40"/>
              <w:ind w:hanging="0" w:start="43" w:end="43"/>
              <w:rPr/>
            </w:pPr>
            <w:r>
              <w:rPr>
                <w:sz w:val="19"/>
              </w:rPr>
              <w:t>Medición y herramientas</w:t>
            </w:r>
          </w:p>
        </w:tc>
        <w:tc>
          <w:tcPr>
            <w:tcW w:w="3120" w:type="dxa"/>
            <w:tcBorders/>
            <w:vAlign w:val="center"/>
          </w:tcPr>
          <w:p>
            <w:pPr>
              <w:pStyle w:val="TableContents"/>
              <w:suppressLineNumbers/>
              <w:bidi w:val="0"/>
              <w:spacing w:before="0" w:after="40"/>
              <w:ind w:hanging="0" w:start="43" w:end="43"/>
              <w:rPr/>
            </w:pPr>
            <w:r>
              <w:rPr>
                <w:sz w:val="19"/>
              </w:rPr>
              <w:t>Tablero y evidencia de evaluación</w:t>
            </w:r>
          </w:p>
        </w:tc>
      </w:tr>
      <w:tr>
        <w:trPr>
          <w:cantSplit/>
        </w:trPr>
        <w:tc>
          <w:tcPr>
            <w:tcW w:w="3120" w:type="dxa"/>
            <w:tcBorders/>
            <w:vAlign w:val="center"/>
          </w:tcPr>
          <w:p>
            <w:pPr>
              <w:pStyle w:val="TableContents"/>
              <w:suppressLineNumbers/>
              <w:bidi w:val="0"/>
              <w:spacing w:before="0" w:after="40"/>
              <w:ind w:hanging="0" w:start="43" w:end="43"/>
              <w:rPr/>
            </w:pPr>
            <w:r>
              <w:rPr>
                <w:sz w:val="19"/>
              </w:rPr>
              <w:t>25–27</w:t>
            </w:r>
          </w:p>
        </w:tc>
        <w:tc>
          <w:tcPr>
            <w:tcW w:w="3120" w:type="dxa"/>
            <w:tcBorders/>
            <w:vAlign w:val="center"/>
          </w:tcPr>
          <w:p>
            <w:pPr>
              <w:pStyle w:val="TableContents"/>
              <w:suppressLineNumbers/>
              <w:bidi w:val="0"/>
              <w:spacing w:before="0" w:after="40"/>
              <w:ind w:hanging="0" w:start="43" w:end="43"/>
              <w:rPr/>
            </w:pPr>
            <w:r>
              <w:rPr>
                <w:sz w:val="19"/>
              </w:rPr>
              <w:t>Auditoría y acción correctiva</w:t>
            </w:r>
          </w:p>
        </w:tc>
        <w:tc>
          <w:tcPr>
            <w:tcW w:w="3120" w:type="dxa"/>
            <w:tcBorders/>
            <w:vAlign w:val="center"/>
          </w:tcPr>
          <w:p>
            <w:pPr>
              <w:pStyle w:val="TableContents"/>
              <w:suppressLineNumbers/>
              <w:bidi w:val="0"/>
              <w:spacing w:before="0" w:after="40"/>
              <w:ind w:hanging="0" w:start="43" w:end="43"/>
              <w:rPr/>
            </w:pPr>
            <w:r>
              <w:rPr>
                <w:sz w:val="19"/>
              </w:rPr>
              <w:t>Informe de auditoría, hallazgos y plan de eficacia</w:t>
            </w:r>
          </w:p>
        </w:tc>
      </w:tr>
      <w:tr>
        <w:trPr>
          <w:cantSplit/>
        </w:trPr>
        <w:tc>
          <w:tcPr>
            <w:tcW w:w="3120" w:type="dxa"/>
            <w:tcBorders/>
            <w:vAlign w:val="center"/>
          </w:tcPr>
          <w:p>
            <w:pPr>
              <w:pStyle w:val="TableContents"/>
              <w:suppressLineNumbers/>
              <w:bidi w:val="0"/>
              <w:spacing w:before="0" w:after="40"/>
              <w:ind w:hanging="0" w:start="43" w:end="43"/>
              <w:rPr/>
            </w:pPr>
            <w:r>
              <w:rPr>
                <w:sz w:val="19"/>
              </w:rPr>
              <w:t>28–30</w:t>
            </w:r>
          </w:p>
        </w:tc>
        <w:tc>
          <w:tcPr>
            <w:tcW w:w="3120" w:type="dxa"/>
            <w:tcBorders/>
            <w:vAlign w:val="center"/>
          </w:tcPr>
          <w:p>
            <w:pPr>
              <w:pStyle w:val="TableContents"/>
              <w:suppressLineNumbers/>
              <w:bidi w:val="0"/>
              <w:spacing w:before="0" w:after="40"/>
              <w:ind w:hanging="0" w:start="43" w:end="43"/>
              <w:rPr/>
            </w:pPr>
            <w:r>
              <w:rPr>
                <w:sz w:val="19"/>
              </w:rPr>
              <w:t>Revisión por la dirección y entrevista</w:t>
            </w:r>
          </w:p>
        </w:tc>
        <w:tc>
          <w:tcPr>
            <w:tcW w:w="3120" w:type="dxa"/>
            <w:tcBorders/>
            <w:vAlign w:val="center"/>
          </w:tcPr>
          <w:p>
            <w:pPr>
              <w:pStyle w:val="TableContents"/>
              <w:suppressLineNumbers/>
              <w:bidi w:val="0"/>
              <w:spacing w:before="0" w:after="40"/>
              <w:ind w:hanging="0" w:start="43" w:end="43"/>
              <w:rPr/>
            </w:pPr>
            <w:r>
              <w:rPr>
                <w:sz w:val="19"/>
              </w:rPr>
              <w:t>Paquete de revisión, memo de preparación e historias STAR</w:t>
            </w:r>
          </w:p>
        </w:tc>
      </w:tr>
    </w:tbl>
    <w:p>
      <w:pPr>
        <w:pStyle w:val="Heading2"/>
        <w:tabs>
          <w:tab w:val="clear" w:pos="709"/>
          <w:tab w:val="left" w:pos="0" w:leader="none"/>
        </w:tabs>
        <w:bidi w:val="0"/>
        <w:ind w:hanging="0" w:start="0"/>
        <w:jc w:val="left"/>
        <w:rPr/>
        <w:keepNext/>
      </w:pPr>
      <w:bookmarkStart w:id="106" w:name="qué-es-isoiec-42001"/>
      <w:r>
        <w:rPr/>
        <w:t>31.5 ¿Qué es ISO/IEC 42001?</w:t>
      </w:r>
      <w:bookmarkEnd w:id="106"/>
    </w:p>
    <w:p>
      <w:pPr>
        <w:pStyle w:val="Firstparagraph"/>
        <w:bidi w:val="0"/>
        <w:rPr/>
      </w:pPr>
      <w:r>
        <w:rPr/>
        <w:t>Una norma certificable de sistema de gestión para organizaciones que desarrollan, proporcionan o utilizan sistemas de IA. Establece requisitos para gobierno responsable, riesgo, impacto, operación, evaluación y mejora.</w:t>
      </w:r>
    </w:p>
    <w:p>
      <w:pPr>
        <w:pStyle w:val="Heading2"/>
        <w:tabs>
          <w:tab w:val="clear" w:pos="709"/>
          <w:tab w:val="left" w:pos="0" w:leader="none"/>
        </w:tabs>
        <w:bidi w:val="0"/>
        <w:ind w:hanging="0" w:start="0"/>
        <w:jc w:val="left"/>
        <w:rPr/>
        <w:keepNext/>
      </w:pPr>
      <w:bookmarkStart w:id="107" w:name="qué-es-un-sgia"/>
      <w:r>
        <w:rPr/>
        <w:t>31.6 ¿Qué es un SGIA?</w:t>
      </w:r>
      <w:bookmarkEnd w:id="107"/>
    </w:p>
    <w:p>
      <w:pPr>
        <w:pStyle w:val="Firstparagraph"/>
        <w:bidi w:val="0"/>
        <w:rPr/>
      </w:pPr>
      <w:r>
        <w:rPr/>
        <w:t>Las políticas, objetivos, procesos, funciones, controles y registros interrelacionados de la organización para gestionar IA responsablemente dentro de un alcance definido.</w:t>
      </w:r>
    </w:p>
    <w:p>
      <w:pPr>
        <w:pStyle w:val="Heading2"/>
        <w:tabs>
          <w:tab w:val="clear" w:pos="709"/>
          <w:tab w:val="left" w:pos="0" w:leader="none"/>
        </w:tabs>
        <w:bidi w:val="0"/>
        <w:ind w:hanging="0" w:start="0"/>
        <w:jc w:val="left"/>
        <w:rPr/>
        <w:keepNext/>
      </w:pPr>
      <w:bookmarkStart w:id="108" w:name="son-obligatorios-todos-los-controles-del"/>
      <w:r>
        <w:rPr/>
        <w:t>31.7 ¿Son obligatorios todos los controles del Anexo A?</w:t>
      </w:r>
      <w:bookmarkEnd w:id="108"/>
    </w:p>
    <w:p>
      <w:pPr>
        <w:pStyle w:val="Firstparagraph"/>
        <w:bidi w:val="0"/>
        <w:rPr/>
      </w:pPr>
      <w:r>
        <w:rPr/>
        <w:t>Son controles de referencia considerados a través del tratamiento del riesgo. La organización documenta aplicabilidad e implementación en la Declaración de Aplicabilidad y puede añadir otros controles.</w:t>
      </w:r>
    </w:p>
    <w:p>
      <w:pPr>
        <w:pStyle w:val="Heading2"/>
        <w:tabs>
          <w:tab w:val="clear" w:pos="709"/>
          <w:tab w:val="left" w:pos="0" w:leader="none"/>
        </w:tabs>
        <w:bidi w:val="0"/>
        <w:ind w:hanging="0" w:start="0"/>
        <w:jc w:val="left"/>
        <w:rPr/>
        <w:keepNext/>
      </w:pPr>
      <w:bookmarkStart w:id="109" w:name="evaluación-de-riesgos-frente-a-evaluaci1"/>
      <w:r>
        <w:rPr/>
        <w:t>31.8 ¿Evaluación de riesgos frente a evaluación de impacto?</w:t>
      </w:r>
      <w:bookmarkEnd w:id="109"/>
    </w:p>
    <w:p>
      <w:pPr>
        <w:pStyle w:val="Firstparagraph"/>
        <w:bidi w:val="0"/>
        <w:rPr/>
      </w:pPr>
      <w:r>
        <w:rPr/>
        <w:t>La evaluación de riesgos gestiona incertidumbre que afecta objetivos. La evaluación de impacto de sistemas de IA se concentra en efectos sobre individuos, grupos y sociedad. Intercambian hallazgos, pero no son idénticas.</w:t>
      </w:r>
    </w:p>
    <w:p>
      <w:pPr>
        <w:pStyle w:val="Heading2"/>
        <w:tabs>
          <w:tab w:val="clear" w:pos="709"/>
          <w:tab w:val="left" w:pos="0" w:leader="none"/>
        </w:tabs>
        <w:bidi w:val="0"/>
        <w:ind w:hanging="0" w:start="0"/>
        <w:jc w:val="left"/>
        <w:rPr/>
        <w:keepNext/>
      </w:pPr>
      <w:bookmarkStart w:id="110" w:name="qué-es-la-declaración-de-aplicabilidad"/>
      <w:r>
        <w:rPr/>
        <w:t>31.9 ¿Qué es la Declaración de Aplicabilidad?</w:t>
      </w:r>
      <w:bookmarkEnd w:id="110"/>
    </w:p>
    <w:p>
      <w:pPr>
        <w:pStyle w:val="Firstparagraph"/>
        <w:bidi w:val="0"/>
        <w:rPr/>
      </w:pPr>
      <w:r>
        <w:rPr/>
        <w:t>Un registro controlado que explica qué controles del Anexo A y adicionales aplican, por qué, cómo están implementados, su estado, evidencia, brechas y revisión.</w:t>
      </w:r>
    </w:p>
    <w:p>
      <w:pPr>
        <w:pStyle w:val="Heading2"/>
        <w:tabs>
          <w:tab w:val="clear" w:pos="709"/>
          <w:tab w:val="left" w:pos="0" w:leader="none"/>
        </w:tabs>
        <w:bidi w:val="0"/>
        <w:ind w:hanging="0" w:start="0"/>
        <w:jc w:val="left"/>
        <w:rPr/>
        <w:keepNext/>
      </w:pPr>
      <w:bookmarkStart w:id="111" w:name="etapa-1-frente-a-etapa-2"/>
      <w:r>
        <w:rPr/>
        <w:t>31.10 ¿Etapa 1 frente a Etapa 2?</w:t>
      </w:r>
      <w:bookmarkEnd w:id="111"/>
    </w:p>
    <w:p>
      <w:pPr>
        <w:pStyle w:val="Firstparagraph"/>
        <w:bidi w:val="0"/>
        <w:rPr/>
      </w:pPr>
      <w:r>
        <w:rPr/>
        <w:t>Etapa 1 evalúa alcance, sistema documentado, preparación y planificación. Etapa 2 evalúa implementación y eficacia operacional mediante evidencia y muestreo.</w:t>
      </w:r>
    </w:p>
    <w:p>
      <w:pPr>
        <w:pStyle w:val="Heading2"/>
        <w:tabs>
          <w:tab w:val="clear" w:pos="709"/>
          <w:tab w:val="left" w:pos="0" w:leader="none"/>
        </w:tabs>
        <w:bidi w:val="0"/>
        <w:ind w:hanging="0" w:start="0"/>
        <w:jc w:val="left"/>
        <w:rPr/>
        <w:keepNext/>
      </w:pPr>
      <w:bookmarkStart w:id="112" w:name="qué-es-una-no-conformidad"/>
      <w:r>
        <w:rPr/>
        <w:t>31.11 ¿Qué es una no conformidad?</w:t>
      </w:r>
      <w:bookmarkEnd w:id="112"/>
    </w:p>
    <w:p>
      <w:pPr>
        <w:pStyle w:val="Firstparagraph"/>
        <w:bidi w:val="0"/>
        <w:rPr/>
      </w:pPr>
      <w:r>
        <w:rPr/>
        <w:t>Un requisito no se cumple. El hallazgo debe identificar criterios, evidencia objetiva y la brecha sin prescribir la solución del auditado.</w:t>
      </w:r>
    </w:p>
    <w:p>
      <w:pPr>
        <w:pStyle w:val="Heading2"/>
        <w:tabs>
          <w:tab w:val="clear" w:pos="709"/>
          <w:tab w:val="left" w:pos="0" w:leader="none"/>
        </w:tabs>
        <w:bidi w:val="0"/>
        <w:ind w:hanging="0" w:start="0"/>
        <w:jc w:val="left"/>
        <w:rPr/>
        <w:keepNext/>
      </w:pPr>
      <w:bookmarkStart w:id="113" w:name="cómo-demuestran-las-herramientas-la-conf"/>
      <w:r>
        <w:rPr/>
        <w:t>31.12 ¿Cómo demuestran las herramientas la conformidad?</w:t>
      </w:r>
      <w:bookmarkEnd w:id="113"/>
    </w:p>
    <w:p>
      <w:pPr>
        <w:pStyle w:val="Firstparagraph"/>
        <w:bidi w:val="0"/>
        <w:rPr/>
      </w:pPr>
      <w:r>
        <w:rPr/>
        <w:t>No la demuestran. Las herramientas producen evidencia que debe delimitarse, validarse, interpretarse frente a requisitos, conectarse con controles y ser revisada por personas competentes.</w:t>
      </w:r>
    </w:p>
    <w:p>
      <w:pPr>
        <w:pStyle w:val="Heading2"/>
        <w:tabs>
          <w:tab w:val="clear" w:pos="709"/>
          <w:tab w:val="left" w:pos="0" w:leader="none"/>
        </w:tabs>
        <w:bidi w:val="0"/>
        <w:ind w:hanging="0" w:start="0"/>
        <w:jc w:val="left"/>
        <w:rPr/>
        <w:keepNext/>
      </w:pPr>
      <w:bookmarkStart w:id="114" w:name="cómo-se-prueba-una-acción-correctiva"/>
      <w:r>
        <w:rPr/>
        <w:t>31.13 ¿Cómo se prueba una acción correctiva?</w:t>
      </w:r>
      <w:bookmarkEnd w:id="114"/>
    </w:p>
    <w:p>
      <w:pPr>
        <w:pStyle w:val="Firstparagraph"/>
        <w:bidi w:val="0"/>
        <w:rPr/>
      </w:pPr>
      <w:r>
        <w:rPr/>
        <w:t>Verifique corrección, acción sobre la causa raíz, aplicación a condiciones similares y evidencia de que el riesgo de recurrencia disminuyó después de suficiente operación.</w:t>
      </w:r>
    </w:p>
    <w:p>
      <w:pPr>
        <w:pStyle w:val="Heading2"/>
        <w:tabs>
          <w:tab w:val="clear" w:pos="709"/>
          <w:tab w:val="left" w:pos="0" w:leader="none"/>
        </w:tabs>
        <w:bidi w:val="0"/>
        <w:ind w:hanging="0" w:start="0"/>
        <w:jc w:val="left"/>
        <w:rPr/>
        <w:keepNext/>
      </w:pPr>
      <w:bookmarkStart w:id="115" w:name="qué-caracteriza-a-un-analista-junior-sól"/>
      <w:r>
        <w:rPr/>
        <w:t>31.14 ¿Qué caracteriza a un analista junior sólido?</w:t>
      </w:r>
      <w:bookmarkEnd w:id="115"/>
    </w:p>
    <w:p>
      <w:pPr>
        <w:pStyle w:val="Firstparagraph"/>
        <w:bidi w:val="0"/>
        <w:rPr/>
      </w:pPr>
      <w:r>
        <w:rPr/>
        <w:t>Alcance exacto, evidencia cuidadosa, comprensión de cláusulas, redacción clara, respeto por personas afectadas, incertidumbre honesta, uso seguro de herramientas y seguimiento confiable.</w:t>
      </w:r>
    </w:p>
    <w:p>
      <w:pPr>
        <w:pStyle w:val="Heading1"/>
        <w:tabs>
          <w:tab w:val="clear" w:pos="709"/>
          <w:tab w:val="left" w:pos="0" w:leader="none"/>
        </w:tabs>
        <w:bidi w:val="0"/>
        <w:ind w:hanging="0" w:start="0"/>
        <w:jc w:val="left"/>
        <w:rPr/>
        <w:keepNext/>
      </w:pPr>
      <w:bookmarkStart w:id="116" w:name="plantillas-glosario-índice-y-referencias"/>
      <w:r>
        <w:rPr/>
        <w:t>32. Plantillas, glosario, índice y referencias oficiales</w:t>
      </w:r>
      <w:bookmarkEnd w:id="116"/>
    </w:p>
    <w:p>
      <w:pPr>
        <w:pStyle w:val="Firstparagraph"/>
        <w:bidi w:val="0"/>
        <w:rPr>
          <w:i/>
          <w:iCs/>
        </w:rPr>
      </w:pPr>
      <w:r>
        <w:rPr>
          <w:i/>
          <w:iCs/>
        </w:rPr>
        <w:t>Estructuras de trabajo reutilizables y referencias autoritativas apoyan una implementación y auditoría coherentes del SGIA.</w:t>
      </w:r>
    </w:p>
    <w:p>
      <w:pPr>
        <w:pStyle w:val="Heading2"/>
        <w:tabs>
          <w:tab w:val="clear" w:pos="709"/>
          <w:tab w:val="left" w:pos="0" w:leader="none"/>
        </w:tabs>
        <w:bidi w:val="0"/>
        <w:ind w:hanging="0" w:start="0"/>
        <w:jc w:val="left"/>
        <w:rPr/>
        <w:keepNext/>
      </w:pPr>
      <w:bookmarkStart w:id="117" w:name="registro-de-alcance-y-contexto-del-sgia"/>
      <w:r>
        <w:rPr/>
        <w:t>32.1 Registro de alcance y contexto del SGIA</w:t>
      </w:r>
      <w:bookmarkEnd w:id="117"/>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Entrada</w:t>
            </w:r>
          </w:p>
        </w:tc>
      </w:tr>
      <w:tr>
        <w:trPr>
          <w:cantSplit/>
        </w:trPr>
        <w:tc>
          <w:tcPr>
            <w:tcW w:w="4680" w:type="dxa"/>
            <w:tcBorders/>
            <w:vAlign w:val="center"/>
          </w:tcPr>
          <w:p>
            <w:pPr>
              <w:pStyle w:val="TableContents"/>
              <w:suppressLineNumbers/>
              <w:bidi w:val="0"/>
              <w:spacing w:before="0" w:after="40"/>
              <w:ind w:hanging="0" w:start="43" w:end="43"/>
              <w:rPr/>
            </w:pPr>
            <w:r>
              <w:rPr>
                <w:sz w:val="19"/>
              </w:rPr>
              <w:t>Organizaciones/unidades/ubicaciones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Función de IA, productos/servicios/procesos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Sistemas/modelos/datos/entornos de IA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Cuestiones internas/externas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Partes interesadas y requisitos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Obligaciones legales/contractuales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Límites, interfaces y dependencias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Procesos externalizados/compartidos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Exclusiones y justificación</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Aprobación del alcance y disparadores de revisión</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bl>
    <w:p>
      <w:pPr>
        <w:pStyle w:val="Heading2"/>
        <w:tabs>
          <w:tab w:val="clear" w:pos="709"/>
          <w:tab w:val="left" w:pos="0" w:leader="none"/>
        </w:tabs>
        <w:bidi w:val="0"/>
        <w:ind w:hanging="0" w:start="0"/>
        <w:jc w:val="left"/>
        <w:rPr/>
        <w:keepNext/>
      </w:pPr>
      <w:bookmarkStart w:id="118" w:name="registro-de-riesgo-y-tratamiento-de-ia"/>
      <w:r>
        <w:rPr/>
        <w:t>32.2 Registro de riesgo y tratamiento de IA</w:t>
      </w:r>
      <w:bookmarkEnd w:id="118"/>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Entrada</w:t>
            </w:r>
          </w:p>
        </w:tc>
      </w:tr>
      <w:tr>
        <w:trPr>
          <w:cantSplit/>
        </w:trPr>
        <w:tc>
          <w:tcPr>
            <w:tcW w:w="4680" w:type="dxa"/>
            <w:tcBorders/>
            <w:vAlign w:val="center"/>
          </w:tcPr>
          <w:p>
            <w:pPr>
              <w:pStyle w:val="TableContents"/>
              <w:suppressLineNumbers/>
              <w:bidi w:val="0"/>
              <w:spacing w:before="0" w:after="40"/>
              <w:ind w:hanging="0" w:start="43" w:end="43"/>
              <w:rPr/>
            </w:pPr>
            <w:r>
              <w:rPr>
                <w:sz w:val="19"/>
              </w:rPr>
              <w:t>Sistema/uso/versión/propietario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Escenario, parte afectada, consecuencia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Probabilidad/impacto/incertidumbre/evidencia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Controles existentes y eficacia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Evaluación/tolerancia de riesgo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Opción de tratamiento/control</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Mapeo a Anexo A/control adicional</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Propietario/recurso/fecha/medida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Riesgo residual/aprobador/condiciones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Seguimiento/revisión/nueva prueba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bl>
    <w:p>
      <w:pPr>
        <w:pStyle w:val="Heading2"/>
        <w:tabs>
          <w:tab w:val="clear" w:pos="709"/>
          <w:tab w:val="left" w:pos="0" w:leader="none"/>
        </w:tabs>
        <w:bidi w:val="0"/>
        <w:ind w:hanging="0" w:start="0"/>
        <w:jc w:val="left"/>
        <w:rPr/>
        <w:keepNext/>
      </w:pPr>
      <w:bookmarkStart w:id="119" w:name="declaración-de-aplicabilidad"/>
      <w:r>
        <w:rPr/>
        <w:t>32.3 Declaración de Aplicabilidad</w:t>
      </w:r>
      <w:bookmarkEnd w:id="119"/>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Entrada</w:t>
            </w:r>
          </w:p>
        </w:tc>
      </w:tr>
      <w:tr>
        <w:trPr>
          <w:cantSplit/>
        </w:trPr>
        <w:tc>
          <w:tcPr>
            <w:tcW w:w="4680" w:type="dxa"/>
            <w:tcBorders/>
            <w:vAlign w:val="center"/>
          </w:tcPr>
          <w:p>
            <w:pPr>
              <w:pStyle w:val="TableContents"/>
              <w:suppressLineNumbers/>
              <w:bidi w:val="0"/>
              <w:spacing w:before="0" w:after="40"/>
              <w:ind w:hanging="0" w:start="43" w:end="43"/>
              <w:rPr/>
            </w:pPr>
            <w:r>
              <w:rPr>
                <w:sz w:val="19"/>
              </w:rPr>
              <w:t>Referencia/título del control</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Aplicabilidad y justificación</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Riesgo/impacto/obligación relacionada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Implementación y propietario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Estado y fecha objetivo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Evidencia y resultado de prueba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Dependencias de proveedor/cliente</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Brecha/excepción/riesgo residual</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Última/próxima revisión</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Historial de cambios/aprobación</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bl>
    <w:p>
      <w:pPr>
        <w:pStyle w:val="Heading2"/>
        <w:tabs>
          <w:tab w:val="clear" w:pos="709"/>
          <w:tab w:val="left" w:pos="0" w:leader="none"/>
        </w:tabs>
        <w:bidi w:val="0"/>
        <w:ind w:hanging="0" w:start="0"/>
        <w:jc w:val="left"/>
        <w:rPr/>
        <w:keepNext/>
      </w:pPr>
      <w:bookmarkStart w:id="120" w:name="evaluación-de-impacto-de-sistemas-de-ia"/>
      <w:r>
        <w:rPr/>
        <w:t>32.4 Evaluación de impacto de sistemas de IA</w:t>
      </w:r>
      <w:bookmarkEnd w:id="120"/>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Entrada</w:t>
            </w:r>
          </w:p>
        </w:tc>
      </w:tr>
      <w:tr>
        <w:trPr>
          <w:cantSplit/>
        </w:trPr>
        <w:tc>
          <w:tcPr>
            <w:tcW w:w="4680" w:type="dxa"/>
            <w:tcBorders/>
            <w:vAlign w:val="center"/>
          </w:tcPr>
          <w:p>
            <w:pPr>
              <w:pStyle w:val="TableContents"/>
              <w:suppressLineNumbers/>
              <w:bidi w:val="0"/>
              <w:spacing w:before="0" w:after="40"/>
              <w:ind w:hanging="0" w:start="43" w:end="43"/>
              <w:rPr/>
            </w:pPr>
            <w:r>
              <w:rPr>
                <w:sz w:val="19"/>
              </w:rPr>
              <w:t>Propósito, uso, personas afectadas, alternativas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Sistema/datos/modelo/proveedor/contexto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Beneficios e impactos adversos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Efectos individuales/grupales/sociales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Probabilidad/gravedad/escala/duración</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Reversibilidad/distribución/incertidumbre</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Participación de partes interesadas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Mitigación/supervisión/transparencia/reparación</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Decisión/autoridad/condiciones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Seguimiento/disparadores/revisión</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bl>
    <w:p>
      <w:pPr>
        <w:pStyle w:val="Heading2"/>
        <w:tabs>
          <w:tab w:val="clear" w:pos="709"/>
          <w:tab w:val="left" w:pos="0" w:leader="none"/>
        </w:tabs>
        <w:bidi w:val="0"/>
        <w:ind w:hanging="0" w:start="0"/>
        <w:jc w:val="left"/>
        <w:rPr/>
        <w:keepNext/>
      </w:pPr>
      <w:bookmarkStart w:id="121" w:name="papel-de-trabajo-de-auditoría-interna"/>
      <w:r>
        <w:rPr/>
        <w:t>32.5 Papel de trabajo de auditoría interna</w:t>
      </w:r>
      <w:bookmarkEnd w:id="121"/>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Entrada</w:t>
            </w:r>
          </w:p>
        </w:tc>
      </w:tr>
      <w:tr>
        <w:trPr>
          <w:cantSplit/>
        </w:trPr>
        <w:tc>
          <w:tcPr>
            <w:tcW w:w="4680" w:type="dxa"/>
            <w:tcBorders/>
            <w:vAlign w:val="center"/>
          </w:tcPr>
          <w:p>
            <w:pPr>
              <w:pStyle w:val="TableContents"/>
              <w:suppressLineNumbers/>
              <w:bidi w:val="0"/>
              <w:spacing w:before="0" w:after="40"/>
              <w:ind w:hanging="0" w:start="43" w:end="43"/>
              <w:rPr/>
            </w:pPr>
            <w:r>
              <w:rPr>
                <w:sz w:val="19"/>
              </w:rPr>
              <w:t>Criterios/alcance/objetivo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Proceso/sistema/versión/periodo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Población/muestra/justificación</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Evidencia/fuente/confiabilidad</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Prueba/resultado esperado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Resultado observado/excepciones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Conclusión/no conformidad</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Indicación de riesgo/impacto/causa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Corrección/acción correctiva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Eficacia/seguimiento/cierre</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bl>
    <w:p>
      <w:pPr>
        <w:pStyle w:val="Heading2"/>
        <w:tabs>
          <w:tab w:val="clear" w:pos="709"/>
          <w:tab w:val="left" w:pos="0" w:leader="none"/>
        </w:tabs>
        <w:bidi w:val="0"/>
        <w:ind w:hanging="0" w:start="0"/>
        <w:jc w:val="left"/>
        <w:rPr/>
        <w:keepNext/>
      </w:pPr>
      <w:bookmarkStart w:id="122" w:name="registro-de-revisión-por-la-dirección"/>
      <w:r>
        <w:rPr/>
        <w:t>32.6 Registro de revisión por la dirección</w:t>
      </w:r>
      <w:bookmarkEnd w:id="122"/>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Campo</w:t>
            </w:r>
          </w:p>
        </w:tc>
        <w:tc>
          <w:tcPr>
            <w:tcW w:w="4680" w:type="dxa"/>
            <w:tcBorders/>
            <w:vAlign w:val="center"/>
            <w:shd w:fill="1F4E78"/>
          </w:tcPr>
          <w:p>
            <w:pPr>
              <w:pStyle w:val="TableHeading"/>
              <w:bidi w:val="0"/>
              <w:spacing w:before="0" w:after="40"/>
              <w:rPr>
                <w:b/>
                <w:bCs/>
              </w:rPr>
            </w:pPr>
            <w:r>
              <w:rPr>
                <w:b/>
                <w:bCs/>
                <w:sz w:val="19"/>
                <w:color w:val="FFFFFF"/>
              </w:rPr>
              <w:t>Entrada</w:t>
            </w:r>
          </w:p>
        </w:tc>
      </w:tr>
      <w:tr>
        <w:trPr>
          <w:cantSplit/>
        </w:trPr>
        <w:tc>
          <w:tcPr>
            <w:tcW w:w="4680" w:type="dxa"/>
            <w:tcBorders/>
            <w:vAlign w:val="center"/>
          </w:tcPr>
          <w:p>
            <w:pPr>
              <w:pStyle w:val="TableContents"/>
              <w:suppressLineNumbers/>
              <w:bidi w:val="0"/>
              <w:spacing w:before="0" w:after="40"/>
              <w:ind w:hanging="0" w:start="43" w:end="43"/>
              <w:rPr/>
            </w:pPr>
            <w:r>
              <w:rPr>
                <w:sz w:val="19"/>
              </w:rPr>
              <w:t>Estado de acciones anteriores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Cambios de contexto/partes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Objetivos/tendencias de desempeño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Riesgo/impacto/tratamiento/Declaración de Aplicabilidad</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Auditoría/no conformidad/acción correctiva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Incidentes/quejas/preocupaciones/reparación</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Cambios de proveedores/legales/sistemas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Recursos/competencia</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Decisiones/acciones/propietarios/fechas</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r>
        <w:trPr>
          <w:cantSplit/>
        </w:trPr>
        <w:tc>
          <w:tcPr>
            <w:tcW w:w="4680" w:type="dxa"/>
            <w:tcBorders/>
            <w:vAlign w:val="center"/>
          </w:tcPr>
          <w:p>
            <w:pPr>
              <w:pStyle w:val="TableContents"/>
              <w:suppressLineNumbers/>
              <w:bidi w:val="0"/>
              <w:spacing w:before="0" w:after="40"/>
              <w:ind w:hanging="0" w:start="43" w:end="43"/>
              <w:rPr/>
            </w:pPr>
            <w:r>
              <w:rPr>
                <w:sz w:val="19"/>
              </w:rPr>
              <w:t>Eficacia/seguimiento</w:t>
            </w:r>
          </w:p>
        </w:tc>
        <w:tc>
          <w:tcPr>
            <w:tcW w:w="4680" w:type="dxa"/>
            <w:tcBorders/>
            <w:vAlign w:val="center"/>
          </w:tcPr>
          <w:p>
            <w:pPr>
              <w:pStyle w:val="TableContents"/>
              <w:suppressLineNumbers/>
              <w:bidi w:val="0"/>
              <w:spacing w:before="0" w:after="40"/>
              <w:ind w:hanging="0" w:start="43" w:end="43"/>
              <w:rPr/>
            </w:pPr>
            <w:r>
              <w:rPr>
                <w:sz w:val="19"/>
              </w:rPr>
              <w:t>________________________________________</w:t>
            </w:r>
          </w:p>
        </w:tc>
      </w:tr>
    </w:tbl>
    <w:p>
      <w:pPr>
        <w:pStyle w:val="Heading2"/>
        <w:tabs>
          <w:tab w:val="clear" w:pos="709"/>
          <w:tab w:val="left" w:pos="0" w:leader="none"/>
        </w:tabs>
        <w:bidi w:val="0"/>
        <w:ind w:hanging="0" w:start="0"/>
        <w:jc w:val="left"/>
        <w:rPr/>
        <w:keepNext/>
      </w:pPr>
      <w:bookmarkStart w:id="123" w:name="glosario"/>
      <w:r>
        <w:rPr/>
        <w:t>32.7 Glosario</w:t>
      </w:r>
      <w:bookmarkEnd w:id="123"/>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80"/>
        <w:gridCol w:w="4680"/>
      </w:tblGrid>
      <w:tr>
        <w:trPr>
          <w:tblHeader w:val="true"/>
          <w:cantSplit/>
        </w:trPr>
        <w:tc>
          <w:tcPr>
            <w:tcW w:w="4680" w:type="dxa"/>
            <w:tcBorders/>
            <w:vAlign w:val="center"/>
            <w:shd w:fill="1F4E78"/>
          </w:tcPr>
          <w:p>
            <w:pPr>
              <w:pStyle w:val="TableHeading"/>
              <w:bidi w:val="0"/>
              <w:spacing w:before="0" w:after="40"/>
              <w:rPr>
                <w:b/>
                <w:bCs/>
              </w:rPr>
            </w:pPr>
            <w:r>
              <w:rPr>
                <w:b/>
                <w:bCs/>
                <w:sz w:val="19"/>
                <w:color w:val="FFFFFF"/>
              </w:rPr>
              <w:t>Término</w:t>
            </w:r>
          </w:p>
        </w:tc>
        <w:tc>
          <w:tcPr>
            <w:tcW w:w="4680" w:type="dxa"/>
            <w:tcBorders/>
            <w:vAlign w:val="center"/>
            <w:shd w:fill="1F4E78"/>
          </w:tcPr>
          <w:p>
            <w:pPr>
              <w:pStyle w:val="TableHeading"/>
              <w:bidi w:val="0"/>
              <w:spacing w:before="0" w:after="40"/>
              <w:rPr>
                <w:b/>
                <w:bCs/>
              </w:rPr>
            </w:pPr>
            <w:r>
              <w:rPr>
                <w:b/>
                <w:bCs/>
                <w:sz w:val="19"/>
                <w:color w:val="FFFFFF"/>
              </w:rPr>
              <w:t>Significado</w:t>
            </w:r>
          </w:p>
        </w:tc>
      </w:tr>
      <w:tr>
        <w:trPr>
          <w:cantSplit/>
        </w:trPr>
        <w:tc>
          <w:tcPr>
            <w:tcW w:w="4680" w:type="dxa"/>
            <w:tcBorders/>
            <w:vAlign w:val="center"/>
          </w:tcPr>
          <w:p>
            <w:pPr>
              <w:pStyle w:val="TableContents"/>
              <w:suppressLineNumbers/>
              <w:bidi w:val="0"/>
              <w:spacing w:before="0" w:after="40"/>
              <w:ind w:hanging="0" w:start="43" w:end="43"/>
              <w:rPr/>
            </w:pPr>
            <w:r>
              <w:rPr>
                <w:sz w:val="19"/>
              </w:rPr>
              <w:t>SGIA</w:t>
            </w:r>
          </w:p>
        </w:tc>
        <w:tc>
          <w:tcPr>
            <w:tcW w:w="4680" w:type="dxa"/>
            <w:tcBorders/>
            <w:vAlign w:val="center"/>
          </w:tcPr>
          <w:p>
            <w:pPr>
              <w:pStyle w:val="TableContents"/>
              <w:suppressLineNumbers/>
              <w:bidi w:val="0"/>
              <w:spacing w:before="0" w:after="40"/>
              <w:ind w:hanging="0" w:start="43" w:end="43"/>
              <w:rPr/>
            </w:pPr>
            <w:r>
              <w:rPr>
                <w:sz w:val="19"/>
              </w:rPr>
              <w:t>Sistema de gestión de inteligencia artificial.</w:t>
            </w:r>
          </w:p>
        </w:tc>
      </w:tr>
      <w:tr>
        <w:trPr>
          <w:cantSplit/>
        </w:trPr>
        <w:tc>
          <w:tcPr>
            <w:tcW w:w="4680" w:type="dxa"/>
            <w:tcBorders/>
            <w:vAlign w:val="center"/>
          </w:tcPr>
          <w:p>
            <w:pPr>
              <w:pStyle w:val="TableContents"/>
              <w:suppressLineNumbers/>
              <w:bidi w:val="0"/>
              <w:spacing w:before="0" w:after="40"/>
              <w:ind w:hanging="0" w:start="43" w:end="43"/>
              <w:rPr/>
            </w:pPr>
            <w:r>
              <w:rPr>
                <w:sz w:val="19"/>
              </w:rPr>
              <w:t>Evaluación de impacto de sistemas de IA</w:t>
            </w:r>
          </w:p>
        </w:tc>
        <w:tc>
          <w:tcPr>
            <w:tcW w:w="4680" w:type="dxa"/>
            <w:tcBorders/>
            <w:vAlign w:val="center"/>
          </w:tcPr>
          <w:p>
            <w:pPr>
              <w:pStyle w:val="TableContents"/>
              <w:suppressLineNumbers/>
              <w:bidi w:val="0"/>
              <w:spacing w:before="0" w:after="40"/>
              <w:ind w:hanging="0" w:start="43" w:end="43"/>
              <w:rPr/>
            </w:pPr>
            <w:r>
              <w:rPr>
                <w:sz w:val="19"/>
              </w:rPr>
              <w:t>Evaluación estructurada de efectos potenciales sobre individuos, grupos y sociedad.</w:t>
            </w:r>
          </w:p>
        </w:tc>
      </w:tr>
      <w:tr>
        <w:trPr>
          <w:cantSplit/>
        </w:trPr>
        <w:tc>
          <w:tcPr>
            <w:tcW w:w="4680" w:type="dxa"/>
            <w:tcBorders/>
            <w:vAlign w:val="center"/>
          </w:tcPr>
          <w:p>
            <w:pPr>
              <w:pStyle w:val="TableContents"/>
              <w:suppressLineNumbers/>
              <w:bidi w:val="0"/>
              <w:spacing w:before="0" w:after="40"/>
              <w:ind w:hanging="0" w:start="43" w:end="43"/>
              <w:rPr/>
            </w:pPr>
            <w:r>
              <w:rPr>
                <w:sz w:val="19"/>
              </w:rPr>
              <w:t>Anexo A</w:t>
            </w:r>
          </w:p>
        </w:tc>
        <w:tc>
          <w:tcPr>
            <w:tcW w:w="4680" w:type="dxa"/>
            <w:tcBorders/>
            <w:vAlign w:val="center"/>
          </w:tcPr>
          <w:p>
            <w:pPr>
              <w:pStyle w:val="TableContents"/>
              <w:suppressLineNumbers/>
              <w:bidi w:val="0"/>
              <w:spacing w:before="0" w:after="40"/>
              <w:ind w:hanging="0" w:start="43" w:end="43"/>
              <w:rPr/>
            </w:pPr>
            <w:r>
              <w:rPr>
                <w:sz w:val="19"/>
              </w:rPr>
              <w:t>Objetivos de control y controles de referencia de ISO/IEC 42001.</w:t>
            </w:r>
          </w:p>
        </w:tc>
      </w:tr>
      <w:tr>
        <w:trPr>
          <w:cantSplit/>
        </w:trPr>
        <w:tc>
          <w:tcPr>
            <w:tcW w:w="4680" w:type="dxa"/>
            <w:tcBorders/>
            <w:vAlign w:val="center"/>
          </w:tcPr>
          <w:p>
            <w:pPr>
              <w:pStyle w:val="TableContents"/>
              <w:suppressLineNumbers/>
              <w:bidi w:val="0"/>
              <w:spacing w:before="0" w:after="40"/>
              <w:ind w:hanging="0" w:start="43" w:end="43"/>
              <w:rPr/>
            </w:pPr>
            <w:r>
              <w:rPr>
                <w:sz w:val="19"/>
              </w:rPr>
              <w:t>Anexo B</w:t>
            </w:r>
          </w:p>
        </w:tc>
        <w:tc>
          <w:tcPr>
            <w:tcW w:w="4680" w:type="dxa"/>
            <w:tcBorders/>
            <w:vAlign w:val="center"/>
          </w:tcPr>
          <w:p>
            <w:pPr>
              <w:pStyle w:val="TableContents"/>
              <w:suppressLineNumbers/>
              <w:bidi w:val="0"/>
              <w:spacing w:before="0" w:after="40"/>
              <w:ind w:hanging="0" w:start="43" w:end="43"/>
              <w:rPr/>
            </w:pPr>
            <w:r>
              <w:rPr>
                <w:sz w:val="19"/>
              </w:rPr>
              <w:t>Orientación para implementar los controles del Anexo A.</w:t>
            </w:r>
          </w:p>
        </w:tc>
      </w:tr>
      <w:tr>
        <w:trPr>
          <w:cantSplit/>
        </w:trPr>
        <w:tc>
          <w:tcPr>
            <w:tcW w:w="4680" w:type="dxa"/>
            <w:tcBorders/>
            <w:vAlign w:val="center"/>
          </w:tcPr>
          <w:p>
            <w:pPr>
              <w:pStyle w:val="TableContents"/>
              <w:suppressLineNumbers/>
              <w:bidi w:val="0"/>
              <w:spacing w:before="0" w:after="40"/>
              <w:ind w:hanging="0" w:start="43" w:end="43"/>
              <w:rPr/>
            </w:pPr>
            <w:r>
              <w:rPr>
                <w:sz w:val="19"/>
              </w:rPr>
              <w:t>Certificación</w:t>
            </w:r>
          </w:p>
        </w:tc>
        <w:tc>
          <w:tcPr>
            <w:tcW w:w="4680" w:type="dxa"/>
            <w:tcBorders/>
            <w:vAlign w:val="center"/>
          </w:tcPr>
          <w:p>
            <w:pPr>
              <w:pStyle w:val="TableContents"/>
              <w:suppressLineNumbers/>
              <w:bidi w:val="0"/>
              <w:spacing w:before="0" w:after="40"/>
              <w:ind w:hanging="0" w:start="43" w:end="43"/>
              <w:rPr/>
            </w:pPr>
            <w:r>
              <w:rPr>
                <w:sz w:val="19"/>
              </w:rPr>
              <w:t>Atestación de tercera parte de que el SGIA delimitado cumple requisitos especificados.</w:t>
            </w:r>
          </w:p>
        </w:tc>
      </w:tr>
      <w:tr>
        <w:trPr>
          <w:cantSplit/>
        </w:trPr>
        <w:tc>
          <w:tcPr>
            <w:tcW w:w="4680" w:type="dxa"/>
            <w:tcBorders/>
            <w:vAlign w:val="center"/>
          </w:tcPr>
          <w:p>
            <w:pPr>
              <w:pStyle w:val="TableContents"/>
              <w:suppressLineNumbers/>
              <w:bidi w:val="0"/>
              <w:spacing w:before="0" w:after="40"/>
              <w:ind w:hanging="0" w:start="43" w:end="43"/>
              <w:rPr/>
            </w:pPr>
            <w:r>
              <w:rPr>
                <w:sz w:val="19"/>
              </w:rPr>
              <w:t>Conformidad</w:t>
            </w:r>
          </w:p>
        </w:tc>
        <w:tc>
          <w:tcPr>
            <w:tcW w:w="4680" w:type="dxa"/>
            <w:tcBorders/>
            <w:vAlign w:val="center"/>
          </w:tcPr>
          <w:p>
            <w:pPr>
              <w:pStyle w:val="TableContents"/>
              <w:suppressLineNumbers/>
              <w:bidi w:val="0"/>
              <w:spacing w:before="0" w:after="40"/>
              <w:ind w:hanging="0" w:start="43" w:end="43"/>
              <w:rPr/>
            </w:pPr>
            <w:r>
              <w:rPr>
                <w:sz w:val="19"/>
              </w:rPr>
              <w:t>Cumplimiento de un requisito.</w:t>
            </w:r>
          </w:p>
        </w:tc>
      </w:tr>
      <w:tr>
        <w:trPr>
          <w:cantSplit/>
        </w:trPr>
        <w:tc>
          <w:tcPr>
            <w:tcW w:w="4680" w:type="dxa"/>
            <w:tcBorders/>
            <w:vAlign w:val="center"/>
          </w:tcPr>
          <w:p>
            <w:pPr>
              <w:pStyle w:val="TableContents"/>
              <w:suppressLineNumbers/>
              <w:bidi w:val="0"/>
              <w:spacing w:before="0" w:after="40"/>
              <w:ind w:hanging="0" w:start="43" w:end="43"/>
              <w:rPr/>
            </w:pPr>
            <w:r>
              <w:rPr>
                <w:sz w:val="19"/>
              </w:rPr>
              <w:t>Control</w:t>
            </w:r>
          </w:p>
        </w:tc>
        <w:tc>
          <w:tcPr>
            <w:tcW w:w="4680" w:type="dxa"/>
            <w:tcBorders/>
            <w:vAlign w:val="center"/>
          </w:tcPr>
          <w:p>
            <w:pPr>
              <w:pStyle w:val="TableContents"/>
              <w:suppressLineNumbers/>
              <w:bidi w:val="0"/>
              <w:spacing w:before="0" w:after="40"/>
              <w:ind w:hanging="0" w:start="43" w:end="43"/>
              <w:rPr/>
            </w:pPr>
            <w:r>
              <w:rPr>
                <w:sz w:val="19"/>
              </w:rPr>
              <w:t>Medida que mantiene o modifica el riesgo.</w:t>
            </w:r>
          </w:p>
        </w:tc>
      </w:tr>
      <w:tr>
        <w:trPr>
          <w:cantSplit/>
        </w:trPr>
        <w:tc>
          <w:tcPr>
            <w:tcW w:w="4680" w:type="dxa"/>
            <w:tcBorders/>
            <w:vAlign w:val="center"/>
          </w:tcPr>
          <w:p>
            <w:pPr>
              <w:pStyle w:val="TableContents"/>
              <w:suppressLineNumbers/>
              <w:bidi w:val="0"/>
              <w:spacing w:before="0" w:after="40"/>
              <w:ind w:hanging="0" w:start="43" w:end="43"/>
              <w:rPr/>
            </w:pPr>
            <w:r>
              <w:rPr>
                <w:sz w:val="19"/>
              </w:rPr>
              <w:t>Corrección</w:t>
            </w:r>
          </w:p>
        </w:tc>
        <w:tc>
          <w:tcPr>
            <w:tcW w:w="4680" w:type="dxa"/>
            <w:tcBorders/>
            <w:vAlign w:val="center"/>
          </w:tcPr>
          <w:p>
            <w:pPr>
              <w:pStyle w:val="TableContents"/>
              <w:suppressLineNumbers/>
              <w:bidi w:val="0"/>
              <w:spacing w:before="0" w:after="40"/>
              <w:ind w:hanging="0" w:start="43" w:end="43"/>
              <w:rPr/>
            </w:pPr>
            <w:r>
              <w:rPr>
                <w:sz w:val="19"/>
              </w:rPr>
              <w:t>Acción para eliminar una no conformidad detectada.</w:t>
            </w:r>
          </w:p>
        </w:tc>
      </w:tr>
      <w:tr>
        <w:trPr>
          <w:cantSplit/>
        </w:trPr>
        <w:tc>
          <w:tcPr>
            <w:tcW w:w="4680" w:type="dxa"/>
            <w:tcBorders/>
            <w:vAlign w:val="center"/>
          </w:tcPr>
          <w:p>
            <w:pPr>
              <w:pStyle w:val="TableContents"/>
              <w:suppressLineNumbers/>
              <w:bidi w:val="0"/>
              <w:spacing w:before="0" w:after="40"/>
              <w:ind w:hanging="0" w:start="43" w:end="43"/>
              <w:rPr/>
            </w:pPr>
            <w:r>
              <w:rPr>
                <w:sz w:val="19"/>
              </w:rPr>
              <w:t>Acción correctiva</w:t>
            </w:r>
          </w:p>
        </w:tc>
        <w:tc>
          <w:tcPr>
            <w:tcW w:w="4680" w:type="dxa"/>
            <w:tcBorders/>
            <w:vAlign w:val="center"/>
          </w:tcPr>
          <w:p>
            <w:pPr>
              <w:pStyle w:val="TableContents"/>
              <w:suppressLineNumbers/>
              <w:bidi w:val="0"/>
              <w:spacing w:before="0" w:after="40"/>
              <w:ind w:hanging="0" w:start="43" w:end="43"/>
              <w:rPr/>
            </w:pPr>
            <w:r>
              <w:rPr>
                <w:sz w:val="19"/>
              </w:rPr>
              <w:t>Acción para eliminar una causa y prevenir recurrencia.</w:t>
            </w:r>
          </w:p>
        </w:tc>
      </w:tr>
      <w:tr>
        <w:trPr>
          <w:cantSplit/>
        </w:trPr>
        <w:tc>
          <w:tcPr>
            <w:tcW w:w="4680" w:type="dxa"/>
            <w:tcBorders/>
            <w:vAlign w:val="center"/>
          </w:tcPr>
          <w:p>
            <w:pPr>
              <w:pStyle w:val="TableContents"/>
              <w:suppressLineNumbers/>
              <w:bidi w:val="0"/>
              <w:spacing w:before="0" w:after="40"/>
              <w:ind w:hanging="0" w:start="43" w:end="43"/>
              <w:rPr/>
            </w:pPr>
            <w:r>
              <w:rPr>
                <w:sz w:val="19"/>
              </w:rPr>
              <w:t>Información documentada</w:t>
            </w:r>
          </w:p>
        </w:tc>
        <w:tc>
          <w:tcPr>
            <w:tcW w:w="4680" w:type="dxa"/>
            <w:tcBorders/>
            <w:vAlign w:val="center"/>
          </w:tcPr>
          <w:p>
            <w:pPr>
              <w:pStyle w:val="TableContents"/>
              <w:suppressLineNumbers/>
              <w:bidi w:val="0"/>
              <w:spacing w:before="0" w:after="40"/>
              <w:ind w:hanging="0" w:start="43" w:end="43"/>
              <w:rPr/>
            </w:pPr>
            <w:r>
              <w:rPr>
                <w:sz w:val="19"/>
              </w:rPr>
              <w:t>Información que la organización controla y mantiene, junto con su medio.</w:t>
            </w:r>
          </w:p>
        </w:tc>
      </w:tr>
      <w:tr>
        <w:trPr>
          <w:cantSplit/>
        </w:trPr>
        <w:tc>
          <w:tcPr>
            <w:tcW w:w="4680" w:type="dxa"/>
            <w:tcBorders/>
            <w:vAlign w:val="center"/>
          </w:tcPr>
          <w:p>
            <w:pPr>
              <w:pStyle w:val="TableContents"/>
              <w:suppressLineNumbers/>
              <w:bidi w:val="0"/>
              <w:spacing w:before="0" w:after="40"/>
              <w:ind w:hanging="0" w:start="43" w:end="43"/>
              <w:rPr/>
            </w:pPr>
            <w:r>
              <w:rPr>
                <w:sz w:val="19"/>
              </w:rPr>
              <w:t>Parte interesada</w:t>
            </w:r>
          </w:p>
        </w:tc>
        <w:tc>
          <w:tcPr>
            <w:tcW w:w="4680" w:type="dxa"/>
            <w:tcBorders/>
            <w:vAlign w:val="center"/>
          </w:tcPr>
          <w:p>
            <w:pPr>
              <w:pStyle w:val="TableContents"/>
              <w:suppressLineNumbers/>
              <w:bidi w:val="0"/>
              <w:spacing w:before="0" w:after="40"/>
              <w:ind w:hanging="0" w:start="43" w:end="43"/>
              <w:rPr/>
            </w:pPr>
            <w:r>
              <w:rPr>
                <w:sz w:val="19"/>
              </w:rPr>
              <w:t>Persona u organización que puede afectar, verse afectada o percibirse afectada por una decisión/actividad.</w:t>
            </w:r>
          </w:p>
        </w:tc>
      </w:tr>
      <w:tr>
        <w:trPr>
          <w:cantSplit/>
        </w:trPr>
        <w:tc>
          <w:tcPr>
            <w:tcW w:w="4680" w:type="dxa"/>
            <w:tcBorders/>
            <w:vAlign w:val="center"/>
          </w:tcPr>
          <w:p>
            <w:pPr>
              <w:pStyle w:val="TableContents"/>
              <w:suppressLineNumbers/>
              <w:bidi w:val="0"/>
              <w:spacing w:before="0" w:after="40"/>
              <w:ind w:hanging="0" w:start="43" w:end="43"/>
              <w:rPr/>
            </w:pPr>
            <w:r>
              <w:rPr>
                <w:sz w:val="19"/>
              </w:rPr>
              <w:t>Auditoría interna</w:t>
            </w:r>
          </w:p>
        </w:tc>
        <w:tc>
          <w:tcPr>
            <w:tcW w:w="4680" w:type="dxa"/>
            <w:tcBorders/>
            <w:vAlign w:val="center"/>
          </w:tcPr>
          <w:p>
            <w:pPr>
              <w:pStyle w:val="TableContents"/>
              <w:suppressLineNumbers/>
              <w:bidi w:val="0"/>
              <w:spacing w:before="0" w:after="40"/>
              <w:ind w:hanging="0" w:start="43" w:end="43"/>
              <w:rPr/>
            </w:pPr>
            <w:r>
              <w:rPr>
                <w:sz w:val="19"/>
              </w:rPr>
              <w:t>Proceso sistemático, independiente y objetivo para evaluar evidencia frente a criterios.</w:t>
            </w:r>
          </w:p>
        </w:tc>
      </w:tr>
      <w:tr>
        <w:trPr>
          <w:cantSplit/>
        </w:trPr>
        <w:tc>
          <w:tcPr>
            <w:tcW w:w="4680" w:type="dxa"/>
            <w:tcBorders/>
            <w:vAlign w:val="center"/>
          </w:tcPr>
          <w:p>
            <w:pPr>
              <w:pStyle w:val="TableContents"/>
              <w:suppressLineNumbers/>
              <w:bidi w:val="0"/>
              <w:spacing w:before="0" w:after="40"/>
              <w:ind w:hanging="0" w:start="43" w:end="43"/>
              <w:rPr/>
            </w:pPr>
            <w:r>
              <w:rPr>
                <w:sz w:val="19"/>
              </w:rPr>
              <w:t>No conformidad</w:t>
            </w:r>
          </w:p>
        </w:tc>
        <w:tc>
          <w:tcPr>
            <w:tcW w:w="4680" w:type="dxa"/>
            <w:tcBorders/>
            <w:vAlign w:val="center"/>
          </w:tcPr>
          <w:p>
            <w:pPr>
              <w:pStyle w:val="TableContents"/>
              <w:suppressLineNumbers/>
              <w:bidi w:val="0"/>
              <w:spacing w:before="0" w:after="40"/>
              <w:ind w:hanging="0" w:start="43" w:end="43"/>
              <w:rPr/>
            </w:pPr>
            <w:r>
              <w:rPr>
                <w:sz w:val="19"/>
              </w:rPr>
              <w:t>Incumplimiento de un requisito.</w:t>
            </w:r>
          </w:p>
        </w:tc>
      </w:tr>
      <w:tr>
        <w:trPr>
          <w:cantSplit/>
        </w:trPr>
        <w:tc>
          <w:tcPr>
            <w:tcW w:w="4680" w:type="dxa"/>
            <w:tcBorders/>
            <w:vAlign w:val="center"/>
          </w:tcPr>
          <w:p>
            <w:pPr>
              <w:pStyle w:val="TableContents"/>
              <w:suppressLineNumbers/>
              <w:bidi w:val="0"/>
              <w:spacing w:before="0" w:after="40"/>
              <w:ind w:hanging="0" w:start="43" w:end="43"/>
              <w:rPr/>
            </w:pPr>
            <w:r>
              <w:rPr>
                <w:sz w:val="19"/>
              </w:rPr>
              <w:t>Objetivo</w:t>
            </w:r>
          </w:p>
        </w:tc>
        <w:tc>
          <w:tcPr>
            <w:tcW w:w="4680" w:type="dxa"/>
            <w:tcBorders/>
            <w:vAlign w:val="center"/>
          </w:tcPr>
          <w:p>
            <w:pPr>
              <w:pStyle w:val="TableContents"/>
              <w:suppressLineNumbers/>
              <w:bidi w:val="0"/>
              <w:spacing w:before="0" w:after="40"/>
              <w:ind w:hanging="0" w:start="43" w:end="43"/>
              <w:rPr/>
            </w:pPr>
            <w:r>
              <w:rPr>
                <w:sz w:val="19"/>
              </w:rPr>
              <w:t>Resultado por alcanzar.</w:t>
            </w:r>
          </w:p>
        </w:tc>
      </w:tr>
      <w:tr>
        <w:trPr>
          <w:cantSplit/>
        </w:trPr>
        <w:tc>
          <w:tcPr>
            <w:tcW w:w="4680" w:type="dxa"/>
            <w:tcBorders/>
            <w:vAlign w:val="center"/>
          </w:tcPr>
          <w:p>
            <w:pPr>
              <w:pStyle w:val="TableContents"/>
              <w:suppressLineNumbers/>
              <w:bidi w:val="0"/>
              <w:spacing w:before="0" w:after="40"/>
              <w:ind w:hanging="0" w:start="43" w:end="43"/>
              <w:rPr/>
            </w:pPr>
            <w:r>
              <w:rPr>
                <w:sz w:val="19"/>
              </w:rPr>
              <w:t>Riesgo residual</w:t>
            </w:r>
          </w:p>
        </w:tc>
        <w:tc>
          <w:tcPr>
            <w:tcW w:w="4680" w:type="dxa"/>
            <w:tcBorders/>
            <w:vAlign w:val="center"/>
          </w:tcPr>
          <w:p>
            <w:pPr>
              <w:pStyle w:val="TableContents"/>
              <w:suppressLineNumbers/>
              <w:bidi w:val="0"/>
              <w:spacing w:before="0" w:after="40"/>
              <w:ind w:hanging="0" w:start="43" w:end="43"/>
              <w:rPr/>
            </w:pPr>
            <w:r>
              <w:rPr>
                <w:sz w:val="19"/>
              </w:rPr>
              <w:t>Riesgo que permanece después del tratamiento.</w:t>
            </w:r>
          </w:p>
        </w:tc>
      </w:tr>
      <w:tr>
        <w:trPr>
          <w:cantSplit/>
        </w:trPr>
        <w:tc>
          <w:tcPr>
            <w:tcW w:w="4680" w:type="dxa"/>
            <w:tcBorders/>
            <w:vAlign w:val="center"/>
          </w:tcPr>
          <w:p>
            <w:pPr>
              <w:pStyle w:val="TableContents"/>
              <w:suppressLineNumbers/>
              <w:bidi w:val="0"/>
              <w:spacing w:before="0" w:after="40"/>
              <w:ind w:hanging="0" w:start="43" w:end="43"/>
              <w:rPr/>
            </w:pPr>
            <w:r>
              <w:rPr>
                <w:sz w:val="19"/>
              </w:rPr>
              <w:t>Propietario del riesgo</w:t>
            </w:r>
          </w:p>
        </w:tc>
        <w:tc>
          <w:tcPr>
            <w:tcW w:w="4680" w:type="dxa"/>
            <w:tcBorders/>
            <w:vAlign w:val="center"/>
          </w:tcPr>
          <w:p>
            <w:pPr>
              <w:pStyle w:val="TableContents"/>
              <w:suppressLineNumbers/>
              <w:bidi w:val="0"/>
              <w:spacing w:before="0" w:after="40"/>
              <w:ind w:hanging="0" w:start="43" w:end="43"/>
              <w:rPr/>
            </w:pPr>
            <w:r>
              <w:rPr>
                <w:sz w:val="19"/>
              </w:rPr>
              <w:t>Persona/entidad con rendición de cuentas y autoridad para gestionar el riesgo.</w:t>
            </w:r>
          </w:p>
        </w:tc>
      </w:tr>
      <w:tr>
        <w:trPr>
          <w:cantSplit/>
        </w:trPr>
        <w:tc>
          <w:tcPr>
            <w:tcW w:w="4680" w:type="dxa"/>
            <w:tcBorders/>
            <w:vAlign w:val="center"/>
          </w:tcPr>
          <w:p>
            <w:pPr>
              <w:pStyle w:val="TableContents"/>
              <w:suppressLineNumbers/>
              <w:bidi w:val="0"/>
              <w:spacing w:before="0" w:after="40"/>
              <w:ind w:hanging="0" w:start="43" w:end="43"/>
              <w:rPr/>
            </w:pPr>
            <w:r>
              <w:rPr>
                <w:sz w:val="19"/>
              </w:rPr>
              <w:t>Declaración de Aplicabilidad (SoA)</w:t>
            </w:r>
          </w:p>
        </w:tc>
        <w:tc>
          <w:tcPr>
            <w:tcW w:w="4680" w:type="dxa"/>
            <w:tcBorders/>
            <w:vAlign w:val="center"/>
          </w:tcPr>
          <w:p>
            <w:pPr>
              <w:pStyle w:val="TableContents"/>
              <w:suppressLineNumbers/>
              <w:bidi w:val="0"/>
              <w:spacing w:before="0" w:after="40"/>
              <w:ind w:hanging="0" w:start="43" w:end="43"/>
              <w:rPr/>
            </w:pPr>
            <w:r>
              <w:rPr>
                <w:sz w:val="19"/>
              </w:rPr>
              <w:t>Registro de aplicabilidad de controles del SGIA.</w:t>
            </w:r>
          </w:p>
        </w:tc>
      </w:tr>
      <w:tr>
        <w:trPr>
          <w:cantSplit/>
        </w:trPr>
        <w:tc>
          <w:tcPr>
            <w:tcW w:w="4680" w:type="dxa"/>
            <w:tcBorders/>
            <w:vAlign w:val="center"/>
          </w:tcPr>
          <w:p>
            <w:pPr>
              <w:pStyle w:val="TableContents"/>
              <w:suppressLineNumbers/>
              <w:bidi w:val="0"/>
              <w:spacing w:before="0" w:after="40"/>
              <w:ind w:hanging="0" w:start="43" w:end="43"/>
              <w:rPr/>
            </w:pPr>
            <w:r>
              <w:rPr>
                <w:sz w:val="19"/>
              </w:rPr>
              <w:t>Etapa 1</w:t>
            </w:r>
          </w:p>
        </w:tc>
        <w:tc>
          <w:tcPr>
            <w:tcW w:w="4680" w:type="dxa"/>
            <w:tcBorders/>
            <w:vAlign w:val="center"/>
          </w:tcPr>
          <w:p>
            <w:pPr>
              <w:pStyle w:val="TableContents"/>
              <w:suppressLineNumbers/>
              <w:bidi w:val="0"/>
              <w:spacing w:before="0" w:after="40"/>
              <w:ind w:hanging="0" w:start="43" w:end="43"/>
              <w:rPr/>
            </w:pPr>
            <w:r>
              <w:rPr>
                <w:sz w:val="19"/>
              </w:rPr>
              <w:t>Etapa de auditoría de preparación para certificación y sistema documentado.</w:t>
            </w:r>
          </w:p>
        </w:tc>
      </w:tr>
      <w:tr>
        <w:trPr>
          <w:cantSplit/>
        </w:trPr>
        <w:tc>
          <w:tcPr>
            <w:tcW w:w="4680" w:type="dxa"/>
            <w:tcBorders/>
            <w:vAlign w:val="center"/>
          </w:tcPr>
          <w:p>
            <w:pPr>
              <w:pStyle w:val="TableContents"/>
              <w:suppressLineNumbers/>
              <w:bidi w:val="0"/>
              <w:spacing w:before="0" w:after="40"/>
              <w:ind w:hanging="0" w:start="43" w:end="43"/>
              <w:rPr/>
            </w:pPr>
            <w:r>
              <w:rPr>
                <w:sz w:val="19"/>
              </w:rPr>
              <w:t>Etapa 2</w:t>
            </w:r>
          </w:p>
        </w:tc>
        <w:tc>
          <w:tcPr>
            <w:tcW w:w="4680" w:type="dxa"/>
            <w:tcBorders/>
            <w:vAlign w:val="center"/>
          </w:tcPr>
          <w:p>
            <w:pPr>
              <w:pStyle w:val="TableContents"/>
              <w:suppressLineNumbers/>
              <w:bidi w:val="0"/>
              <w:spacing w:before="0" w:after="40"/>
              <w:ind w:hanging="0" w:start="43" w:end="43"/>
              <w:rPr/>
            </w:pPr>
            <w:r>
              <w:rPr>
                <w:sz w:val="19"/>
              </w:rPr>
              <w:t>Etapa de auditoría de implementación y eficacia operacional para certificación.</w:t>
            </w:r>
          </w:p>
        </w:tc>
      </w:tr>
      <w:tr>
        <w:trPr>
          <w:cantSplit/>
        </w:trPr>
        <w:tc>
          <w:tcPr>
            <w:tcW w:w="4680" w:type="dxa"/>
            <w:tcBorders/>
            <w:vAlign w:val="center"/>
          </w:tcPr>
          <w:p>
            <w:pPr>
              <w:pStyle w:val="TableContents"/>
              <w:suppressLineNumbers/>
              <w:bidi w:val="0"/>
              <w:spacing w:before="0" w:after="40"/>
              <w:ind w:hanging="0" w:start="43" w:end="43"/>
              <w:rPr/>
            </w:pPr>
            <w:r>
              <w:rPr>
                <w:sz w:val="19"/>
              </w:rPr>
              <w:t>Alta dirección</w:t>
            </w:r>
          </w:p>
        </w:tc>
        <w:tc>
          <w:tcPr>
            <w:tcW w:w="4680" w:type="dxa"/>
            <w:tcBorders/>
            <w:vAlign w:val="center"/>
          </w:tcPr>
          <w:p>
            <w:pPr>
              <w:pStyle w:val="TableContents"/>
              <w:suppressLineNumbers/>
              <w:bidi w:val="0"/>
              <w:spacing w:before="0" w:after="40"/>
              <w:ind w:hanging="0" w:start="43" w:end="43"/>
              <w:rPr/>
            </w:pPr>
            <w:r>
              <w:rPr>
                <w:sz w:val="19"/>
              </w:rPr>
              <w:t>Persona/grupo que dirige y controla la organización al nivel más alto dentro del alcance.</w:t>
            </w:r>
          </w:p>
        </w:tc>
      </w:tr>
    </w:tbl>
    <w:p>
      <w:pPr>
        <w:pStyle w:val="Heading2"/>
        <w:tabs>
          <w:tab w:val="clear" w:pos="709"/>
          <w:tab w:val="left" w:pos="0" w:leader="none"/>
        </w:tabs>
        <w:bidi w:val="0"/>
        <w:ind w:hanging="0" w:start="0"/>
        <w:jc w:val="left"/>
        <w:rPr/>
        <w:keepNext/>
      </w:pPr>
      <w:bookmarkStart w:id="124" w:name="índice-temático"/>
      <w:r>
        <w:rPr/>
        <w:t>32.8 Índice temático</w:t>
      </w:r>
      <w:bookmarkEnd w:id="124"/>
    </w:p>
    <w:tbl>
      <w:tblPr>
        <w:tblW w:w="5000" w:type="pct"/>
        <w:jc w:val="center"/>
        <w:tblInd w:w="0" w:type="dxa"/>
        <w:tblLayout w:type="autofit"/>
        <w:tblCellMar>
          <w:top w:w="0" w:type="dxa"/>
          <w:start w:w="0" w:type="dxa"/>
          <w:bottom w:w="0" w:type="dxa"/>
          <w:end w:w="0" w:type="dxa"/>
        </w:tblCellMar>
        <w:tblBorders>
          <w:top w:val="single" w:sz="4" w:color="808080"/>
          <w:left w:val="single" w:sz="4" w:color="808080"/>
          <w:bottom w:val="single" w:sz="4" w:color="808080"/>
          <w:right w:val="single" w:sz="4" w:color="808080"/>
          <w:insideH w:val="single" w:sz="4" w:color="808080"/>
          <w:insideV w:val="single" w:sz="4" w:color="808080"/>
        </w:tblBorders>
      </w:tblPr>
      <w:tblGrid>
        <w:gridCol w:w="4679"/>
        <w:gridCol w:w="4681"/>
      </w:tblGrid>
      <w:tr>
        <w:trPr>
          <w:tblHeader w:val="true"/>
          <w:cantSplit/>
        </w:trPr>
        <w:tc>
          <w:tcPr>
            <w:tcW w:w="4679" w:type="dxa"/>
            <w:tcBorders/>
            <w:vAlign w:val="center"/>
            <w:shd w:fill="1F4E78"/>
          </w:tcPr>
          <w:p>
            <w:pPr>
              <w:pStyle w:val="TableHeading"/>
              <w:bidi w:val="0"/>
              <w:spacing w:before="0" w:after="40"/>
              <w:rPr>
                <w:b/>
                <w:bCs/>
              </w:rPr>
            </w:pPr>
            <w:r>
              <w:rPr>
                <w:b/>
                <w:bCs/>
                <w:sz w:val="19"/>
                <w:color w:val="FFFFFF"/>
              </w:rPr>
              <w:t>Tema</w:t>
            </w:r>
          </w:p>
        </w:tc>
        <w:tc>
          <w:tcPr>
            <w:tcW w:w="4681" w:type="dxa"/>
            <w:tcBorders/>
            <w:vAlign w:val="center"/>
            <w:shd w:fill="1F4E78"/>
          </w:tcPr>
          <w:p>
            <w:pPr>
              <w:pStyle w:val="TableHeading"/>
              <w:bidi w:val="0"/>
              <w:spacing w:before="0" w:after="40"/>
              <w:jc w:val="end"/>
              <w:rPr>
                <w:b/>
                <w:bCs/>
              </w:rPr>
            </w:pPr>
            <w:r>
              <w:rPr>
                <w:b/>
                <w:bCs/>
                <w:sz w:val="19"/>
                <w:color w:val="FFFFFF"/>
              </w:rPr>
              <w:t>Capítulo</w:t>
            </w:r>
          </w:p>
        </w:tc>
      </w:tr>
      <w:tr>
        <w:trPr>
          <w:cantSplit/>
        </w:trPr>
        <w:tc>
          <w:tcPr>
            <w:tcW w:w="4679" w:type="dxa"/>
            <w:tcBorders/>
            <w:vAlign w:val="center"/>
          </w:tcPr>
          <w:p>
            <w:pPr>
              <w:pStyle w:val="TableContents"/>
              <w:suppressLineNumbers/>
              <w:bidi w:val="0"/>
              <w:spacing w:before="0" w:after="40"/>
              <w:ind w:hanging="0" w:start="43" w:end="43"/>
              <w:rPr/>
            </w:pPr>
            <w:r>
              <w:rPr>
                <w:sz w:val="19"/>
              </w:rPr>
              <w:t>Controles del Anexo A</w:t>
            </w:r>
          </w:p>
        </w:tc>
        <w:tc>
          <w:tcPr>
            <w:tcW w:w="4681" w:type="dxa"/>
            <w:tcBorders/>
            <w:vAlign w:val="center"/>
          </w:tcPr>
          <w:p>
            <w:pPr>
              <w:pStyle w:val="TableContents"/>
              <w:bidi w:val="0"/>
              <w:spacing w:before="0" w:after="40"/>
              <w:jc w:val="end"/>
              <w:rPr/>
            </w:pPr>
            <w:r>
              <w:rPr>
                <w:sz w:val="19"/>
              </w:rPr>
              <w:t>20–28</w:t>
            </w:r>
          </w:p>
        </w:tc>
      </w:tr>
      <w:tr>
        <w:trPr>
          <w:cantSplit/>
        </w:trPr>
        <w:tc>
          <w:tcPr>
            <w:tcW w:w="4679" w:type="dxa"/>
            <w:tcBorders/>
            <w:vAlign w:val="center"/>
          </w:tcPr>
          <w:p>
            <w:pPr>
              <w:pStyle w:val="TableContents"/>
              <w:suppressLineNumbers/>
              <w:bidi w:val="0"/>
              <w:spacing w:before="0" w:after="40"/>
              <w:ind w:hanging="0" w:start="43" w:end="43"/>
              <w:rPr/>
            </w:pPr>
            <w:r>
              <w:rPr>
                <w:sz w:val="19"/>
              </w:rPr>
              <w:t>Auditoría</w:t>
            </w:r>
          </w:p>
        </w:tc>
        <w:tc>
          <w:tcPr>
            <w:tcW w:w="4681" w:type="dxa"/>
            <w:tcBorders/>
            <w:vAlign w:val="center"/>
          </w:tcPr>
          <w:p>
            <w:pPr>
              <w:pStyle w:val="TableContents"/>
              <w:bidi w:val="0"/>
              <w:spacing w:before="0" w:after="40"/>
              <w:jc w:val="end"/>
              <w:rPr/>
            </w:pPr>
            <w:r>
              <w:rPr>
                <w:sz w:val="19"/>
              </w:rPr>
              <w:t>17, 29</w:t>
            </w:r>
          </w:p>
        </w:tc>
      </w:tr>
      <w:tr>
        <w:trPr>
          <w:cantSplit/>
        </w:trPr>
        <w:tc>
          <w:tcPr>
            <w:tcW w:w="4679" w:type="dxa"/>
            <w:tcBorders/>
            <w:vAlign w:val="center"/>
          </w:tcPr>
          <w:p>
            <w:pPr>
              <w:pStyle w:val="TableContents"/>
              <w:suppressLineNumbers/>
              <w:bidi w:val="0"/>
              <w:spacing w:before="0" w:after="40"/>
              <w:ind w:hanging="0" w:start="43" w:end="43"/>
              <w:rPr/>
            </w:pPr>
            <w:r>
              <w:rPr>
                <w:sz w:val="19"/>
              </w:rPr>
              <w:t>Certificación</w:t>
            </w:r>
          </w:p>
        </w:tc>
        <w:tc>
          <w:tcPr>
            <w:tcW w:w="4681" w:type="dxa"/>
            <w:tcBorders/>
            <w:vAlign w:val="center"/>
          </w:tcPr>
          <w:p>
            <w:pPr>
              <w:pStyle w:val="TableContents"/>
              <w:bidi w:val="0"/>
              <w:spacing w:before="0" w:after="40"/>
              <w:jc w:val="end"/>
              <w:rPr/>
            </w:pPr>
            <w:r>
              <w:rPr>
                <w:sz w:val="19"/>
              </w:rPr>
              <w:t>29</w:t>
            </w:r>
          </w:p>
        </w:tc>
      </w:tr>
      <w:tr>
        <w:trPr>
          <w:cantSplit/>
        </w:trPr>
        <w:tc>
          <w:tcPr>
            <w:tcW w:w="4679" w:type="dxa"/>
            <w:tcBorders/>
            <w:vAlign w:val="center"/>
          </w:tcPr>
          <w:p>
            <w:pPr>
              <w:pStyle w:val="TableContents"/>
              <w:suppressLineNumbers/>
              <w:bidi w:val="0"/>
              <w:spacing w:before="0" w:after="40"/>
              <w:ind w:hanging="0" w:start="43" w:end="43"/>
              <w:rPr/>
            </w:pPr>
            <w:r>
              <w:rPr>
                <w:sz w:val="19"/>
              </w:rPr>
              <w:t>Contexto/alcance</w:t>
            </w:r>
          </w:p>
        </w:tc>
        <w:tc>
          <w:tcPr>
            <w:tcW w:w="4681" w:type="dxa"/>
            <w:tcBorders/>
            <w:vAlign w:val="center"/>
          </w:tcPr>
          <w:p>
            <w:pPr>
              <w:pStyle w:val="TableContents"/>
              <w:bidi w:val="0"/>
              <w:spacing w:before="0" w:after="40"/>
              <w:jc w:val="end"/>
              <w:rPr/>
            </w:pPr>
            <w:r>
              <w:rPr>
                <w:sz w:val="19"/>
              </w:rPr>
              <w:t>3–4</w:t>
            </w:r>
          </w:p>
        </w:tc>
      </w:tr>
      <w:tr>
        <w:trPr>
          <w:cantSplit/>
        </w:trPr>
        <w:tc>
          <w:tcPr>
            <w:tcW w:w="4679" w:type="dxa"/>
            <w:tcBorders/>
            <w:vAlign w:val="center"/>
          </w:tcPr>
          <w:p>
            <w:pPr>
              <w:pStyle w:val="TableContents"/>
              <w:suppressLineNumbers/>
              <w:bidi w:val="0"/>
              <w:spacing w:before="0" w:after="40"/>
              <w:ind w:hanging="0" w:start="43" w:end="43"/>
              <w:rPr/>
            </w:pPr>
            <w:r>
              <w:rPr>
                <w:sz w:val="19"/>
              </w:rPr>
              <w:t>Acción correctiva</w:t>
            </w:r>
          </w:p>
        </w:tc>
        <w:tc>
          <w:tcPr>
            <w:tcW w:w="4681" w:type="dxa"/>
            <w:tcBorders/>
            <w:vAlign w:val="center"/>
          </w:tcPr>
          <w:p>
            <w:pPr>
              <w:pStyle w:val="TableContents"/>
              <w:bidi w:val="0"/>
              <w:spacing w:before="0" w:after="40"/>
              <w:jc w:val="end"/>
              <w:rPr/>
            </w:pPr>
            <w:r>
              <w:rPr>
                <w:sz w:val="19"/>
              </w:rPr>
              <w:t>19</w:t>
            </w:r>
          </w:p>
        </w:tc>
      </w:tr>
      <w:tr>
        <w:trPr>
          <w:cantSplit/>
        </w:trPr>
        <w:tc>
          <w:tcPr>
            <w:tcW w:w="4679" w:type="dxa"/>
            <w:tcBorders/>
            <w:vAlign w:val="center"/>
          </w:tcPr>
          <w:p>
            <w:pPr>
              <w:pStyle w:val="TableContents"/>
              <w:suppressLineNumbers/>
              <w:bidi w:val="0"/>
              <w:spacing w:before="0" w:after="40"/>
              <w:ind w:hanging="0" w:start="43" w:end="43"/>
              <w:rPr/>
            </w:pPr>
            <w:r>
              <w:rPr>
                <w:sz w:val="19"/>
              </w:rPr>
              <w:t>Datos</w:t>
            </w:r>
          </w:p>
        </w:tc>
        <w:tc>
          <w:tcPr>
            <w:tcW w:w="4681" w:type="dxa"/>
            <w:tcBorders/>
            <w:vAlign w:val="center"/>
          </w:tcPr>
          <w:p>
            <w:pPr>
              <w:pStyle w:val="TableContents"/>
              <w:bidi w:val="0"/>
              <w:spacing w:before="0" w:after="40"/>
              <w:jc w:val="end"/>
              <w:rPr/>
            </w:pPr>
            <w:r>
              <w:rPr>
                <w:sz w:val="19"/>
              </w:rPr>
              <w:t>23, 26</w:t>
            </w:r>
          </w:p>
        </w:tc>
      </w:tr>
      <w:tr>
        <w:trPr>
          <w:cantSplit/>
        </w:trPr>
        <w:tc>
          <w:tcPr>
            <w:tcW w:w="4679" w:type="dxa"/>
            <w:tcBorders/>
            <w:vAlign w:val="center"/>
          </w:tcPr>
          <w:p>
            <w:pPr>
              <w:pStyle w:val="TableContents"/>
              <w:suppressLineNumbers/>
              <w:bidi w:val="0"/>
              <w:spacing w:before="0" w:after="40"/>
              <w:ind w:hanging="0" w:start="43" w:end="43"/>
              <w:rPr/>
            </w:pPr>
            <w:r>
              <w:rPr>
                <w:sz w:val="19"/>
              </w:rPr>
              <w:t>Documentos</w:t>
            </w:r>
          </w:p>
        </w:tc>
        <w:tc>
          <w:tcPr>
            <w:tcW w:w="4681" w:type="dxa"/>
            <w:tcBorders/>
            <w:vAlign w:val="center"/>
          </w:tcPr>
          <w:p>
            <w:pPr>
              <w:pStyle w:val="TableContents"/>
              <w:bidi w:val="0"/>
              <w:spacing w:before="0" w:after="40"/>
              <w:jc w:val="end"/>
              <w:rPr/>
            </w:pPr>
            <w:r>
              <w:rPr>
                <w:sz w:val="19"/>
              </w:rPr>
              <w:t>13</w:t>
            </w:r>
          </w:p>
        </w:tc>
      </w:tr>
      <w:tr>
        <w:trPr>
          <w:cantSplit/>
        </w:trPr>
        <w:tc>
          <w:tcPr>
            <w:tcW w:w="4679" w:type="dxa"/>
            <w:tcBorders/>
            <w:vAlign w:val="center"/>
          </w:tcPr>
          <w:p>
            <w:pPr>
              <w:pStyle w:val="TableContents"/>
              <w:suppressLineNumbers/>
              <w:bidi w:val="0"/>
              <w:spacing w:before="0" w:after="40"/>
              <w:ind w:hanging="0" w:start="43" w:end="43"/>
              <w:rPr/>
            </w:pPr>
            <w:r>
              <w:rPr>
                <w:sz w:val="19"/>
              </w:rPr>
              <w:t>Evaluación de impacto</w:t>
            </w:r>
          </w:p>
        </w:tc>
        <w:tc>
          <w:tcPr>
            <w:tcW w:w="4681" w:type="dxa"/>
            <w:tcBorders/>
            <w:vAlign w:val="center"/>
          </w:tcPr>
          <w:p>
            <w:pPr>
              <w:pStyle w:val="TableContents"/>
              <w:bidi w:val="0"/>
              <w:spacing w:before="0" w:after="40"/>
              <w:jc w:val="end"/>
              <w:rPr/>
            </w:pPr>
            <w:r>
              <w:rPr>
                <w:sz w:val="19"/>
              </w:rPr>
              <w:t>9, 24</w:t>
            </w:r>
          </w:p>
        </w:tc>
      </w:tr>
      <w:tr>
        <w:trPr>
          <w:cantSplit/>
        </w:trPr>
        <w:tc>
          <w:tcPr>
            <w:tcW w:w="4679" w:type="dxa"/>
            <w:tcBorders/>
            <w:vAlign w:val="center"/>
          </w:tcPr>
          <w:p>
            <w:pPr>
              <w:pStyle w:val="TableContents"/>
              <w:suppressLineNumbers/>
              <w:bidi w:val="0"/>
              <w:spacing w:before="0" w:after="40"/>
              <w:ind w:hanging="0" w:start="43" w:end="43"/>
              <w:rPr/>
            </w:pPr>
            <w:r>
              <w:rPr>
                <w:sz w:val="19"/>
              </w:rPr>
              <w:t>Partes interesadas</w:t>
            </w:r>
          </w:p>
        </w:tc>
        <w:tc>
          <w:tcPr>
            <w:tcW w:w="4681" w:type="dxa"/>
            <w:tcBorders/>
            <w:vAlign w:val="center"/>
          </w:tcPr>
          <w:p>
            <w:pPr>
              <w:pStyle w:val="TableContents"/>
              <w:bidi w:val="0"/>
              <w:spacing w:before="0" w:after="40"/>
              <w:jc w:val="end"/>
              <w:rPr/>
            </w:pPr>
            <w:r>
              <w:rPr>
                <w:sz w:val="19"/>
              </w:rPr>
              <w:t>4, 27</w:t>
            </w:r>
          </w:p>
        </w:tc>
      </w:tr>
      <w:tr>
        <w:trPr>
          <w:cantSplit/>
        </w:trPr>
        <w:tc>
          <w:tcPr>
            <w:tcW w:w="4679" w:type="dxa"/>
            <w:tcBorders/>
            <w:vAlign w:val="center"/>
          </w:tcPr>
          <w:p>
            <w:pPr>
              <w:pStyle w:val="TableContents"/>
              <w:suppressLineNumbers/>
              <w:bidi w:val="0"/>
              <w:spacing w:before="0" w:after="40"/>
              <w:ind w:hanging="0" w:start="43" w:end="43"/>
              <w:rPr/>
            </w:pPr>
            <w:r>
              <w:rPr>
                <w:sz w:val="19"/>
              </w:rPr>
              <w:t>Liderazgo/política</w:t>
            </w:r>
          </w:p>
        </w:tc>
        <w:tc>
          <w:tcPr>
            <w:tcW w:w="4681" w:type="dxa"/>
            <w:tcBorders/>
            <w:vAlign w:val="center"/>
          </w:tcPr>
          <w:p>
            <w:pPr>
              <w:pStyle w:val="TableContents"/>
              <w:bidi w:val="0"/>
              <w:spacing w:before="0" w:after="40"/>
              <w:jc w:val="end"/>
              <w:rPr/>
            </w:pPr>
            <w:r>
              <w:rPr>
                <w:sz w:val="19"/>
              </w:rPr>
              <w:t>5, 21</w:t>
            </w:r>
          </w:p>
        </w:tc>
      </w:tr>
      <w:tr>
        <w:trPr>
          <w:cantSplit/>
        </w:trPr>
        <w:tc>
          <w:tcPr>
            <w:tcW w:w="4679" w:type="dxa"/>
            <w:tcBorders/>
            <w:vAlign w:val="center"/>
          </w:tcPr>
          <w:p>
            <w:pPr>
              <w:pStyle w:val="TableContents"/>
              <w:suppressLineNumbers/>
              <w:bidi w:val="0"/>
              <w:spacing w:before="0" w:after="40"/>
              <w:ind w:hanging="0" w:start="43" w:end="43"/>
              <w:rPr/>
            </w:pPr>
            <w:r>
              <w:rPr>
                <w:sz w:val="19"/>
              </w:rPr>
              <w:t>Ciclo de vida</w:t>
            </w:r>
          </w:p>
        </w:tc>
        <w:tc>
          <w:tcPr>
            <w:tcW w:w="4681" w:type="dxa"/>
            <w:tcBorders/>
            <w:vAlign w:val="center"/>
          </w:tcPr>
          <w:p>
            <w:pPr>
              <w:pStyle w:val="TableContents"/>
              <w:bidi w:val="0"/>
              <w:spacing w:before="0" w:after="40"/>
              <w:jc w:val="end"/>
              <w:rPr/>
            </w:pPr>
            <w:r>
              <w:rPr>
                <w:sz w:val="19"/>
              </w:rPr>
              <w:t>14–15, 25</w:t>
            </w:r>
          </w:p>
        </w:tc>
      </w:tr>
      <w:tr>
        <w:trPr>
          <w:cantSplit/>
        </w:trPr>
        <w:tc>
          <w:tcPr>
            <w:tcW w:w="4679" w:type="dxa"/>
            <w:tcBorders/>
            <w:vAlign w:val="center"/>
          </w:tcPr>
          <w:p>
            <w:pPr>
              <w:pStyle w:val="TableContents"/>
              <w:suppressLineNumbers/>
              <w:bidi w:val="0"/>
              <w:spacing w:before="0" w:after="40"/>
              <w:ind w:hanging="0" w:start="43" w:end="43"/>
              <w:rPr/>
            </w:pPr>
            <w:r>
              <w:rPr>
                <w:sz w:val="19"/>
              </w:rPr>
              <w:t>Responsable/analista junior</w:t>
            </w:r>
          </w:p>
        </w:tc>
        <w:tc>
          <w:tcPr>
            <w:tcW w:w="4681" w:type="dxa"/>
            <w:tcBorders/>
            <w:vAlign w:val="center"/>
          </w:tcPr>
          <w:p>
            <w:pPr>
              <w:pStyle w:val="TableContents"/>
              <w:bidi w:val="0"/>
              <w:spacing w:before="0" w:after="40"/>
              <w:jc w:val="end"/>
              <w:rPr/>
            </w:pPr>
            <w:r>
              <w:rPr>
                <w:sz w:val="19"/>
              </w:rPr>
              <w:t>31</w:t>
            </w:r>
          </w:p>
        </w:tc>
      </w:tr>
      <w:tr>
        <w:trPr>
          <w:cantSplit/>
        </w:trPr>
        <w:tc>
          <w:tcPr>
            <w:tcW w:w="4679" w:type="dxa"/>
            <w:tcBorders/>
            <w:vAlign w:val="center"/>
          </w:tcPr>
          <w:p>
            <w:pPr>
              <w:pStyle w:val="TableContents"/>
              <w:suppressLineNumbers/>
              <w:bidi w:val="0"/>
              <w:spacing w:before="0" w:after="40"/>
              <w:ind w:hanging="0" w:start="43" w:end="43"/>
              <w:rPr/>
            </w:pPr>
            <w:r>
              <w:rPr>
                <w:sz w:val="19"/>
              </w:rPr>
              <w:t>Medición/revisión</w:t>
            </w:r>
          </w:p>
        </w:tc>
        <w:tc>
          <w:tcPr>
            <w:tcW w:w="4681" w:type="dxa"/>
            <w:tcBorders/>
            <w:vAlign w:val="center"/>
          </w:tcPr>
          <w:p>
            <w:pPr>
              <w:pStyle w:val="TableContents"/>
              <w:bidi w:val="0"/>
              <w:spacing w:before="0" w:after="40"/>
              <w:jc w:val="end"/>
              <w:rPr/>
            </w:pPr>
            <w:r>
              <w:rPr>
                <w:sz w:val="19"/>
              </w:rPr>
              <w:t>16–18</w:t>
            </w:r>
          </w:p>
        </w:tc>
      </w:tr>
      <w:tr>
        <w:trPr>
          <w:cantSplit/>
        </w:trPr>
        <w:tc>
          <w:tcPr>
            <w:tcW w:w="4679" w:type="dxa"/>
            <w:tcBorders/>
            <w:vAlign w:val="center"/>
          </w:tcPr>
          <w:p>
            <w:pPr>
              <w:pStyle w:val="TableContents"/>
              <w:suppressLineNumbers/>
              <w:bidi w:val="0"/>
              <w:spacing w:before="0" w:after="40"/>
              <w:ind w:hanging="0" w:start="43" w:end="43"/>
              <w:rPr/>
            </w:pPr>
            <w:r>
              <w:rPr>
                <w:sz w:val="19"/>
              </w:rPr>
              <w:t>Objetivos/cambio</w:t>
            </w:r>
          </w:p>
        </w:tc>
        <w:tc>
          <w:tcPr>
            <w:tcW w:w="4681" w:type="dxa"/>
            <w:tcBorders/>
            <w:vAlign w:val="center"/>
          </w:tcPr>
          <w:p>
            <w:pPr>
              <w:pStyle w:val="TableContents"/>
              <w:bidi w:val="0"/>
              <w:spacing w:before="0" w:after="40"/>
              <w:jc w:val="end"/>
              <w:rPr/>
            </w:pPr>
            <w:r>
              <w:rPr>
                <w:sz w:val="19"/>
              </w:rPr>
              <w:t>10</w:t>
            </w:r>
          </w:p>
        </w:tc>
      </w:tr>
      <w:tr>
        <w:trPr>
          <w:cantSplit/>
        </w:trPr>
        <w:tc>
          <w:tcPr>
            <w:tcW w:w="4679" w:type="dxa"/>
            <w:tcBorders/>
            <w:vAlign w:val="center"/>
          </w:tcPr>
          <w:p>
            <w:pPr>
              <w:pStyle w:val="TableContents"/>
              <w:suppressLineNumbers/>
              <w:bidi w:val="0"/>
              <w:spacing w:before="0" w:after="40"/>
              <w:ind w:hanging="0" w:start="43" w:end="43"/>
              <w:rPr/>
            </w:pPr>
            <w:r>
              <w:rPr>
                <w:sz w:val="19"/>
              </w:rPr>
              <w:t>Recursos/competencia</w:t>
            </w:r>
          </w:p>
        </w:tc>
        <w:tc>
          <w:tcPr>
            <w:tcW w:w="4681" w:type="dxa"/>
            <w:tcBorders/>
            <w:vAlign w:val="center"/>
          </w:tcPr>
          <w:p>
            <w:pPr>
              <w:pStyle w:val="TableContents"/>
              <w:bidi w:val="0"/>
              <w:spacing w:before="0" w:after="40"/>
              <w:jc w:val="end"/>
              <w:rPr/>
            </w:pPr>
            <w:r>
              <w:rPr>
                <w:sz w:val="19"/>
              </w:rPr>
              <w:t>11–12, 23</w:t>
            </w:r>
          </w:p>
        </w:tc>
      </w:tr>
      <w:tr>
        <w:trPr>
          <w:cantSplit/>
        </w:trPr>
        <w:tc>
          <w:tcPr>
            <w:tcW w:w="4679" w:type="dxa"/>
            <w:tcBorders/>
            <w:vAlign w:val="center"/>
          </w:tcPr>
          <w:p>
            <w:pPr>
              <w:pStyle w:val="TableContents"/>
              <w:suppressLineNumbers/>
              <w:bidi w:val="0"/>
              <w:spacing w:before="0" w:after="40"/>
              <w:ind w:hanging="0" w:start="43" w:end="43"/>
              <w:rPr/>
            </w:pPr>
            <w:r>
              <w:rPr>
                <w:sz w:val="19"/>
              </w:rPr>
              <w:t>Riesgo/tratamiento/Declaración de Aplicabilidad</w:t>
            </w:r>
          </w:p>
        </w:tc>
        <w:tc>
          <w:tcPr>
            <w:tcW w:w="4681" w:type="dxa"/>
            <w:tcBorders/>
            <w:vAlign w:val="center"/>
          </w:tcPr>
          <w:p>
            <w:pPr>
              <w:pStyle w:val="TableContents"/>
              <w:bidi w:val="0"/>
              <w:spacing w:before="0" w:after="40"/>
              <w:jc w:val="end"/>
              <w:rPr/>
            </w:pPr>
            <w:r>
              <w:rPr>
                <w:sz w:val="19"/>
              </w:rPr>
              <w:t>6–8</w:t>
            </w:r>
          </w:p>
        </w:tc>
      </w:tr>
      <w:tr>
        <w:trPr>
          <w:cantSplit/>
        </w:trPr>
        <w:tc>
          <w:tcPr>
            <w:tcW w:w="4679" w:type="dxa"/>
            <w:tcBorders/>
            <w:vAlign w:val="center"/>
          </w:tcPr>
          <w:p>
            <w:pPr>
              <w:pStyle w:val="TableContents"/>
              <w:suppressLineNumbers/>
              <w:bidi w:val="0"/>
              <w:spacing w:before="0" w:after="40"/>
              <w:ind w:hanging="0" w:start="43" w:end="43"/>
              <w:rPr/>
            </w:pPr>
            <w:r>
              <w:rPr>
                <w:sz w:val="19"/>
              </w:rPr>
              <w:t>Proveedores/uso</w:t>
            </w:r>
          </w:p>
        </w:tc>
        <w:tc>
          <w:tcPr>
            <w:tcW w:w="4681" w:type="dxa"/>
            <w:tcBorders/>
            <w:vAlign w:val="center"/>
          </w:tcPr>
          <w:p>
            <w:pPr>
              <w:pStyle w:val="TableContents"/>
              <w:bidi w:val="0"/>
              <w:spacing w:before="0" w:after="40"/>
              <w:jc w:val="end"/>
              <w:rPr/>
            </w:pPr>
            <w:r>
              <w:rPr>
                <w:sz w:val="19"/>
              </w:rPr>
              <w:t>28</w:t>
            </w:r>
          </w:p>
        </w:tc>
      </w:tr>
      <w:tr>
        <w:trPr>
          <w:cantSplit/>
        </w:trPr>
        <w:tc>
          <w:tcPr>
            <w:tcW w:w="4679" w:type="dxa"/>
            <w:tcBorders/>
            <w:vAlign w:val="center"/>
          </w:tcPr>
          <w:p>
            <w:pPr>
              <w:pStyle w:val="TableContents"/>
              <w:suppressLineNumbers/>
              <w:bidi w:val="0"/>
              <w:spacing w:before="0" w:after="40"/>
              <w:ind w:hanging="0" w:start="43" w:end="43"/>
              <w:rPr/>
            </w:pPr>
            <w:r>
              <w:rPr>
                <w:sz w:val="19"/>
              </w:rPr>
              <w:t>Herramientas</w:t>
            </w:r>
          </w:p>
        </w:tc>
        <w:tc>
          <w:tcPr>
            <w:tcW w:w="4681" w:type="dxa"/>
            <w:tcBorders/>
            <w:vAlign w:val="center"/>
          </w:tcPr>
          <w:p>
            <w:pPr>
              <w:pStyle w:val="TableContents"/>
              <w:bidi w:val="0"/>
              <w:spacing w:before="0" w:after="40"/>
              <w:jc w:val="end"/>
              <w:rPr/>
            </w:pPr>
            <w:r>
              <w:rPr>
                <w:sz w:val="19"/>
              </w:rPr>
              <w:t>30</w:t>
            </w:r>
          </w:p>
        </w:tc>
      </w:tr>
    </w:tbl>
    <w:p>
      <w:pPr>
        <w:pStyle w:val="Heading2"/>
        <w:tabs>
          <w:tab w:val="clear" w:pos="709"/>
          <w:tab w:val="left" w:pos="0" w:leader="none"/>
        </w:tabs>
        <w:bidi w:val="0"/>
        <w:ind w:hanging="0" w:start="0"/>
        <w:jc w:val="left"/>
        <w:rPr/>
        <w:keepNext/>
      </w:pPr>
      <w:bookmarkStart w:id="125" w:name="referencias-oficiales"/>
      <w:r>
        <w:rPr/>
        <w:t>32.9 Referencias oficiales</w:t>
      </w:r>
      <w:bookmarkEnd w:id="125"/>
    </w:p>
    <w:p>
      <w:pPr>
        <w:pStyle w:val="BodyText"/>
        <w:numPr>
          <w:ilvl w:val="0"/>
          <w:numId w:val="49"/>
        </w:numPr>
        <w:bidi w:val="0"/>
        <w:spacing w:before="0" w:after="0"/>
        <w:rPr/>
      </w:pPr>
      <w:hyperlink r:id="rId40">
        <w:r>
          <w:rPr>
            <w:rStyle w:val="Hyperlink"/>
          </w:rPr>
          <w:t>Página oficial ISO/IEC 42001:2023</w:t>
        </w:r>
      </w:hyperlink>
    </w:p>
    <w:p>
      <w:pPr>
        <w:pStyle w:val="BodyText"/>
        <w:numPr>
          <w:ilvl w:val="0"/>
          <w:numId w:val="49"/>
        </w:numPr>
        <w:bidi w:val="0"/>
        <w:spacing w:before="0" w:after="0"/>
        <w:rPr/>
      </w:pPr>
      <w:hyperlink r:id="rId41">
        <w:r>
          <w:rPr>
            <w:rStyle w:val="Hyperlink"/>
          </w:rPr>
          <w:t>ISO 42001 explicada</w:t>
        </w:r>
      </w:hyperlink>
    </w:p>
    <w:p>
      <w:pPr>
        <w:pStyle w:val="BodyText"/>
        <w:numPr>
          <w:ilvl w:val="0"/>
          <w:numId w:val="49"/>
        </w:numPr>
        <w:bidi w:val="0"/>
        <w:spacing w:before="0" w:after="0"/>
        <w:rPr/>
      </w:pPr>
      <w:r>
        <w:fldChar w:fldCharType="begin"/>
      </w:r>
      <w:r>
        <w:rPr>
          <w:rStyle w:val="Hyperlink"/>
        </w:rPr>
        <w:instrText xml:space="preserve"> HYPERLINK "https://www.iso.org/obp/ui/en/" \l "iso:std:iso-iec:42001:ed-1:v1:en"</w:instrText>
      </w:r>
      <w:r>
        <w:rPr>
          <w:rStyle w:val="Hyperlink"/>
        </w:rPr>
        <w:fldChar w:fldCharType="separate"/>
      </w:r>
      <w:r>
        <w:rPr>
          <w:rStyle w:val="Hyperlink"/>
        </w:rPr>
        <w:t>ISO/IEC 42001 Online Browsing Platform</w:t>
      </w:r>
      <w:r>
        <w:rPr>
          <w:rStyle w:val="Hyperlink"/>
        </w:rPr>
        <w:fldChar w:fldCharType="end"/>
      </w:r>
    </w:p>
    <w:p>
      <w:pPr>
        <w:pStyle w:val="BodyText"/>
        <w:numPr>
          <w:ilvl w:val="0"/>
          <w:numId w:val="49"/>
        </w:numPr>
        <w:bidi w:val="0"/>
        <w:spacing w:before="0" w:after="0"/>
        <w:rPr/>
      </w:pPr>
      <w:hyperlink r:id="rId42">
        <w:r>
          <w:rPr>
            <w:rStyle w:val="Hyperlink"/>
          </w:rPr>
          <w:t>ISO/IEC 42005:2025 — evaluación de impacto de sistemas de IA</w:t>
        </w:r>
      </w:hyperlink>
    </w:p>
    <w:p>
      <w:pPr>
        <w:pStyle w:val="BodyText"/>
        <w:numPr>
          <w:ilvl w:val="0"/>
          <w:numId w:val="49"/>
        </w:numPr>
        <w:bidi w:val="0"/>
        <w:spacing w:before="0" w:after="0"/>
        <w:rPr/>
      </w:pPr>
      <w:hyperlink r:id="rId43">
        <w:r>
          <w:rPr>
            <w:rStyle w:val="Hyperlink"/>
          </w:rPr>
          <w:t>ISO/IEC 42006:2025 — organismos de certificación</w:t>
        </w:r>
      </w:hyperlink>
    </w:p>
    <w:p>
      <w:pPr>
        <w:pStyle w:val="BodyText"/>
        <w:numPr>
          <w:ilvl w:val="0"/>
          <w:numId w:val="49"/>
        </w:numPr>
        <w:bidi w:val="0"/>
        <w:spacing w:before="0" w:after="0"/>
        <w:rPr/>
      </w:pPr>
      <w:hyperlink r:id="rId44">
        <w:r>
          <w:rPr>
            <w:rStyle w:val="Hyperlink"/>
          </w:rPr>
          <w:t>ISO 19011:2026 — directrices de auditoría</w:t>
        </w:r>
      </w:hyperlink>
    </w:p>
    <w:p>
      <w:pPr>
        <w:pStyle w:val="BodyText"/>
        <w:numPr>
          <w:ilvl w:val="0"/>
          <w:numId w:val="49"/>
        </w:numPr>
        <w:bidi w:val="0"/>
        <w:spacing w:before="0" w:after="0"/>
        <w:rPr/>
      </w:pPr>
      <w:hyperlink r:id="rId45">
        <w:r>
          <w:rPr>
            <w:rStyle w:val="Hyperlink"/>
          </w:rPr>
          <w:t>ISO/IEC 23894:2023 — gestión de riesgos de IA</w:t>
        </w:r>
      </w:hyperlink>
    </w:p>
    <w:p>
      <w:pPr>
        <w:pStyle w:val="BodyText"/>
        <w:numPr>
          <w:ilvl w:val="0"/>
          <w:numId w:val="49"/>
        </w:numPr>
        <w:bidi w:val="0"/>
        <w:spacing w:before="0" w:after="0"/>
        <w:rPr/>
      </w:pPr>
      <w:hyperlink r:id="rId46">
        <w:r>
          <w:rPr>
            <w:rStyle w:val="Hyperlink"/>
          </w:rPr>
          <w:t>ISO/IEC 22989:2022 — conceptos y terminología de IA</w:t>
        </w:r>
      </w:hyperlink>
    </w:p>
    <w:p>
      <w:pPr>
        <w:pStyle w:val="BodyText"/>
        <w:numPr>
          <w:ilvl w:val="0"/>
          <w:numId w:val="49"/>
        </w:numPr>
        <w:bidi w:val="0"/>
        <w:spacing w:before="0" w:after="0"/>
        <w:rPr/>
      </w:pPr>
      <w:hyperlink r:id="rId47">
        <w:r>
          <w:rPr>
            <w:rStyle w:val="Hyperlink"/>
          </w:rPr>
          <w:t>ISO/IEC 23053:2022 — marco para sistemas ML</w:t>
        </w:r>
      </w:hyperlink>
    </w:p>
    <w:p>
      <w:pPr>
        <w:pStyle w:val="BodyText"/>
        <w:numPr>
          <w:ilvl w:val="0"/>
          <w:numId w:val="49"/>
        </w:numPr>
        <w:bidi w:val="0"/>
        <w:spacing w:before="0" w:after="0"/>
        <w:rPr/>
      </w:pPr>
      <w:hyperlink r:id="rId48">
        <w:r>
          <w:rPr>
            <w:rStyle w:val="Hyperlink"/>
          </w:rPr>
          <w:t>ISO/IEC 38507:2022 — implicaciones de gobierno de IA</w:t>
        </w:r>
      </w:hyperlink>
    </w:p>
    <w:p>
      <w:pPr>
        <w:pStyle w:val="BodyText"/>
        <w:numPr>
          <w:ilvl w:val="0"/>
          <w:numId w:val="49"/>
        </w:numPr>
        <w:bidi w:val="0"/>
        <w:spacing w:before="0" w:after="0"/>
        <w:rPr/>
      </w:pPr>
      <w:hyperlink r:id="rId49">
        <w:r>
          <w:rPr>
            <w:rStyle w:val="Hyperlink"/>
          </w:rPr>
          <w:t>ISO/IEC 27001:2022 — requisitos de sistemas de gestión de seguridad de la información</w:t>
        </w:r>
      </w:hyperlink>
    </w:p>
    <w:p>
      <w:pPr>
        <w:pStyle w:val="BodyText"/>
        <w:numPr>
          <w:ilvl w:val="0"/>
          <w:numId w:val="49"/>
        </w:numPr>
        <w:bidi w:val="0"/>
        <w:spacing w:before="0" w:after="0"/>
        <w:rPr/>
      </w:pPr>
      <w:hyperlink r:id="rId50">
        <w:r>
          <w:rPr>
            <w:rStyle w:val="Hyperlink"/>
          </w:rPr>
          <w:t>ISO/IEC 27001:2022/Amd 1:2024 — cambios sobre acción climática</w:t>
        </w:r>
      </w:hyperlink>
    </w:p>
    <w:p>
      <w:pPr>
        <w:pStyle w:val="BodyText"/>
        <w:numPr>
          <w:ilvl w:val="0"/>
          <w:numId w:val="49"/>
        </w:numPr>
        <w:bidi w:val="0"/>
        <w:spacing w:before="0" w:after="0"/>
        <w:rPr/>
      </w:pPr>
      <w:hyperlink r:id="rId51">
        <w:r>
          <w:rPr>
            <w:rStyle w:val="Hyperlink"/>
          </w:rPr>
          <w:t>ISO/IEC 17021-1:2015 — organismos de auditoría y certificación de sistemas de gestión</w:t>
        </w:r>
      </w:hyperlink>
    </w:p>
    <w:p>
      <w:pPr>
        <w:pStyle w:val="BodyText"/>
        <w:numPr>
          <w:ilvl w:val="0"/>
          <w:numId w:val="49"/>
        </w:numPr>
        <w:bidi w:val="0"/>
        <w:spacing w:before="0" w:after="0"/>
        <w:rPr/>
      </w:pPr>
      <w:hyperlink r:id="rId52">
        <w:r>
          <w:rPr>
            <w:rStyle w:val="Hyperlink"/>
          </w:rPr>
          <w:t>Catálogo ISO/IEC JTC 1/SC 42</w:t>
        </w:r>
      </w:hyperlink>
    </w:p>
    <w:p>
      <w:pPr>
        <w:pStyle w:val="BodyText"/>
        <w:numPr>
          <w:ilvl w:val="0"/>
          <w:numId w:val="49"/>
        </w:numPr>
        <w:bidi w:val="0"/>
        <w:spacing w:before="0" w:after="0"/>
        <w:rPr/>
      </w:pPr>
      <w:hyperlink r:id="rId53">
        <w:r>
          <w:rPr>
            <w:rStyle w:val="Hyperlink"/>
          </w:rPr>
          <w:t>Normas ISO de sistemas de gestión</w:t>
        </w:r>
      </w:hyperlink>
    </w:p>
    <w:p>
      <w:pPr>
        <w:pStyle w:val="BodyText"/>
        <w:numPr>
          <w:ilvl w:val="0"/>
          <w:numId w:val="49"/>
        </w:numPr>
        <w:bidi w:val="0"/>
        <w:spacing w:before="0" w:after="0"/>
        <w:rPr/>
      </w:pPr>
      <w:hyperlink r:id="rId54">
        <w:r>
          <w:rPr>
            <w:rStyle w:val="Hyperlink"/>
          </w:rPr>
          <w:t>IAF CertSearch</w:t>
        </w:r>
      </w:hyperlink>
    </w:p>
    <w:p>
      <w:pPr>
        <w:pStyle w:val="BodyText"/>
        <w:numPr>
          <w:ilvl w:val="0"/>
          <w:numId w:val="49"/>
        </w:numPr>
        <w:bidi w:val="0"/>
        <w:spacing w:before="0" w:after="0"/>
        <w:rPr/>
      </w:pPr>
      <w:hyperlink r:id="rId55">
        <w:r>
          <w:rPr>
            <w:rStyle w:val="Hyperlink"/>
          </w:rPr>
          <w:t>NIST AI Risk Management Framework</w:t>
        </w:r>
      </w:hyperlink>
    </w:p>
    <w:p>
      <w:pPr>
        <w:pStyle w:val="BodyText"/>
        <w:numPr>
          <w:ilvl w:val="0"/>
          <w:numId w:val="49"/>
        </w:numPr>
        <w:bidi w:val="0"/>
        <w:spacing w:before="0" w:after="0"/>
        <w:rPr/>
      </w:pPr>
      <w:hyperlink r:id="rId56">
        <w:r>
          <w:rPr>
            <w:rStyle w:val="Hyperlink"/>
          </w:rPr>
          <w:t>Principios de IA de la OCDE</w:t>
        </w:r>
      </w:hyperlink>
    </w:p>
    <w:p>
      <w:pPr>
        <w:pStyle w:val="BodyText"/>
        <w:numPr>
          <w:ilvl w:val="0"/>
          <w:numId w:val="49"/>
        </w:numPr>
        <w:bidi w:val="0"/>
        <w:spacing w:before="0" w:after="0"/>
        <w:rPr/>
      </w:pPr>
      <w:hyperlink r:id="rId57">
        <w:r>
          <w:rPr>
            <w:rStyle w:val="Hyperlink"/>
          </w:rPr>
          <w:t>Página oficial de política de la Ley de IA de la UE</w:t>
        </w:r>
      </w:hyperlink>
    </w:p>
    <w:p>
      <w:pPr>
        <w:pStyle w:val="TableHeading"/>
        <w:suppressLineNumbers/>
        <w:bidi w:val="0"/>
        <w:ind w:hanging="0" w:start="43" w:end="43" w:left="120" w:right="120"/>
        <w:jc w:val="start"/>
        <w:rPr/>
        <w:shd w:val="clear" w:color="auto" w:fill="FFF4DA"/>
        <w:pBdr>
          <w:left w:val="single" w:sz="8" w:space="4" w:color="D5B46B"/>
          <w:right w:val="single" w:sz="8" w:space="4" w:color="D5B46B"/>
          <w:top w:val="single" w:sz="8" w:space="4" w:color="D5B46B"/>
          <w:bottom w:val="single" w:sz="8" w:space="4" w:color="D5B46B"/>
        </w:pBdr>
      </w:pPr>
      <w:r>
        <w:rPr>
          <w:b/>
          <w:bCs/>
        </w:rPr>
        <w:t>Recordatorio final:</w:t>
      </w:r>
      <w:r>
        <w:rPr/>
        <w:t xml:space="preserve"> Utilice una copia autorizada de la norma. Las normas ISO, los esquemas de certificación, la acreditación, las leyes, los sistemas de IA, los proveedores, los riesgos, las herramientas y la orientación oficial cambian. Verifique la fuente vigente, la edición exacta, el alcance/estado del certificado, la versión del sistema y los hechos de la organización antes de implementar, auditar, certificar o realizar afirmaciones públicas.</w:t>
      </w:r>
    </w:p>
    <w:p>
      <w:pPr>
        <w:pStyle w:val="Normal"/>
        <w:bidi w:val="0"/>
        <w:rPr/>
      </w:pPr>
      <w:r>
        <w:rPr/>
      </w:r>
    </w:p>
    <w:sectPr>
      <w:footerReference w:type="default" r:id="rId58"/>
      <w:headerReference w:type="default" r:id="rId63"/>
      <w:type w:val="nextPage"/>
      <w:pgSz w:w="12240" w:h="15840"/>
      <w:pgMar w:left="1440" w:right="1440" w:gutter="0" w:header="605" w:top="1181" w:footer="605" w:bottom="112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modern"/>
    <w:pitch w:val="fixed"/>
  </w:font>
  <w:font w:name="StarSymbol">
    <w:altName w:val="Arial Unicode MS"/>
    <w:charset w:val="01"/>
    <w:family w:val="auto"/>
    <w:pitch w:val="default"/>
  </w:font>
  <w:font w:name="Arial">
    <w:charset w:val="01"/>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center"/>
      <w:rPr/>
    </w:pPr>
    <w:r>
      <w:t xml:space="preserve">build/iso-iec-42001-manual-02-2026@647c88fa905a | 2026-08-24 | Page </w:t>
    </w:r>
    <w:r>
      <w:fldChar w:fldCharType="begin"/>
      <w:instrText xml:space="preserve"> PAGE </w:instrText>
      <w:fldChar w:fldCharType="separate"/>
      <w:fldChar w:fldCharType="end"/>
    </w:r>
    <w:r>
      <w:t xml:space="preserve"> of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Manual 02 | es-419 | First Edition / v1.0 | DRAFT — HUMAN SEMANTIC REVIEW REQUIRED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lvlText w:val="%1"/>
      <w:lvlJc w:val="start"/>
      <w:pPr>
        <w:tabs>
          <w:tab w:val="num" w:pos="0"/>
        </w:tabs>
        <w:ind w:start="0" w:hanging="0"/>
      </w:pPr>
    </w:lvl>
    <w:lvl w:ilvl="1">
      <w:start w:val="1"/>
      <w:numFmt w:val="none"/>
      <w:pStyle w:val="Heading2"/>
      <w:lvlText w:val="%2"/>
      <w:lvlJc w:val="start"/>
      <w:pPr>
        <w:tabs>
          <w:tab w:val="num" w:pos="0"/>
        </w:tabs>
        <w:ind w:start="0" w:hanging="0"/>
      </w:pPr>
    </w:lvl>
    <w:lvl w:ilvl="2">
      <w:start w:val="1"/>
      <w:numFmt w:val="none"/>
      <w:pStyle w:val="Heading3"/>
      <w:lvlText w:val="%3"/>
      <w:lvlJc w:val="start"/>
      <w:pPr>
        <w:tabs>
          <w:tab w:val="num" w:pos="0"/>
        </w:tabs>
        <w:ind w:start="0" w:hanging="0"/>
      </w:pPr>
    </w:lvl>
    <w:lvl w:ilvl="3">
      <w:start w:val="1"/>
      <w:numFmt w:val="none"/>
      <w:pStyle w:val="Heading4"/>
      <w:lvlText w:val="%4"/>
      <w:lvlJc w:val="start"/>
      <w:pPr>
        <w:tabs>
          <w:tab w:val="num" w:pos="0"/>
        </w:tabs>
        <w:ind w:start="0" w:hanging="0"/>
      </w:pPr>
    </w:lvl>
    <w:lvl w:ilvl="4">
      <w:start w:val="1"/>
      <w:numFmt w:val="none"/>
      <w:pStyle w:val="Heading5"/>
      <w:lvlText w:val="%5"/>
      <w:lvlJc w:val="start"/>
      <w:pPr>
        <w:tabs>
          <w:tab w:val="num" w:pos="0"/>
        </w:tabs>
        <w:ind w:start="0" w:hanging="0"/>
      </w:pPr>
    </w:lvl>
    <w:lvl w:ilvl="5">
      <w:start w:val="1"/>
      <w:numFmt w:val="none"/>
      <w:pStyle w:val="Heading6"/>
      <w:lvlText w:val="%6"/>
      <w:lvlJc w:val="start"/>
      <w:pPr>
        <w:tabs>
          <w:tab w:val="num" w:pos="0"/>
        </w:tabs>
        <w:ind w:start="0" w:hanging="0"/>
      </w:pPr>
    </w:lvl>
    <w:lvl w:ilvl="6">
      <w:start w:val="1"/>
      <w:numFmt w:val="none"/>
      <w:lvlText w:val="%7"/>
      <w:lvlJc w:val="start"/>
      <w:pPr>
        <w:tabs>
          <w:tab w:val="num" w:pos="0"/>
        </w:tabs>
        <w:ind w:start="0" w:hanging="0"/>
      </w:pPr>
    </w:lvl>
    <w:lvl w:ilvl="7">
      <w:start w:val="1"/>
      <w:numFmt w:val="none"/>
      <w:lvlText w:val="%8"/>
      <w:lvlJc w:val="start"/>
      <w:pPr>
        <w:tabs>
          <w:tab w:val="num" w:pos="0"/>
        </w:tabs>
        <w:ind w:start="0" w:hanging="0"/>
      </w:pPr>
    </w:lvl>
    <w:lvl w:ilvl="8">
      <w:start w:val="1"/>
      <w:numFmt w:val="none"/>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1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2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3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0">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1">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2">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3">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4">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5">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6">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7">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8">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abstractNum w:abstractNumId="49">
    <w:lvl w:ilvl="0">
      <w:start w:val="1"/>
      <w:numFmt w:val="bullet"/>
      <w:lvlText w:val=""/>
      <w:lvlJc w:val="start"/>
      <w:pPr>
        <w:tabs>
          <w:tab w:val="num" w:pos="720"/>
        </w:tabs>
        <w:ind w:start="720" w:hanging="360"/>
      </w:pPr>
      <w:rPr>
        <w:rFonts w:ascii="Symbol" w:hAnsi="Symbol" w:cs="Symbol" w:hint="default"/>
        <w:sz w:val="18"/>
        <w:szCs w:val="18"/>
      </w:rPr>
    </w:lvl>
    <w:lvl w:ilvl="1">
      <w:start w:val="1"/>
      <w:numFmt w:val="bullet"/>
      <w:lvlText w:val="◦"/>
      <w:lvlJc w:val="start"/>
      <w:pPr>
        <w:tabs>
          <w:tab w:val="num" w:pos="1080"/>
        </w:tabs>
        <w:ind w:start="1080" w:hanging="360"/>
      </w:pPr>
      <w:rPr>
        <w:rFonts w:ascii="OpenSymbol" w:hAnsi="OpenSymbol" w:cs="OpenSymbol" w:hint="default"/>
        <w:sz w:val="18"/>
        <w:szCs w:val="18"/>
      </w:rPr>
    </w:lvl>
    <w:lvl w:ilvl="2">
      <w:start w:val="1"/>
      <w:numFmt w:val="bullet"/>
      <w:lvlText w:val="▪"/>
      <w:lvlJc w:val="start"/>
      <w:pPr>
        <w:tabs>
          <w:tab w:val="num" w:pos="1440"/>
        </w:tabs>
        <w:ind w:start="1440" w:hanging="360"/>
      </w:pPr>
      <w:rPr>
        <w:rFonts w:ascii="OpenSymbol" w:hAnsi="OpenSymbol" w:cs="OpenSymbol" w:hint="default"/>
        <w:sz w:val="18"/>
        <w:szCs w:val="18"/>
      </w:rPr>
    </w:lvl>
    <w:lvl w:ilvl="3">
      <w:start w:val="1"/>
      <w:numFmt w:val="bullet"/>
      <w:lvlText w:val=""/>
      <w:lvlJc w:val="start"/>
      <w:pPr>
        <w:tabs>
          <w:tab w:val="num" w:pos="1800"/>
        </w:tabs>
        <w:ind w:start="1800" w:hanging="360"/>
      </w:pPr>
      <w:rPr>
        <w:rFonts w:ascii="Symbol" w:hAnsi="Symbol" w:cs="Symbol" w:hint="default"/>
        <w:sz w:val="18"/>
        <w:szCs w:val="18"/>
      </w:rPr>
    </w:lvl>
    <w:lvl w:ilvl="4">
      <w:start w:val="1"/>
      <w:numFmt w:val="bullet"/>
      <w:lvlText w:val="◦"/>
      <w:lvlJc w:val="start"/>
      <w:pPr>
        <w:tabs>
          <w:tab w:val="num" w:pos="2160"/>
        </w:tabs>
        <w:ind w:start="2160" w:hanging="360"/>
      </w:pPr>
      <w:rPr>
        <w:rFonts w:ascii="OpenSymbol" w:hAnsi="OpenSymbol" w:cs="OpenSymbol" w:hint="default"/>
        <w:sz w:val="18"/>
        <w:szCs w:val="18"/>
      </w:rPr>
    </w:lvl>
    <w:lvl w:ilvl="5">
      <w:start w:val="1"/>
      <w:numFmt w:val="bullet"/>
      <w:lvlText w:val="▪"/>
      <w:lvlJc w:val="start"/>
      <w:pPr>
        <w:tabs>
          <w:tab w:val="num" w:pos="2520"/>
        </w:tabs>
        <w:ind w:start="2520" w:hanging="360"/>
      </w:pPr>
      <w:rPr>
        <w:rFonts w:ascii="OpenSymbol" w:hAnsi="OpenSymbol" w:cs="OpenSymbol" w:hint="default"/>
        <w:sz w:val="18"/>
        <w:szCs w:val="18"/>
      </w:rPr>
    </w:lvl>
    <w:lvl w:ilvl="6">
      <w:start w:val="1"/>
      <w:numFmt w:val="bullet"/>
      <w:lvlText w:val=""/>
      <w:lvlJc w:val="start"/>
      <w:pPr>
        <w:tabs>
          <w:tab w:val="num" w:pos="2880"/>
        </w:tabs>
        <w:ind w:start="2880" w:hanging="360"/>
      </w:pPr>
      <w:rPr>
        <w:rFonts w:ascii="Symbol" w:hAnsi="Symbol" w:cs="Symbol" w:hint="default"/>
        <w:sz w:val="18"/>
        <w:szCs w:val="18"/>
      </w:rPr>
    </w:lvl>
    <w:lvl w:ilvl="7">
      <w:start w:val="1"/>
      <w:numFmt w:val="bullet"/>
      <w:lvlText w:val="◦"/>
      <w:lvlJc w:val="start"/>
      <w:pPr>
        <w:tabs>
          <w:tab w:val="num" w:pos="3240"/>
        </w:tabs>
        <w:ind w:start="3240" w:hanging="360"/>
      </w:pPr>
      <w:rPr>
        <w:rFonts w:ascii="OpenSymbol" w:hAnsi="OpenSymbol" w:cs="OpenSymbol" w:hint="default"/>
        <w:sz w:val="18"/>
        <w:szCs w:val="18"/>
      </w:rPr>
    </w:lvl>
    <w:lvl w:ilvl="8">
      <w:start w:val="1"/>
      <w:numFmt w:val="bullet"/>
      <w:lvlText w:val="▪"/>
      <w:lvlJc w:val="start"/>
      <w:pPr>
        <w:tabs>
          <w:tab w:val="num" w:pos="3600"/>
        </w:tabs>
        <w:ind w:start="3600" w:hanging="360"/>
      </w:pPr>
      <w:rPr>
        <w:rFonts w:ascii="OpenSymbol" w:hAnsi="OpenSymbol" w:cs="OpenSymbol" w:hint="default"/>
        <w:sz w:val="18"/>
        <w:szCs w:val="18"/>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Lucida Sans Unicode" w:cs="Tahoma"/>
        <w:kern w:val="2"/>
        <w:sz w:val="24"/>
        <w:szCs w:val="24"/>
        <w:lang w:val="es-419" w:eastAsia="zxx" w:bidi="zxx"/>
      </w:rPr>
    </w:rPrDefault>
    <w:pPrDefault>
      <w:pPr>
        <w:suppressAutoHyphens w:val="true"/>
      </w:pPr>
    </w:pPrDefault>
  </w:docDefaults>
  <w:style w:type="paragraph" w:styleId="Normal">
    <w:name w:val="Normal"/>
    <w:qFormat/>
    <w:pPr>
      <w:widowControl w:val="false"/>
      <w:kinsoku w:val="true"/>
      <w:overflowPunct w:val="true"/>
      <w:autoSpaceDE w:val="true"/>
      <w:bidi w:val="0"/>
    </w:pPr>
    <w:rPr>
      <w:rFonts w:ascii="Times New Roman" w:hAnsi="Times New Roman" w:eastAsia="Lucida Sans Unicode" w:cs="Tahoma"/>
      <w:color w:val="auto"/>
      <w:kern w:val="2"/>
      <w:sz w:val="24"/>
      <w:szCs w:val="24"/>
      <w:lang w:val="es-419" w:eastAsia="es-419" w:bidi="zxx"/>
    </w:rPr>
  </w:style>
  <w:style w:type="paragraph" w:styleId="Heading1">
    <w:name w:val="heading 1"/>
    <w:basedOn w:val="Heading"/>
    <w:next w:val="BodyText"/>
    <w:qFormat/>
    <w:pPr>
      <w:numPr>
        <w:ilvl w:val="0"/>
        <w:numId w:val="1"/>
      </w:numPr>
      <w:outlineLvl w:val="0"/>
    </w:pPr>
    <w:rPr>
      <w:b/>
      <w:bCs/>
      <w:sz w:val="32"/>
      <w:szCs w:val="32"/>
      <w:lang w:val="es-419" w:eastAsia="es-419"/>
    </w:rPr>
  </w:style>
  <w:style w:type="paragraph" w:styleId="Heading2">
    <w:name w:val="heading 2"/>
    <w:basedOn w:val="Heading"/>
    <w:next w:val="BodyText"/>
    <w:qFormat/>
    <w:pPr>
      <w:numPr>
        <w:ilvl w:val="1"/>
        <w:numId w:val="1"/>
      </w:numPr>
      <w:outlineLvl w:val="1"/>
    </w:pPr>
    <w:rPr>
      <w:b/>
      <w:bCs/>
      <w:i/>
      <w:iCs/>
      <w:sz w:val="28"/>
      <w:szCs w:val="28"/>
      <w:lang w:val="es-419" w:eastAsia="es-419"/>
    </w:rPr>
  </w:style>
  <w:style w:type="paragraph" w:styleId="Heading3">
    <w:name w:val="heading 3"/>
    <w:basedOn w:val="Heading"/>
    <w:next w:val="BodyText"/>
    <w:qFormat/>
    <w:pPr>
      <w:numPr>
        <w:ilvl w:val="2"/>
        <w:numId w:val="1"/>
      </w:numPr>
      <w:outlineLvl w:val="2"/>
    </w:pPr>
    <w:rPr>
      <w:b/>
      <w:bCs/>
      <w:sz w:val="28"/>
      <w:szCs w:val="28"/>
      <w:lang w:val="es-419" w:eastAsia="es-419"/>
    </w:rPr>
  </w:style>
  <w:style w:type="paragraph" w:styleId="Heading4">
    <w:name w:val="heading 4"/>
    <w:basedOn w:val="Heading"/>
    <w:next w:val="BodyText"/>
    <w:qFormat/>
    <w:pPr>
      <w:numPr>
        <w:ilvl w:val="3"/>
        <w:numId w:val="1"/>
      </w:numPr>
      <w:outlineLvl w:val="3"/>
    </w:pPr>
    <w:rPr>
      <w:b/>
      <w:bCs/>
      <w:i/>
      <w:iCs/>
      <w:sz w:val="24"/>
      <w:szCs w:val="24"/>
      <w:lang w:val="es-419" w:eastAsia="es-419"/>
    </w:rPr>
  </w:style>
  <w:style w:type="paragraph" w:styleId="Heading5">
    <w:name w:val="heading 5"/>
    <w:basedOn w:val="Heading"/>
    <w:next w:val="BodyText"/>
    <w:qFormat/>
    <w:pPr>
      <w:numPr>
        <w:ilvl w:val="4"/>
        <w:numId w:val="1"/>
      </w:numPr>
      <w:outlineLvl w:val="4"/>
    </w:pPr>
    <w:rPr>
      <w:b/>
      <w:bCs/>
      <w:sz w:val="24"/>
      <w:szCs w:val="24"/>
      <w:lang w:val="es-419" w:eastAsia="es-419"/>
    </w:rPr>
  </w:style>
  <w:style w:type="paragraph" w:styleId="Heading6">
    <w:name w:val="heading 6"/>
    <w:basedOn w:val="Heading"/>
    <w:next w:val="BodyText"/>
    <w:qFormat/>
    <w:pPr>
      <w:numPr>
        <w:ilvl w:val="5"/>
        <w:numId w:val="1"/>
      </w:numPr>
      <w:outlineLvl w:val="5"/>
    </w:pPr>
    <w:rPr>
      <w:b/>
      <w:bCs/>
      <w:sz w:val="21"/>
      <w:szCs w:val="21"/>
      <w:lang w:val="es-419" w:eastAsia="es-419"/>
    </w:rPr>
  </w:style>
  <w:style w:type="character" w:styleId="SourceText">
    <w:name w:val="Source_Text"/>
    <w:qFormat/>
    <w:rPr>
      <w:rFonts w:ascii="Courier New" w:hAnsi="Courier New" w:eastAsia="Courier New" w:cs="Courier New"/>
      <w:sz w:val="20"/>
      <w:szCs w:val="20"/>
      <w:lang w:val="es-419" w:eastAsia="es-419"/>
    </w:rPr>
  </w:style>
  <w:style w:type="character" w:styleId="NumberingSymbols">
    <w:name w:val="Numbering Symbols"/>
    <w:qFormat/>
    <w:rPr>
      <w:lang w:val="es-419" w:eastAsia="es-419"/>
    </w:rPr>
  </w:style>
  <w:style w:type="character" w:styleId="Bullets">
    <w:name w:val="Bullets"/>
    <w:qFormat/>
    <w:rPr>
      <w:rFonts w:ascii="StarSymbol" w:hAnsi="StarSymbol" w:eastAsia="StarSymbol" w:cs="StarSymbol"/>
      <w:sz w:val="18"/>
      <w:szCs w:val="18"/>
      <w:lang w:val="es-419" w:eastAsia="es-419"/>
    </w:rPr>
  </w:style>
  <w:style w:type="character" w:styleId="Emphasis">
    <w:name w:val="Emphasis"/>
    <w:qFormat/>
    <w:rPr>
      <w:i/>
      <w:iCs/>
      <w:lang w:val="es-419" w:eastAsia="es-419"/>
    </w:rPr>
  </w:style>
  <w:style w:type="character" w:styleId="Strong">
    <w:name w:val="Strong"/>
    <w:qFormat/>
    <w:rPr>
      <w:b/>
      <w:bCs/>
      <w:lang w:val="es-419" w:eastAsia="es-419"/>
    </w:rPr>
  </w:style>
  <w:style w:type="character" w:styleId="Strikeout">
    <w:name w:val="Strikeout"/>
    <w:qFormat/>
    <w:rPr>
      <w:strike/>
      <w:lang w:val="es-419" w:eastAsia="es-419"/>
    </w:rPr>
  </w:style>
  <w:style w:type="character" w:styleId="Superscript">
    <w:name w:val="Superscript"/>
    <w:qFormat/>
    <w:rPr>
      <w:vertAlign w:val="superscript"/>
      <w:lang w:val="es-419" w:eastAsia="es-419"/>
    </w:rPr>
  </w:style>
  <w:style w:type="character" w:styleId="Subscript">
    <w:name w:val="Subscript"/>
    <w:qFormat/>
    <w:rPr>
      <w:vertAlign w:val="subscript"/>
      <w:lang w:val="es-419" w:eastAsia="es-419"/>
    </w:rPr>
  </w:style>
  <w:style w:type="character" w:styleId="Quotation">
    <w:name w:val="Quotation"/>
    <w:qFormat/>
    <w:rPr>
      <w:i/>
      <w:iCs/>
      <w:lang w:val="es-419" w:eastAsia="es-419"/>
    </w:rPr>
  </w:style>
  <w:style w:type="character" w:styleId="Teletype">
    <w:name w:val="Teletype"/>
    <w:qFormat/>
    <w:rPr>
      <w:rFonts w:ascii="Courier New" w:hAnsi="Courier New" w:eastAsia="Courier New" w:cs="Courier New"/>
      <w:lang w:val="es-419" w:eastAsia="es-419"/>
    </w:rPr>
  </w:style>
  <w:style w:type="character" w:styleId="Hyperlink">
    <w:name w:val="Hyperlink"/>
    <w:rPr>
      <w:color w:val="000080"/>
      <w:u w:val="single"/>
      <w:lang w:val="es-419" w:eastAsia="es-419"/>
    </w:rPr>
  </w:style>
  <w:style w:type="character" w:styleId="FootnoteCharacters">
    <w:name w:val="Footnote Characters"/>
    <w:qFormat/>
    <w:rPr>
      <w:lang w:val="es-419" w:eastAsia="es-419"/>
    </w:rPr>
  </w:style>
  <w:style w:type="character" w:styleId="FootnoteReference">
    <w:name w:val="footnote reference"/>
    <w:rPr>
      <w:vertAlign w:val="superscript"/>
      <w:lang w:val="es-419" w:eastAsia="es-419"/>
    </w:rPr>
  </w:style>
  <w:style w:type="character" w:styleId="Definition">
    <w:name w:val="Definition"/>
    <w:qFormat/>
    <w:rPr>
      <w:lang w:val="es-419" w:eastAsia="es-419"/>
    </w:rPr>
  </w:style>
  <w:style w:type="paragraph" w:styleId="Author">
    <w:name w:val="Author"/>
    <w:basedOn w:val="Normal"/>
    <w:qFormat/>
    <w:pPr>
      <w:jc w:val="center"/>
    </w:pPr>
    <w:rPr>
      <w:lang w:val="es-419" w:eastAsia="es-419"/>
    </w:rPr>
  </w:style>
  <w:style w:type="paragraph" w:styleId="Date">
    <w:name w:val="Date"/>
    <w:basedOn w:val="Normal"/>
    <w:qFormat/>
    <w:pPr>
      <w:jc w:val="center"/>
    </w:pPr>
    <w:rPr>
      <w:lang w:val="es-419" w:eastAsia="es-419"/>
    </w:rPr>
  </w:style>
  <w:style w:type="paragraph" w:styleId="Abstract">
    <w:name w:val="Abstract"/>
    <w:basedOn w:val="Normal"/>
    <w:qFormat/>
    <w:pPr>
      <w:spacing w:before="144" w:after="144"/>
      <w:ind w:hanging="0" w:start="567" w:end="567"/>
    </w:pPr>
    <w:rPr>
      <w:lang w:val="es-419" w:eastAsia="es-419"/>
    </w:rPr>
  </w:style>
  <w:style w:type="paragraph" w:styleId="Heading">
    <w:name w:val="Heading"/>
    <w:basedOn w:val="Normal"/>
    <w:next w:val="BodyText"/>
    <w:qFormat/>
    <w:pPr>
      <w:keepNext w:val="true"/>
      <w:spacing w:before="240" w:after="120"/>
    </w:pPr>
    <w:rPr>
      <w:rFonts w:ascii="Arial" w:hAnsi="Arial" w:eastAsia="Lucida Sans Unicode" w:cs="Tahoma"/>
      <w:sz w:val="28"/>
      <w:szCs w:val="28"/>
      <w:lang w:val="es-419" w:eastAsia="es-419"/>
    </w:rPr>
  </w:style>
  <w:style w:type="paragraph" w:styleId="BodyText">
    <w:name w:val="Body Text"/>
    <w:basedOn w:val="Normal"/>
    <w:pPr>
      <w:spacing w:before="86" w:after="86"/>
    </w:pPr>
    <w:rPr>
      <w:lang w:val="es-419" w:eastAsia="es-419"/>
    </w:rPr>
  </w:style>
  <w:style w:type="paragraph" w:styleId="List">
    <w:name w:val="List"/>
    <w:basedOn w:val="BodyText"/>
    <w:pPr/>
    <w:rPr>
      <w:rFonts w:cs="Tahoma"/>
      <w:lang w:val="es-419" w:eastAsia="es-419"/>
    </w:rPr>
  </w:style>
  <w:style w:type="paragraph" w:styleId="Caption">
    <w:name w:val="caption"/>
    <w:basedOn w:val="Normal"/>
    <w:qFormat/>
    <w:pPr>
      <w:suppressLineNumbers/>
      <w:spacing w:before="120" w:after="120"/>
    </w:pPr>
    <w:rPr>
      <w:rFonts w:cs="Tahoma"/>
      <w:i/>
      <w:iCs/>
      <w:sz w:val="24"/>
      <w:szCs w:val="24"/>
      <w:lang w:val="es-419" w:eastAsia="es-419"/>
    </w:rPr>
  </w:style>
  <w:style w:type="paragraph" w:styleId="Table">
    <w:name w:val="Table"/>
    <w:basedOn w:val="Caption"/>
    <w:qFormat/>
    <w:pPr/>
    <w:rPr>
      <w:lang w:val="es-419" w:eastAsia="es-419"/>
    </w:rPr>
  </w:style>
  <w:style w:type="paragraph" w:styleId="FigureCaption">
    <w:name w:val="FigureCaption"/>
    <w:basedOn w:val="Caption"/>
    <w:qFormat/>
    <w:pPr/>
    <w:rPr>
      <w:lang w:val="es-419" w:eastAsia="es-419"/>
    </w:rPr>
  </w:style>
  <w:style w:type="paragraph" w:styleId="Figure">
    <w:name w:val="Figure"/>
    <w:basedOn w:val="Normal"/>
    <w:qFormat/>
    <w:pPr>
      <w:suppressLineNumbers/>
    </w:pPr>
    <w:rPr>
      <w:lang w:val="es-419" w:eastAsia="es-419"/>
    </w:rPr>
  </w:style>
  <w:style w:type="paragraph" w:styleId="FigureWithCaption">
    <w:name w:val="FigureWithCaption"/>
    <w:basedOn w:val="Figure"/>
    <w:qFormat/>
    <w:pPr>
      <w:keepNext w:val="true"/>
      <w:suppressLineNumbers/>
    </w:pPr>
    <w:rPr>
      <w:lang w:val="es-419" w:eastAsia="es-419"/>
    </w:rPr>
  </w:style>
  <w:style w:type="paragraph" w:styleId="Index">
    <w:name w:val="Index"/>
    <w:basedOn w:val="Normal"/>
    <w:qFormat/>
    <w:pPr>
      <w:suppressLineNumbers/>
    </w:pPr>
    <w:rPr>
      <w:rFonts w:cs="Tahoma"/>
      <w:lang w:val="es-419" w:eastAsia="es-419"/>
    </w:rPr>
  </w:style>
  <w:style w:type="paragraph" w:styleId="BlockQuotation">
    <w:name w:val="Block Quotation"/>
    <w:basedOn w:val="Normal"/>
    <w:qFormat/>
    <w:pPr>
      <w:spacing w:before="144" w:after="144"/>
      <w:ind w:hanging="0" w:start="567" w:end="567"/>
    </w:pPr>
    <w:rPr>
      <w:lang w:val="es-419" w:eastAsia="es-419"/>
    </w:rPr>
  </w:style>
  <w:style w:type="paragraph" w:styleId="PreformattedText">
    <w:name w:val="Preformatted Text"/>
    <w:basedOn w:val="Normal"/>
    <w:qFormat/>
    <w:pPr>
      <w:spacing w:before="0" w:after="0"/>
    </w:pPr>
    <w:rPr>
      <w:rFonts w:ascii="Courier New" w:hAnsi="Courier New" w:eastAsia="Courier New" w:cs="Courier New"/>
      <w:sz w:val="20"/>
      <w:szCs w:val="20"/>
      <w:lang w:val="es-419" w:eastAsia="es-419"/>
    </w:rPr>
  </w:style>
  <w:style w:type="paragraph" w:styleId="DefinitionTerm">
    <w:name w:val="Definition Term"/>
    <w:basedOn w:val="Normal"/>
    <w:next w:val="DefinitionDefinition"/>
    <w:qFormat/>
    <w:pPr>
      <w:spacing w:before="86" w:after="86"/>
    </w:pPr>
    <w:rPr>
      <w:lang w:val="es-419" w:eastAsia="es-419"/>
    </w:rPr>
  </w:style>
  <w:style w:type="paragraph" w:styleId="DefinitionDefinition">
    <w:name w:val="Definition Definition"/>
    <w:basedOn w:val="Normal"/>
    <w:next w:val="BodyText"/>
    <w:qFormat/>
    <w:pPr>
      <w:ind w:hanging="0" w:start="720" w:end="0"/>
    </w:pPr>
    <w:rPr>
      <w:lang w:val="es-419" w:eastAsia="es-419"/>
    </w:rPr>
  </w:style>
  <w:style w:type="paragraph" w:styleId="TableContents">
    <w:name w:val="Table Contents"/>
    <w:basedOn w:val="Normal"/>
    <w:qFormat/>
    <w:pPr>
      <w:suppressLineNumbers/>
      <w:ind w:hanging="0" w:start="43" w:end="43"/>
    </w:pPr>
    <w:rPr>
      <w:lang w:val="es-419" w:eastAsia="es-419"/>
    </w:rPr>
  </w:style>
  <w:style w:type="paragraph" w:styleId="TableHeading">
    <w:name w:val="Table Heading"/>
    <w:basedOn w:val="TableContents"/>
    <w:qFormat/>
    <w:pPr>
      <w:suppressLineNumbers/>
      <w:ind w:hanging="0" w:start="43" w:end="43"/>
      <w:jc w:val="start"/>
    </w:pPr>
    <w:rPr>
      <w:b/>
      <w:bCs/>
      <w:lang w:val="es-419" w:eastAsia="es-419"/>
    </w:rPr>
  </w:style>
  <w:style w:type="paragraph" w:styleId="FootnoteText">
    <w:name w:val="footnote text"/>
    <w:basedOn w:val="Normal"/>
    <w:pPr>
      <w:suppressLineNumbers/>
      <w:ind w:hanging="283" w:start="283" w:end="0"/>
    </w:pPr>
    <w:rPr>
      <w:sz w:val="20"/>
      <w:szCs w:val="20"/>
      <w:lang w:val="es-419" w:eastAsia="es-419"/>
    </w:rPr>
  </w:style>
  <w:style w:type="paragraph" w:styleId="HeaderandFooter">
    <w:name w:val="Header and Footer"/>
    <w:basedOn w:val="Normal"/>
    <w:qFormat/>
    <w:pPr>
      <w:suppressLineNumbers/>
      <w:tabs>
        <w:tab w:val="clear" w:pos="709"/>
        <w:tab w:val="center" w:pos="4819" w:leader="none"/>
        <w:tab w:val="right" w:pos="9638" w:leader="none"/>
      </w:tabs>
    </w:pPr>
    <w:rPr>
      <w:lang w:val="es-419" w:eastAsia="es-419"/>
    </w:rPr>
  </w:style>
  <w:style w:type="paragraph" w:styleId="Footer">
    <w:name w:val="footer"/>
    <w:basedOn w:val="Normal"/>
    <w:pPr>
      <w:suppressLineNumbers/>
      <w:tabs>
        <w:tab w:val="clear" w:pos="709"/>
        <w:tab w:val="center" w:pos="4680" w:leader="none"/>
        <w:tab w:val="right" w:pos="9360" w:leader="none"/>
      </w:tabs>
    </w:pPr>
    <w:rPr>
      <w:lang w:val="es-419" w:eastAsia="es-419"/>
    </w:rPr>
  </w:style>
  <w:style w:type="paragraph" w:styleId="DefinitionTermTight">
    <w:name w:val="Definition Term Tight"/>
    <w:basedOn w:val="Normal"/>
    <w:next w:val="DefinitionDefinitionTight"/>
    <w:qFormat/>
    <w:pPr>
      <w:spacing w:before="115" w:after="115"/>
    </w:pPr>
    <w:rPr>
      <w:lang w:val="es-419" w:eastAsia="es-419"/>
    </w:rPr>
  </w:style>
  <w:style w:type="paragraph" w:styleId="DefinitionDefinitionTight">
    <w:name w:val="Definition Definition Tight"/>
    <w:basedOn w:val="Normal"/>
    <w:qFormat/>
    <w:pPr>
      <w:spacing w:before="0" w:after="0"/>
      <w:ind w:hanging="0" w:start="720" w:end="0"/>
    </w:pPr>
    <w:rPr>
      <w:lang w:val="es-419" w:eastAsia="es-419"/>
    </w:rPr>
  </w:style>
  <w:style w:type="paragraph" w:styleId="HorizontalLine">
    <w:name w:val="Horizontal Line"/>
    <w:basedOn w:val="Normal"/>
    <w:next w:val="BodyText"/>
    <w:qFormat/>
    <w:pPr>
      <w:suppressLineNumbers/>
      <w:pBdr>
        <w:bottom w:val="double" w:sz="2" w:space="0" w:color="808080"/>
      </w:pBdr>
      <w:spacing w:before="0" w:after="283"/>
    </w:pPr>
    <w:rPr>
      <w:sz w:val="12"/>
      <w:szCs w:val="12"/>
      <w:lang w:val="es-419" w:eastAsia="es-419"/>
    </w:rPr>
  </w:style>
  <w:style w:type="paragraph" w:styleId="Firstparagraph">
    <w:name w:val="First paragraph"/>
    <w:basedOn w:val="BodyText"/>
    <w:next w:val="BodyText"/>
    <w:qFormat/>
    <w:pPr/>
    <w:rPr>
      <w:lang w:val="es-419" w:eastAsia="es-419"/>
    </w:rPr>
  </w:style>
  <w:style w:type="paragraph" w:styleId="Title">
    <w:name w:val="Title"/>
    <w:basedOn w:val="Heading"/>
    <w:next w:val="BodyText"/>
    <w:qFormat/>
    <w:pPr>
      <w:jc w:val="center"/>
    </w:pPr>
    <w:rPr>
      <w:b/>
      <w:bCs/>
      <w:sz w:val="56"/>
      <w:szCs w:val="56"/>
      <w:lang w:val="es-419" w:eastAsia="es-419"/>
    </w:rPr>
  </w:style>
  <w:style w:type="paragraph" w:styleId="Subtitle">
    <w:name w:val="Subtitle"/>
    <w:basedOn w:val="Heading"/>
    <w:next w:val="BodyText"/>
    <w:qFormat/>
    <w:pPr>
      <w:spacing w:before="60" w:after="120"/>
      <w:jc w:val="center"/>
    </w:pPr>
    <w:rPr>
      <w:sz w:val="36"/>
      <w:szCs w:val="36"/>
      <w:lang w:val="es-419" w:eastAsia="es-419"/>
    </w:rPr>
  </w:style>
  <w:style w:type="numbering" w:styleId="Numbering1">
    <w:name w:val="Numbering 1"/>
    <w:qFormat/>
    <w:rPr>
      <w:lang w:val="es-419" w:eastAsia="es-419"/>
    </w:rPr>
  </w:style>
  <w:style w:type="numbering" w:styleId="Numbering2">
    <w:name w:val="Numbering 2"/>
    <w:qFormat/>
    <w:rPr>
      <w:lang w:val="es-419" w:eastAsia="es-419"/>
    </w:rPr>
  </w:style>
  <w:style w:type="numbering" w:styleId="Numbering3">
    <w:name w:val="Numbering 3"/>
    <w:qFormat/>
    <w:rPr>
      <w:lang w:val="es-419" w:eastAsia="es-419"/>
    </w:rPr>
  </w:style>
  <w:style w:type="numbering" w:styleId="Numbering4">
    <w:name w:val="Numbering 4"/>
    <w:qFormat/>
    <w:rPr>
      <w:lang w:val="es-419" w:eastAsia="es-419"/>
    </w:rPr>
  </w:style>
  <w:style w:type="numbering" w:styleId="Numbering5">
    <w:name w:val="Numbering 5"/>
    <w:qFormat/>
    <w:rPr>
      <w:lang w:val="es-419" w:eastAsia="es-419"/>
    </w:rPr>
  </w:style>
  <w:style w:type="numbering" w:styleId="Bullet">
    <w:name w:val="Bullet •"/>
    <w:qFormat/>
    <w:rPr>
      <w:lang w:val="es-419" w:eastAsia="es-419"/>
    </w:rPr>
  </w:style>
  <w:style w:type="numbering" w:styleId="Bullet1">
    <w:name w:val="Bullet –"/>
    <w:qFormat/>
    <w:rPr>
      <w:lang w:val="es-419" w:eastAsia="es-419"/>
    </w:rPr>
  </w:style>
  <w:style w:type="numbering" w:styleId="Bullet2">
    <w:name w:val="Bullet ☑"/>
    <w:qFormat/>
    <w:rPr>
      <w:lang w:val="es-419" w:eastAsia="es-419"/>
    </w:rPr>
  </w:style>
  <w:style w:type="numbering" w:styleId="Bullet3">
    <w:name w:val="Bullet ➢"/>
    <w:qFormat/>
    <w:rPr>
      <w:lang w:val="es-419" w:eastAsia="es-419"/>
    </w:rPr>
  </w:style>
  <w:style w:type="numbering" w:styleId="Bullet4">
    <w:name w:val="Bullet ✗"/>
    <w:qFormat/>
    <w:rPr>
      <w:lang w:val="es-419" w:eastAsia="es-419"/>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svg"/><Relationship Id="rId4" Type="http://schemas.openxmlformats.org/officeDocument/2006/relationships/image" Target="media/image3.png"/><Relationship Id="rId5" Type="http://schemas.openxmlformats.org/officeDocument/2006/relationships/image" Target="media/image4.svg"/><Relationship Id="rId6" Type="http://schemas.openxmlformats.org/officeDocument/2006/relationships/image" Target="media/image5.png"/><Relationship Id="rId7" Type="http://schemas.openxmlformats.org/officeDocument/2006/relationships/image" Target="media/image6.svg"/><Relationship Id="rId8" Type="http://schemas.openxmlformats.org/officeDocument/2006/relationships/image" Target="media/image7.png"/><Relationship Id="rId9" Type="http://schemas.openxmlformats.org/officeDocument/2006/relationships/image" Target="media/image8.svg"/><Relationship Id="rId10" Type="http://schemas.openxmlformats.org/officeDocument/2006/relationships/image" Target="media/image9.png"/><Relationship Id="rId11" Type="http://schemas.openxmlformats.org/officeDocument/2006/relationships/image" Target="media/image10.svg"/><Relationship Id="rId12" Type="http://schemas.openxmlformats.org/officeDocument/2006/relationships/image" Target="media/image11.png"/><Relationship Id="rId13" Type="http://schemas.openxmlformats.org/officeDocument/2006/relationships/image" Target="media/image12.svg"/><Relationship Id="rId14" Type="http://schemas.openxmlformats.org/officeDocument/2006/relationships/image" Target="media/image13.png"/><Relationship Id="rId15" Type="http://schemas.openxmlformats.org/officeDocument/2006/relationships/image" Target="media/image14.svg"/><Relationship Id="rId16" Type="http://schemas.openxmlformats.org/officeDocument/2006/relationships/image" Target="media/image15.png"/><Relationship Id="rId17" Type="http://schemas.openxmlformats.org/officeDocument/2006/relationships/image" Target="media/image16.svg"/><Relationship Id="rId18" Type="http://schemas.openxmlformats.org/officeDocument/2006/relationships/image" Target="media/image17.png"/><Relationship Id="rId19" Type="http://schemas.openxmlformats.org/officeDocument/2006/relationships/image" Target="media/image18.svg"/><Relationship Id="rId20" Type="http://schemas.openxmlformats.org/officeDocument/2006/relationships/hyperlink" Target="https://mlflow.org/" TargetMode="External"/><Relationship Id="rId21" Type="http://schemas.openxmlformats.org/officeDocument/2006/relationships/hyperlink" Target="https://dvc.org/" TargetMode="External"/><Relationship Id="rId22" Type="http://schemas.openxmlformats.org/officeDocument/2006/relationships/hyperlink" Target="https://openlineage.io/" TargetMode="External"/><Relationship Id="rId23" Type="http://schemas.openxmlformats.org/officeDocument/2006/relationships/hyperlink" Target="https://open-metadata.org/" TargetMode="External"/><Relationship Id="rId24" Type="http://schemas.openxmlformats.org/officeDocument/2006/relationships/hyperlink" Target="https://greatexpectations.io/" TargetMode="External"/><Relationship Id="rId25" Type="http://schemas.openxmlformats.org/officeDocument/2006/relationships/hyperlink" Target="https://www.evidentlyai.com/" TargetMode="External"/><Relationship Id="rId26" Type="http://schemas.openxmlformats.org/officeDocument/2006/relationships/hyperlink" Target="https://github.com/deepchecks/deepchecks" TargetMode="External"/><Relationship Id="rId27" Type="http://schemas.openxmlformats.org/officeDocument/2006/relationships/hyperlink" Target="https://github.com/Giskard-AI/giskard-oss" TargetMode="External"/><Relationship Id="rId28" Type="http://schemas.openxmlformats.org/officeDocument/2006/relationships/hyperlink" Target="https://www.promptfoo.dev/" TargetMode="External"/><Relationship Id="rId29" Type="http://schemas.openxmlformats.org/officeDocument/2006/relationships/hyperlink" Target="https://github.com/NVIDIA/garak" TargetMode="External"/><Relationship Id="rId30" Type="http://schemas.openxmlformats.org/officeDocument/2006/relationships/hyperlink" Target="https://github.com/microsoft/PyRIT" TargetMode="External"/><Relationship Id="rId31" Type="http://schemas.openxmlformats.org/officeDocument/2006/relationships/hyperlink" Target="https://inspect.aisi.org.uk/" TargetMode="External"/><Relationship Id="rId32" Type="http://schemas.openxmlformats.org/officeDocument/2006/relationships/hyperlink" Target="https://presidio.dataprivacystack.org/" TargetMode="External"/><Relationship Id="rId33" Type="http://schemas.openxmlformats.org/officeDocument/2006/relationships/hyperlink" Target="https://github.com/protectai/modelscan" TargetMode="External"/><Relationship Id="rId34" Type="http://schemas.openxmlformats.org/officeDocument/2006/relationships/hyperlink" Target="https://cyclonedx.org/" TargetMode="External"/><Relationship Id="rId35" Type="http://schemas.openxmlformats.org/officeDocument/2006/relationships/hyperlink" Target="https://www.openpolicyagent.org/" TargetMode="External"/><Relationship Id="rId36" Type="http://schemas.openxmlformats.org/officeDocument/2006/relationships/hyperlink" Target="https://www.defectdojo.org/" TargetMode="External"/><Relationship Id="rId37" Type="http://schemas.openxmlformats.org/officeDocument/2006/relationships/hyperlink" Target="https://langfuse.com/" TargetMode="External"/><Relationship Id="rId38" Type="http://schemas.openxmlformats.org/officeDocument/2006/relationships/image" Target="media/image19.png"/><Relationship Id="rId39" Type="http://schemas.openxmlformats.org/officeDocument/2006/relationships/image" Target="media/image20.svg"/><Relationship Id="rId40" Type="http://schemas.openxmlformats.org/officeDocument/2006/relationships/hyperlink" Target="https://www.iso.org/standard/42001" TargetMode="External"/><Relationship Id="rId41" Type="http://schemas.openxmlformats.org/officeDocument/2006/relationships/hyperlink" Target="https://www.iso.org/home/insights-news/resources/iso-42001-explained-what-it-is.html" TargetMode="External"/><Relationship Id="rId42" Type="http://schemas.openxmlformats.org/officeDocument/2006/relationships/hyperlink" Target="https://www.iso.org/standard/42005" TargetMode="External"/><Relationship Id="rId43" Type="http://schemas.openxmlformats.org/officeDocument/2006/relationships/hyperlink" Target="https://www.iso.org/standard/42006" TargetMode="External"/><Relationship Id="rId44" Type="http://schemas.openxmlformats.org/officeDocument/2006/relationships/hyperlink" Target="https://www.iso.org/standard/19011" TargetMode="External"/><Relationship Id="rId45" Type="http://schemas.openxmlformats.org/officeDocument/2006/relationships/hyperlink" Target="https://www.iso.org/standard/77304.html" TargetMode="External"/><Relationship Id="rId46" Type="http://schemas.openxmlformats.org/officeDocument/2006/relationships/hyperlink" Target="https://www.iso.org/standard/74296.html" TargetMode="External"/><Relationship Id="rId47" Type="http://schemas.openxmlformats.org/officeDocument/2006/relationships/hyperlink" Target="https://www.iso.org/standard/74438.html" TargetMode="External"/><Relationship Id="rId48" Type="http://schemas.openxmlformats.org/officeDocument/2006/relationships/hyperlink" Target="https://www.iso.org/standard/56641.html" TargetMode="External"/><Relationship Id="rId49" Type="http://schemas.openxmlformats.org/officeDocument/2006/relationships/hyperlink" Target="https://www.iso.org/standard/27001" TargetMode="External"/><Relationship Id="rId50" Type="http://schemas.openxmlformats.org/officeDocument/2006/relationships/hyperlink" Target="https://www.iso.org/standard/88435.html" TargetMode="External"/><Relationship Id="rId51" Type="http://schemas.openxmlformats.org/officeDocument/2006/relationships/hyperlink" Target="https://www.iso.org/standard/61651.html" TargetMode="External"/><Relationship Id="rId52" Type="http://schemas.openxmlformats.org/officeDocument/2006/relationships/hyperlink" Target="https://committee.iso.org/committee/6794475/x/catalogue/" TargetMode="External"/><Relationship Id="rId53" Type="http://schemas.openxmlformats.org/officeDocument/2006/relationships/hyperlink" Target="https://www.iso.org/management-system-standards.html" TargetMode="External"/><Relationship Id="rId54" Type="http://schemas.openxmlformats.org/officeDocument/2006/relationships/hyperlink" Target="https://www.iafcertsearch.org/" TargetMode="External"/><Relationship Id="rId55" Type="http://schemas.openxmlformats.org/officeDocument/2006/relationships/hyperlink" Target="https://www.nist.gov/itl/ai-risk-management-framework" TargetMode="External"/><Relationship Id="rId56" Type="http://schemas.openxmlformats.org/officeDocument/2006/relationships/hyperlink" Target="https://oecd.ai/en/ai-principles" TargetMode="External"/><Relationship Id="rId57" Type="http://schemas.openxmlformats.org/officeDocument/2006/relationships/hyperlink" Target="https://digital-strategy.ec.europa.eu/en/policies/regulatory-framework-ai" TargetMode="External"/><Relationship Id="rId58" Type="http://schemas.openxmlformats.org/officeDocument/2006/relationships/footer" Target="footer1.xml"/><Relationship Id="rId59" Type="http://schemas.openxmlformats.org/officeDocument/2006/relationships/numbering" Target="numbering.xml"/><Relationship Id="rId60" Type="http://schemas.openxmlformats.org/officeDocument/2006/relationships/fontTable" Target="fontTable.xml"/><Relationship Id="rId61" Type="http://schemas.openxmlformats.org/officeDocument/2006/relationships/settings" Target="settings.xml"/><Relationship Id="rId62" Type="http://schemas.openxmlformats.org/officeDocument/2006/relationships/theme" Target="theme/theme1.xml"/><Relationship Id="rId63" Type="http://schemas.openxmlformats.org/officeDocument/2006/relationships/header" Target="head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LibreOfficeDev/26.8.0.0.alpha0$Linux_X86_64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2026-08-25T02:49:12Z</dcterms:created>
  <dc:creator>Alberto (Al) Leiva</dc:creator>
  <dc:description>Document generation and repository QA do not establish certification, conformity, legal compliance, or audit assurance.</dc:description>
  <cp:keywords>ISO/IEC 42001, AI management system, AIMS, GRC, implementation, audit evidence</cp:keywords>
  <dc:language>es-419</dc:language>
  <cp:lastModifiedBy>Alberto (Al) Leiva</cp:lastModifiedBy>
  <dcterms:modified xsi:type="dcterms:W3CDTF">2026-08-25T02:49:12Z</dcterms:modified>
  <cp:revision>0</cp:revision>
  <dc:subject>Manual 02 controlled publication-QA artifact; DRAFT — HUMAN SEMANTIC REVIEW REQUIRED; source build/iso-iec-42001-manual-02-2026@647c88fa905a16cba4e3ec162a32aad56f48c58b</dc:subject>
  <dc:title>Manual 02 — Implementación del Sistema de Gestión de IA ISO/IEC 42001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2026-08-24</vt:lpwstr>
  </property>
  <property fmtid="{D5CDD505-2E9C-101B-9397-08002B2CF9AE}" pid="3" name="review-status">
    <vt:lpwstr>DRAFT — HUMAN SEMANTIC REVIEW REQUIRED</vt:lpwstr>
  </property>
  <property fmtid="{D5CDD505-2E9C-101B-9397-08002B2CF9AE}" pid="4" name="source-branch">
    <vt:lpwstr>build/iso-iec-42001-manual-02-2026</vt:lpwstr>
  </property>
  <property fmtid="{D5CDD505-2E9C-101B-9397-08002B2CF9AE}" pid="5" name="source-commit">
    <vt:lpwstr>647c88fa905a16cba4e3ec162a32aad56f48c58b</vt:lpwstr>
  </property>
  <property fmtid="{D5CDD505-2E9C-101B-9397-08002B2CF9AE}" pid="6" name="subtitle">
    <vt:lpwstr>DRAFT — HUMAN SEMANTIC REVIEW REQUIRED</vt:lpwstr>
  </property>
  <property fmtid="{D5CDD505-2E9C-101B-9397-08002B2CF9AE}" pid="7" name="version">
    <vt:lpwstr>First Edition / v1.0</vt:lpwstr>
  </property>
</Properties>
</file>