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w:t>
      </w:r>
      <w:r>
        <w:t xml:space="preserve"> </w:t>
      </w:r>
      <w:r>
        <w:t xml:space="preserve">|. |</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 Nota de información actual** El manual refleja el material oficial comprobado el 14 de julio de 2026, incluyendo NIST SP 1326 (final julio 8, 2026), NIST SP 800-18 Rev. 2 (final junio 30, 2026), NIST SP 800-161 Rev. 1 Update 1, NIST SP 1305, y ZXPROTECTED4X 2.0Z ZX |</w:t>
      </w:r>
    </w:p>
    <w:p>
      <w:pPr>
        <w:pStyle w:val="BodyText"/>
      </w:pPr>
      <w:r>
        <w:t xml:space="preserve">|. |</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Revisión de evidencia y confianza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Pruebas de evidencia y métricas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Manual de TPRM para gerentes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w:t>
      </w:r>
      <w:r>
        <w:t xml:space="preserve"> </w:t>
      </w:r>
      <w:r>
        <w:rPr>
          <w:bCs/>
          <w:b/>
        </w:rPr>
        <w:t xml:space="preserve">Lo que no prueba</w:t>
      </w:r>
      <w:r>
        <w:t xml:space="preserve"> </w:t>
      </w:r>
      <w:r>
        <w:t xml:space="preserve">|. |</w:t>
      </w:r>
      <w:r>
        <w:t xml:space="preserve"> </w:t>
      </w:r>
      <w:r>
        <w:t xml:space="preserve">| Cuestionario | Una afirmación del proveedor no es una prueba independiente.</w:t>
      </w:r>
      <w:r>
        <w:t xml:space="preserve"> </w:t>
      </w:r>
      <w:r>
        <w:t xml:space="preserve">Silencioso informe SOC 2 Cubre sistemas, criterios, periodo, pruebas y limitaciones, no todos los riesgos.</w:t>
      </w:r>
      <w:r>
        <w:t xml:space="preserve"> </w:t>
      </w:r>
      <w:r>
        <w:t xml:space="preserve">| ISO certificado Se aplica sólo al alcance certificado y los detalles del certificado actual. |</w:t>
      </w:r>
      <w:r>
        <w:t xml:space="preserve"> </w:t>
      </w:r>
      <w:r>
        <w:t xml:space="preserve">Nota de seguridad | Las señales externas pueden ser útiles pero pueden ser incompletas, estancadas o mal atribuidas. |</w:t>
      </w:r>
      <w:r>
        <w:t xml:space="preserve"> </w:t>
      </w:r>
      <w:r>
        <w:t xml:space="preserve">Contrato permanente Una promesa no muestra que un control funciona. |</w:t>
      </w:r>
      <w:r>
        <w:t xml:space="preserve"> </w:t>
      </w:r>
      <w:r>
        <w:t xml:space="preserve">← Herramienta resultado | Automatización es compatible con las pruebas; no toma la decisión del negocio. |</w:t>
      </w:r>
    </w:p>
    <w:p>
      <w:pPr>
        <w:pStyle w:val="BodyText"/>
      </w:pPr>
      <w:r>
        <w:rPr>
          <w:bCs/>
          <w:b/>
        </w:rPr>
        <w:t xml:space="preserve">Principio del contrato:</w:t>
      </w:r>
      <w:r>
        <w:t xml:space="preserve"> </w:t>
      </w:r>
      <w:r>
        <w:t xml:space="preserve">Proporcione la actividad, no la responsabilidad. El propietario del negocio sigue siendo responsable de entender y gestionar el impacto. |</w:t>
      </w:r>
    </w:p>
    <w:p>
      <w:pPr>
        <w:pStyle w:val="BodyText"/>
      </w:pPr>
      <w:r>
        <w:t xml:space="preserve">|. |</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Stage</w:t>
            </w:r>
          </w:p>
        </w:tc>
      </w:tr>
      <w:tr>
        <w:tc>
          <w:tcPr/>
          <w:p>
            <w:pPr>
              <w:pStyle w:val="Compact"/>
              <w:jc w:val="left"/>
            </w:pPr>
            <w:r>
              <w:t xml:space="preserve">TENCIÓN ANTERIOR ¿Hay una necesidad válida y un propietario responsable?</w:t>
            </w:r>
          </w:p>
        </w:tc>
      </w:tr>
    </w:tbl>
    <w:p>
      <w:pPr>
        <w:pStyle w:val="BodyText"/>
      </w:pPr>
      <w:r>
        <w:t xml:space="preserve">¿Cuánto daño podría causar el fracaso? ← Datos, acceso, dependencia, disponibilidad, geografía</w:t>
      </w:r>
      <w:r>
        <w:t xml:space="preserve"> </w:t>
      </w:r>
      <w:r>
        <w:t xml:space="preserve">| ¿Es aceptable el riesgo residual? Ø Investigación, pruebas, pruebas, hallazgos, tratamiento |</w:t>
      </w:r>
      <w:r>
        <w:t xml:space="preserve"> </w:t>
      </w:r>
      <w:r>
        <w:t xml:space="preserve">¿Son las obligaciones ejecutables? ← Condiciones de seguridad/privacy/resilience firmadas</w:t>
      </w:r>
      <w:r>
        <w:t xml:space="preserve"> </w:t>
      </w:r>
      <w:r>
        <w:t xml:space="preserve">| a bordo ¿El acceso es limitado y aprobado? Configuración, cuenta, flujo de datos, registros de aceptación |</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rPr>
          <w:bCs/>
          <w:b/>
        </w:rPr>
        <w:t xml:space="preserve">Rol</w:t>
      </w:r>
      <w:r>
        <w:t xml:space="preserve"> </w:t>
      </w:r>
      <w:r>
        <w:t xml:space="preserve">|</w:t>
      </w:r>
    </w:p>
    <w:p>
      <w:pPr>
        <w:pStyle w:val="BodyText"/>
      </w:pPr>
      <w:r>
        <w:t xml:space="preserve">|. |</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 Método, diligencia debida, análisis técnico, monitoreo, hallazgos |</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 Información precisa, controles contratados, aviso, corrección, cooperación</w:t>
      </w:r>
    </w:p>
    <w:p>
      <w:pPr>
        <w:pStyle w:val="BodyText"/>
      </w:pPr>
      <w:r>
        <w:t xml:space="preserve">** Decisión mayor:** Defina quién puede aceptar qué nivel de riesgo residual. Un propietario de riesgos debe tener autoridad, contexto y rendición de cuentas, no sólo una firma conveniente. |</w:t>
      </w:r>
    </w:p>
    <w:p>
      <w:pPr>
        <w:pStyle w:val="BodyText"/>
      </w:pPr>
      <w:r>
        <w:t xml:space="preserve">|. |</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Factor</w:t>
            </w:r>
          </w:p>
        </w:tc>
      </w:tr>
    </w:tbl>
    <w:p>
      <w:pPr>
        <w:pStyle w:val="BodyText"/>
      </w:pPr>
      <w:r>
        <w:t xml:space="preserve">TENER Datos TENIENTES Personal sensible, salud, pago, secretos o información regulada</w:t>
      </w:r>
      <w:r>
        <w:t xml:space="preserve"> </w:t>
      </w:r>
      <w:r>
        <w:t xml:space="preserve">| Acceso | Privilegiado, producción, remota, persistente o amplia API acceso ANTE</w:t>
      </w:r>
      <w:r>
        <w:t xml:space="preserve"> </w:t>
      </w:r>
      <w:r>
        <w:t xml:space="preserve">TEN Disponibilidad | Failure detiene un producto crítico, operación o servicio al cliente |</w:t>
      </w:r>
      <w:r>
        <w:t xml:space="preserve"> </w:t>
      </w:r>
      <w:r>
        <w:t xml:space="preserve">| Cambio |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 Reach | Proveedor sirve muchos sistemas críticos, regiones, clientes o subsidiarias |</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w:t>
      </w:r>
      <w:r>
        <w:t xml:space="preserve"> </w:t>
      </w:r>
      <w:r>
        <w:t xml:space="preserve">|. |</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Componente</w:t>
            </w:r>
          </w:p>
        </w:tc>
      </w:tr>
    </w:tbl>
    <w:p>
      <w:pPr>
        <w:pStyle w:val="BodyText"/>
      </w:pPr>
      <w:r>
        <w:t xml:space="preserve">¿Quién posee o influye en el proveedor? ¿Qué jurisdicciones o presiones legales importan?</w:t>
      </w:r>
      <w:r>
        <w:t xml:space="preserve"> </w:t>
      </w:r>
      <w:r>
        <w:t xml:space="preserve">| ¿Dónde se originó el producto, código, componentes, hardware y datos? ¿Pueden rastrearse las afirmaciones? |</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w:t>
      </w:r>
      <w:r>
        <w:t xml:space="preserve"> </w:t>
      </w:r>
      <w:r>
        <w:t xml:space="preserve">|. |</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Artifact</w:t>
            </w:r>
          </w:p>
        </w:tc>
      </w:tr>
      <w:tr>
        <w:tc>
          <w:tcPr/>
          <w:p>
            <w:pPr>
              <w:pStyle w:val="Compact"/>
              <w:jc w:val="left"/>
            </w:pPr>
            <w:r>
              <w:t xml:space="preserve">TEN SOC 2 Tipo 2</w:t>
            </w:r>
          </w:p>
        </w:tc>
      </w:tr>
      <w:tr>
        <w:tc>
          <w:tcPr/>
          <w:p>
            <w:pPr>
              <w:pStyle w:val="Compact"/>
              <w:jc w:val="left"/>
            </w:pPr>
            <w:r>
              <w:t xml:space="preserve">ISO/IEC 27001 certificado</w:t>
            </w:r>
          </w:p>
        </w:tc>
      </w:tr>
      <w:tr>
        <w:tc>
          <w:tcPr/>
          <w:p>
            <w:pPr>
              <w:pStyle w:val="Compact"/>
              <w:jc w:val="left"/>
            </w:pPr>
            <w:r>
              <w:t xml:space="preserve">Penetration-test report tención Tester independence/skill, scope, date, method, exclusions, severidad, remediation, retest</w:t>
            </w:r>
          </w:p>
        </w:tc>
      </w:tr>
      <w:tr>
        <w:tc>
          <w:tcPr/>
          <w:p>
            <w:pPr>
              <w:pStyle w:val="Compact"/>
              <w:jc w:val="left"/>
            </w:pPr>
            <w:r>
              <w:t xml:space="preserve">tención Política / estándar</w:t>
            </w:r>
          </w:p>
        </w:tc>
      </w:tr>
    </w:tbl>
    <w:p>
      <w:pPr>
        <w:pStyle w:val="BodyText"/>
      </w:pP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 Utilizando un viejo diagrama de ventas ANTE</w:t>
      </w:r>
      <w:r>
        <w:t xml:space="preserve"> </w:t>
      </w:r>
      <w:r>
        <w:t xml:space="preserve">TEN BC/DR test |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rPr>
          <w:bCs/>
          <w:b/>
        </w:rPr>
        <w:t xml:space="preserve">Tratamiento</w:t>
      </w:r>
      <w:r>
        <w:t xml:space="preserve"> </w:t>
      </w:r>
      <w:r>
        <w:t xml:space="preserve">|</w:t>
      </w:r>
      <w:r>
        <w:t xml:space="preserve"> </w:t>
      </w:r>
      <w:r>
        <w:rPr>
          <w:bCs/>
          <w:b/>
        </w:rPr>
        <w:t xml:space="preserve">Ejemplo</w:t>
      </w:r>
    </w:p>
    <w:p>
      <w:pPr>
        <w:pStyle w:val="BodyText"/>
      </w:pPr>
      <w:r>
        <w:t xml:space="preserve">|. |</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w:t>
      </w:r>
      <w:r>
        <w:t xml:space="preserve"> </w:t>
      </w:r>
      <w:r>
        <w:t xml:space="preserve">Silencioso Transferencia/compartido Silencioso Seguros, indemnizaciones, créditos de servicio, asignación contractual TENCIÓN Exacto plazo y riesgo permanente</w:t>
      </w:r>
      <w:r>
        <w:t xml:space="preserve"> </w:t>
      </w:r>
      <w:r>
        <w:t xml:space="preserve">| Aceptar | Autorizado propietario acepta el riesgo residual definido para un período | Alcance, razón, aprobador, expiración, monitoreo |</w:t>
      </w:r>
      <w:r>
        <w:t xml:space="preserve"> </w:t>
      </w:r>
      <w:r>
        <w:t xml:space="preserve">← Contingencia Silencioso proveedor, proceso manual, exportación de datos, recuperación probada Silencioso Trigger, recursos, resultado de la prueba</w:t>
      </w:r>
    </w:p>
    <w:p>
      <w:pPr>
        <w:pStyle w:val="BodyText"/>
      </w:pPr>
      <w:r>
        <w:rPr>
          <w:bCs/>
          <w:b/>
        </w:rPr>
        <w:t xml:space="preserve">Advertencia de puntuación:</w:t>
      </w:r>
      <w:r>
        <w:t xml:space="preserve"> </w:t>
      </w:r>
      <w:r>
        <w:t xml:space="preserve">No promedia un problema catastrófico. Reportar escenarios graves, lagunas de evidencia y concentración separadas de la puntuación general. |</w:t>
      </w:r>
    </w:p>
    <w:p>
      <w:pPr>
        <w:pStyle w:val="BodyText"/>
      </w:pPr>
      <w:r>
        <w:t xml:space="preserve">|. |</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rPr>
          <w:bCs/>
          <w:b/>
        </w:rPr>
        <w:t xml:space="preserve">Área de aislamiento</w:t>
      </w:r>
      <w:r>
        <w:t xml:space="preserve"> </w:t>
      </w:r>
      <w:r>
        <w:t xml:space="preserve">|</w:t>
      </w:r>
    </w:p>
    <w:p>
      <w:pPr>
        <w:pStyle w:val="BodyText"/>
      </w:pPr>
      <w:r>
        <w:t xml:space="preserve">|. |</w:t>
      </w:r>
      <w:r>
        <w:t xml:space="preserve"> </w:t>
      </w:r>
      <w:r>
        <w:t xml:space="preserve">Programa de seguridad permanente ¿Qué marco, controles, políticas, pruebas, entrenamiento y pruebas de seguridad son necesarias? |</w:t>
      </w:r>
      <w:r>
        <w:t xml:space="preserve"> </w:t>
      </w:r>
      <w:r>
        <w:t xml:space="preserve">| Uso de datos ¿Qué datos se pueden utilizar, dónde, para qué propósito, durante cuánto tiempo y para la formación de modelos? |</w:t>
      </w:r>
      <w:r>
        <w:t xml:space="preserve"> </w:t>
      </w:r>
      <w:r>
        <w:t xml:space="preserve">| ¿Cómo se manejan menos privilegios, MFA, registro, acceso de apoyo y terminación? |</w:t>
      </w:r>
      <w:r>
        <w:t xml:space="preserve"> </w:t>
      </w:r>
      <w:r>
        <w:t xml:space="preserve">Vulnerabilidad permanente ¿Qué reglas de escaneo, revelación, parche, severidad, remediación y aviso se aplican?</w:t>
      </w:r>
      <w:r>
        <w:t xml:space="preserve"> </w:t>
      </w:r>
      <w:r>
        <w:t xml:space="preserve">| ¿Qué evento activa notar, con qué rapidez, a través de qué canal, con qué actualizaciones y cooperación? |</w:t>
      </w:r>
      <w:r>
        <w:t xml:space="preserve"> </w:t>
      </w:r>
      <w:r>
        <w:t xml:space="preserve">Subprocesadores | ¿Se requiere aprobación o aviso? ¿Desbordan derechos equivalentes? ¿Hay una lista actual disponible?</w:t>
      </w:r>
      <w:r>
        <w:t xml:space="preserve"> </w:t>
      </w:r>
      <w:r>
        <w:t xml:space="preserve">tención auditiva / evidencia | ¿Qué informes, certificaciones, registros, derechos de prueba y prueba de remediación se pueden solicitar? |</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 |</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w:t>
      </w:r>
      <w:r>
        <w:t xml:space="preserve"> </w:t>
      </w:r>
      <w:r>
        <w:t xml:space="preserve">|… |</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w:t>
      </w:r>
      <w:r>
        <w:t xml:space="preserve"> </w:t>
      </w:r>
      <w:r>
        <w:t xml:space="preserve">tención SOC/ISO/pen-test change</w:t>
      </w:r>
      <w:r>
        <w:t xml:space="preserve"> </w:t>
      </w:r>
      <w:r>
        <w:t xml:space="preserve">← Nuevo subprocesador, propietario, ubicación o proveedor de modelos</w:t>
      </w:r>
      <w:r>
        <w:t xml:space="preserve"> </w:t>
      </w:r>
      <w:r>
        <w:t xml:space="preserve">| financiero o operativo Silencioso de revisión, escrow/export, alternativas, y disparador de salida |</w:t>
      </w:r>
      <w:r>
        <w:t xml:space="preserve"> </w:t>
      </w:r>
      <w:r>
        <w:t xml:space="preserve">tención Repetida SLA o la búsqueda de fracaso ← Escalate corrective action and residual-risk decision |</w:t>
      </w:r>
      <w:r>
        <w:t xml:space="preserve"> </w:t>
      </w:r>
      <w:r>
        <w:t xml:space="preserve">tención Renovación o material característica cambio ← Reassess antes del compromiso; actualización contrato y arquitectura</w:t>
      </w:r>
      <w:r>
        <w:t xml:space="preserve"> </w:t>
      </w:r>
      <w:r>
        <w:t xml:space="preserve">| No hay evidencia ni contacto absoluto |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rPr>
          <w:bCs/>
          <w:b/>
        </w:rPr>
        <w:t xml:space="preserve">Encuentro del elemento</w:t>
      </w:r>
      <w:r>
        <w:t xml:space="preserve"> </w:t>
      </w:r>
      <w:r>
        <w:t xml:space="preserve">|</w:t>
      </w:r>
    </w:p>
    <w:p>
      <w:pPr>
        <w:pStyle w:val="BodyText"/>
      </w:pPr>
      <w:r>
        <w:t xml:space="preserve">|… |</w:t>
      </w:r>
      <w:r>
        <w:t xml:space="preserve"> </w:t>
      </w:r>
      <w:r>
        <w:t xml:space="preserve">tención Criterios | Exactitud, plazo de contrato, política o norma aprobada</w:t>
      </w:r>
      <w:r>
        <w:t xml:space="preserve"> </w:t>
      </w:r>
      <w:r>
        <w:t xml:space="preserve">| | Qué evidencia mostró, incluyendo la población afectada y la fecha</w:t>
      </w:r>
      <w:r>
        <w:t xml:space="preserve"> </w:t>
      </w:r>
      <w:r>
        <w:t xml:space="preserve">← Riesgo | Credible escenario e impacto empresarial</w:t>
      </w:r>
      <w:r>
        <w:t xml:space="preserve"> </w:t>
      </w:r>
      <w:r>
        <w:t xml:space="preserve">| . Por qué se produjo la brecha; evitar las conjeturas no apoyadas |</w:t>
      </w:r>
      <w:r>
        <w:t xml:space="preserve"> </w:t>
      </w:r>
      <w:r>
        <w:t xml:space="preserve">TENCIÓN FORMULADA Corrección específica o control compensatorio</w:t>
      </w:r>
      <w:r>
        <w:t xml:space="preserve"> </w:t>
      </w:r>
      <w:r>
        <w:t xml:space="preserve">| Propietario/fecha Fecha límite de responsabilidad y riesgo |</w:t>
      </w:r>
      <w:r>
        <w:t xml:space="preserve"> </w:t>
      </w:r>
      <w:r>
        <w:t xml:space="preserve">TENCIÓN PROVISIONAL | Medida a corto plazo mientras que la corrección completa está pendiente</w:t>
      </w:r>
      <w:r>
        <w:t xml:space="preserve"> </w:t>
      </w:r>
      <w:r>
        <w:t xml:space="preserve">TEN Retest |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rPr>
          <w:bCs/>
          <w:b/>
        </w:rPr>
        <w:t xml:space="preserve">Primeras preguntas</w:t>
      </w:r>
      <w:r>
        <w:t xml:space="preserve"> </w:t>
      </w:r>
      <w:r>
        <w:t xml:space="preserve">|</w:t>
      </w:r>
    </w:p>
    <w:p>
      <w:pPr>
        <w:pStyle w:val="BodyText"/>
      </w:pPr>
      <w:r>
        <w:t xml:space="preserve">Silencioso…—————————————————————————————- La vida——————————————————</w:t>
      </w:r>
      <w:r>
        <w:t xml:space="preserve"> </w:t>
      </w:r>
      <w:r>
        <w:t xml:space="preserve">¿Qué pasó y cuándo? | Establecer plazos y obligaciones de notificación</w:t>
      </w:r>
      <w:r>
        <w:t xml:space="preserve"> </w:t>
      </w:r>
      <w:r>
        <w:t xml:space="preserve">¿Qué producto, inquilino, región, versión, cuentas, datos y subprocesadores? |</w:t>
      </w:r>
      <w:r>
        <w:t xml:space="preserve"> </w:t>
      </w:r>
      <w:r>
        <w:t xml:space="preserve">¿Está contenido el evento? ¿Qué sigue activo? confidencialidad Guía de las decisiones de protección</w:t>
      </w:r>
      <w:r>
        <w:t xml:space="preserve"> </w:t>
      </w:r>
      <w:r>
        <w:t xml:space="preserve">¿Qué evidencia apoya la conclusión actual? | Acto separado de la suposición</w:t>
      </w:r>
      <w:r>
        <w:t xml:space="preserve"> </w:t>
      </w:r>
      <w:r>
        <w:t xml:space="preserve">¿Qué acciones de los clientes son necesarias? |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 |</w:t>
      </w:r>
      <w:r>
        <w:t xml:space="preserve"> </w:t>
      </w:r>
      <w:r>
        <w:t xml:space="preserve">|. |</w:t>
      </w:r>
      <w:r>
        <w:t xml:space="preserve"> </w:t>
      </w:r>
      <w:r>
        <w:t xml:space="preserve">← Seguridad del arrendatario SSO, MFA, roles, cuentas de administración, sesiones, acceso de apoyo, registro de vidas</w:t>
      </w:r>
      <w:r>
        <w:t xml:space="preserve"> </w:t>
      </w:r>
      <w:r>
        <w:t xml:space="preserve">← Datos |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 Servicio en la nube y ubicaciones dentro de informe/certificado alcance |</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w:t>
      </w:r>
      <w:r>
        <w:t xml:space="preserve"> </w:t>
      </w:r>
      <w:r>
        <w:t xml:space="preserve">|. |</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 |</w:t>
      </w:r>
      <w:r>
        <w:t xml:space="preserve"> </w:t>
      </w:r>
      <w:r>
        <w:t xml:space="preserve">|. |</w:t>
      </w:r>
      <w:r>
        <w:t xml:space="preserve"> </w:t>
      </w:r>
      <w:r>
        <w:t xml:space="preserve">| Caso de uso / impacto ¿Qué decisión o tarea se apoya? ¿Quién puede ser dañado? ¿Es significativa la revisión humana? |</w:t>
      </w:r>
      <w:r>
        <w:t xml:space="preserve"> </w:t>
      </w:r>
      <w:r>
        <w:t xml:space="preserve">tención de datos | ¿Se mantienen, comparten o utilizan los avisos, subidas, salidas, comentarios y registros para la formación? |</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w:t>
      </w:r>
      <w:r>
        <w:t xml:space="preserve"> </w:t>
      </w:r>
      <w:r>
        <w:t xml:space="preserve">TENIDA Privacidad / IP ¿Qué fundamento jurídico, propiedad, licencias, eliminación, ubicación, transferencia y derechos se aplican? |</w:t>
      </w:r>
      <w:r>
        <w:t xml:space="preserve"> </w:t>
      </w:r>
      <w:r>
        <w:t xml:space="preserve">¿Cómo se evalúa la exactitud, el sesgo, la robustez, la explicabilidad, la deriva y la producción insegura para este uso?</w:t>
      </w:r>
      <w:r>
        <w:t xml:space="preserve"> </w:t>
      </w:r>
      <w:r>
        <w:t xml:space="preserve">| ¿Qué cambios de modelo, política, característica, proveedor o entrenamiento desencadenan aviso y reevaluación? |</w:t>
      </w:r>
      <w:r>
        <w:t xml:space="preserve"> </w:t>
      </w:r>
      <w:r>
        <w:t xml:space="preserve">¿Cómo se manejan los productos dañinos, las fugas, el compromiso modelo, los abusos, las interrupciones y las pruebas? |</w:t>
      </w:r>
      <w:r>
        <w:t xml:space="preserve"> </w:t>
      </w:r>
      <w:r>
        <w:t xml:space="preserve">¿Pueden exportarse o eliminarse los avisos, archivos, índices, notas finas, registros y datos derivados? |</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 |</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 |</w:t>
      </w:r>
      <w:r>
        <w:t xml:space="preserve"> </w:t>
      </w:r>
      <w:r>
        <w:t xml:space="preserve">← Impacto empresarial |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 Plan de salida Silenciosos, derechos de decisión, alternativa, exportación de datos, eliminación de acceso, secuencia de migración |</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Documente quién confirma la devolución o eliminación y cómo se controlan las excepciones, como la retención legal o la conservación de copias de seguridad.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rPr>
          <w:bCs/>
          <w:b/>
        </w:rPr>
        <w:t xml:space="preserve">Responde</w:t>
      </w:r>
      <w:r>
        <w:t xml:space="preserve"> </w:t>
      </w:r>
      <w:r>
        <w:t xml:space="preserve">|</w:t>
      </w:r>
      <w:r>
        <w:t xml:space="preserve"> </w:t>
      </w:r>
      <w:r>
        <w:rPr>
          <w:bCs/>
          <w:b/>
        </w:rPr>
        <w:t xml:space="preserve">Significado claro</w:t>
      </w:r>
      <w:r>
        <w:rPr>
          <w:bCs/>
          <w:b/>
        </w:rPr>
        <w:t xml:space="preserve"> </w:t>
      </w:r>
      <w:r>
        <w:t xml:space="preserve">Evidencia de ejemplo**</w:t>
      </w:r>
    </w:p>
    <w:p>
      <w:pPr>
        <w:pStyle w:val="BodyText"/>
      </w:pPr>
      <w:r>
        <w:t xml:space="preserve">|.. |</w:t>
      </w:r>
      <w:r>
        <w:t xml:space="preserve"> </w:t>
      </w:r>
      <w:r>
        <w:t xml:space="preserve">| GV.SC-01 | Un programa C-SCRM, estrategia, objetivos, políticas y procesos son establecidos y acordados por los interesados de la organización. | Programa aprobado y registro de los interesados</w:t>
      </w:r>
      <w:r>
        <w:t xml:space="preserve"> </w:t>
      </w:r>
      <w:r>
        <w:t xml:space="preserve">| GV.SC-02 | funciones y responsabilidades de ciberseguridad para proveedores, clientes y socios se establecen, comunican y coordinan. | RACI, contactos, acuerdos, ejercicios</w:t>
      </w:r>
      <w:r>
        <w:t xml:space="preserve"> </w:t>
      </w:r>
      <w:r>
        <w:t xml:space="preserve">tención GV.SC-03 |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 GV.SC-06 ANTE La planificación y la diligencia debida se realizan antes de iniciar relaciones formales con los proveedores. | Toma, investigación, evidencia, análisis, aprobación</w:t>
      </w:r>
      <w:r>
        <w:t xml:space="preserve"> </w:t>
      </w:r>
      <w:r>
        <w:t xml:space="preserve">| GV.SC-07 | Los riesgos de los proveedores se entienden, registran, priorizan, evalúan, tratan y supervisan a lo largo de la relación. |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w:t>
      </w:r>
      <w:r>
        <w:t xml:space="preserve"> </w:t>
      </w:r>
      <w:r>
        <w:t xml:space="preserve">|. |</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rPr>
          <w:bCs/>
          <w:b/>
        </w:rPr>
        <w:t xml:space="preserve">Publicación</w:t>
      </w:r>
      <w:r>
        <w:t xml:space="preserve"> </w:t>
      </w:r>
      <w:r>
        <w:t xml:space="preserve">|</w:t>
      </w:r>
    </w:p>
    <w:p>
      <w:pPr>
        <w:pStyle w:val="BodyText"/>
      </w:pPr>
      <w:r>
        <w:t xml:space="preserve">|. |</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 NIST SP 1305 | Usos NIST CSF 2.0 GV.SC para establecer y operar C-SCRM y comunicar los requisitos de los proveedores.</w:t>
      </w:r>
      <w:r>
        <w:t xml:space="preserve"> </w:t>
      </w:r>
      <w:r>
        <w:t xml:space="preserve">| NIST SP 1326 (final julio 8, 2026) | Consideraciones rápidas para evaluaciones de la diligencia debida del proveedor de TIC: FOCI, procedencia, resiliencia, prácticas cibernéticas fundamentales y cadenas de suministro. |</w:t>
      </w:r>
      <w:r>
        <w:t xml:space="preserve"> </w:t>
      </w:r>
      <w:r>
        <w:t xml:space="preserve">| NIST SP 800-18 Rev. 2 (final junio 30, 2026) |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 Servicios críticos y dependencias</w:t>
      </w:r>
      <w:r>
        <w:t xml:space="preserve"> </w:t>
      </w:r>
      <w:r>
        <w:t xml:space="preserve">TEN System TENED producto, servicio, arquitectura, controles y plan |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 |</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Silencioso</w:t>
            </w:r>
            <w:r>
              <w:t xml:space="preserve"> </w:t>
            </w:r>
            <w:r>
              <w:rPr>
                <w:bCs/>
                <w:b/>
              </w:rPr>
              <w:t xml:space="preserve">Framework / obligation</w:t>
            </w:r>
          </w:p>
        </w:tc>
      </w:tr>
      <w:tr>
        <w:tc>
          <w:tcPr/>
          <w:p>
            <w:pPr>
              <w:pStyle w:val="Compact"/>
              <w:jc w:val="left"/>
            </w:pPr>
            <w:r>
              <w:t xml:space="preserve">SOC 2</w:t>
            </w:r>
          </w:p>
        </w:tc>
      </w:tr>
      <w:tr>
        <w:tc>
          <w:tcPr/>
          <w:p>
            <w:pPr>
              <w:pStyle w:val="Compact"/>
              <w:jc w:val="left"/>
            </w:pPr>
            <w:r>
              <w:t xml:space="preserve">TEN ISO/IEC 27001:2022</w:t>
            </w:r>
          </w:p>
        </w:tc>
      </w:tr>
      <w:tr>
        <w:tc>
          <w:tcPr/>
          <w:p>
            <w:pPr>
              <w:pStyle w:val="Compact"/>
              <w:jc w:val="left"/>
            </w:pPr>
            <w:r>
              <w:t xml:space="preserve">PCI DSS v4.0.1</w:t>
            </w:r>
          </w:p>
        </w:tc>
      </w:tr>
      <w:tr>
        <w:tc>
          <w:tcPr/>
          <w:p>
            <w:pPr>
              <w:pStyle w:val="Compact"/>
              <w:jc w:val="left"/>
            </w:pPr>
            <w:r>
              <w:t xml:space="preserve">HIPAA</w:t>
            </w:r>
          </w:p>
        </w:tc>
      </w:tr>
      <w:tr>
        <w:tc>
          <w:tcPr/>
          <w:p>
            <w:pPr>
              <w:pStyle w:val="Compact"/>
              <w:jc w:val="left"/>
            </w:pPr>
            <w:r>
              <w:t xml:space="preserve">TENCIÓN GDPR</w:t>
            </w:r>
          </w:p>
        </w:tc>
      </w:tr>
    </w:tbl>
    <w:p>
      <w:pPr>
        <w:pStyle w:val="BodyText"/>
      </w:pP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 NIST CSF 2.0 |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Figura 9. Cadena de pruebas de evidencia</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Registre la fuente de la evidencia, la fecha, el propietario, la versión, el revisor y la ubicación protegida.</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 Métrico** |</w:t>
      </w:r>
      <w:r>
        <w:t xml:space="preserve"> </w:t>
      </w:r>
      <w:r>
        <w:rPr>
          <w:bCs/>
          <w:b/>
        </w:rPr>
        <w:t xml:space="preserve">Cálculo del ejemplo</w:t>
      </w:r>
      <w:r>
        <w:t xml:space="preserve"> </w:t>
      </w:r>
      <w:r>
        <w:t xml:space="preserve">|</w:t>
      </w:r>
      <w:r>
        <w:t xml:space="preserve"> </w:t>
      </w:r>
      <w:r>
        <w:rPr>
          <w:bCs/>
          <w:b/>
        </w:rPr>
        <w:t xml:space="preserve">Lo que puede revelar</w:t>
      </w:r>
      <w:r>
        <w:t xml:space="preserve"> </w:t>
      </w:r>
      <w:r>
        <w:t xml:space="preserve">|</w:t>
      </w:r>
    </w:p>
    <w:p>
      <w:pPr>
        <w:pStyle w:val="BodyText"/>
      </w:pPr>
      <w:r>
        <w:t xml:space="preserve">|…———————————————————— |</w:t>
      </w:r>
      <w:r>
        <w:t xml:space="preserve"> </w:t>
      </w:r>
      <w:r>
        <w:t xml:space="preserve">| Inventario propiedad | Proveedores con propietario válido ÷ proveedores activos | Relaciones con los huérfanos |</w:t>
      </w:r>
      <w:r>
        <w:t xml:space="preserve"> </w:t>
      </w:r>
      <w:r>
        <w:t xml:space="preserve">tención Evaluación cobertura | proveedores In-scope con evaluación completada actual ÷ proveedores in-scope</w:t>
      </w:r>
      <w:r>
        <w:t xml:space="preserve"> </w:t>
      </w:r>
      <w:r>
        <w:t xml:space="preserve">← Cobertura de contrato | proveedores de alto nivel con cláusulas requeridas</w:t>
      </w:r>
      <w:r>
        <w:t xml:space="preserve"> </w:t>
      </w:r>
      <w:r>
        <w:t xml:space="preserve">| Critical finding age | Días desde encontrar fecha hasta el cierre o hoy | Remediation delay tención</w:t>
      </w:r>
      <w:r>
        <w:t xml:space="preserve"> </w:t>
      </w:r>
      <w:r>
        <w:t xml:space="preserve">← Rendimiento de notificación de incidentes |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 |</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 |</w:t>
      </w:r>
      <w:r>
        <w:t xml:space="preserve"> </w:t>
      </w:r>
      <w:r>
        <w:t xml:space="preserve">| CISO Assistant |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 GUAC tóxico Graphing software supply-chain metadata |</w:t>
      </w:r>
      <w:r>
        <w:t xml:space="preserve"> </w:t>
      </w:r>
      <w:r>
        <w:t xml:space="preserve">TEN OSV-Scanner |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w:t>
      </w:r>
      <w:r>
        <w:t xml:space="preserve"> </w:t>
      </w:r>
      <w:r>
        <w:t xml:space="preserve">← Keycloak ← Identidad, roles, MFA, sesiones y eventos</w:t>
      </w:r>
      <w:r>
        <w:t xml:space="preserve"> </w:t>
      </w:r>
      <w:r>
        <w:t xml:space="preserve">| OWASP ZAP | Autorizado de las pruebas de la aplicación web</w:t>
      </w:r>
      <w:r>
        <w:t xml:space="preserve"> </w:t>
      </w:r>
      <w:r>
        <w:t xml:space="preserve">| Greenbone Community Edition | Evaluación de vulnerabilidad autorizada</w:t>
      </w:r>
      <w:r>
        <w:t xml:space="preserve"> </w:t>
      </w:r>
      <w:r>
        <w:t xml:space="preserve">| Nmap | Servicio autorizado y descubrimiento de activos</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w:t>
      </w:r>
      <w:r>
        <w:t xml:space="preserve"> </w:t>
      </w:r>
      <w:r>
        <w:t xml:space="preserve">|. |</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manual-de-tprm-para-gerentes"/>
    <w:p>
      <w:pPr>
        <w:pStyle w:val="Heading1"/>
      </w:pPr>
      <w:r>
        <w:t xml:space="preserve">25. Manual de TPRM para gerentes</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rPr>
          <w:bCs/>
          <w:b/>
        </w:rPr>
        <w:t xml:space="preserve">Área del panel</w:t>
      </w:r>
      <w:r>
        <w:t xml:space="preserve"> </w:t>
      </w:r>
      <w:r>
        <w:t xml:space="preserve">|</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 Evidencia | ¿Cubre el servicio y el período exactos? TENIDA La brecha material, excepción, alcance débil o informe final</w:t>
      </w:r>
      <w:r>
        <w:t xml:space="preserve"> </w:t>
      </w:r>
      <w:r>
        <w:t xml:space="preserve">TENSIONES FORMULADAS ¿Se han firmado requisitos materiales y se han aprobado desviaciones? | Cláusula crítica ausente o inaplicable</w:t>
      </w:r>
      <w:r>
        <w:t xml:space="preserve"> </w:t>
      </w:r>
      <w:r>
        <w:t xml:space="preserve">viv Findings |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w:t>
      </w:r>
      <w:r>
        <w:t xml:space="preserve"> </w:t>
      </w:r>
      <w:r>
        <w:t xml:space="preserve">|. |</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 |</w:t>
      </w:r>
      <w:r>
        <w:t xml:space="preserve"> </w:t>
      </w:r>
      <w:r>
        <w:t xml:space="preserve">← Lifecycle ← Registro del proveedor de la ingesta a través de la salida</w:t>
      </w:r>
      <w:r>
        <w:t xml:space="preserve"> </w:t>
      </w:r>
      <w:r>
        <w:t xml:space="preserve">← Evidencia | Anotado SOC 2/ISO / lista de verificación de revisión de la prueba mediante hechos sintéticos</w:t>
      </w:r>
      <w:r>
        <w:t xml:space="preserve"> </w:t>
      </w:r>
      <w:r>
        <w:t xml:space="preserve">| Tres evaluaciones basadas en escenarios con incertidumbre |</w:t>
      </w:r>
      <w:r>
        <w:t xml:space="preserve"> </w:t>
      </w:r>
      <w:r>
        <w:t xml:space="preserve">Ø Alfabetización técnica |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rPr>
          <w:bCs/>
          <w:b/>
        </w:rPr>
        <w:t xml:space="preserve">Artifact</w:t>
      </w:r>
      <w:r>
        <w:t xml:space="preserve"> </w:t>
      </w:r>
      <w:r>
        <w:t xml:space="preserve">| ** Lo que demuestra** |</w:t>
      </w:r>
    </w:p>
    <w:p>
      <w:pPr>
        <w:pStyle w:val="BodyText"/>
      </w:pPr>
      <w:r>
        <w:t xml:space="preserve">|. |</w:t>
      </w:r>
      <w:r>
        <w:t xml:space="preserve"> </w:t>
      </w:r>
      <w:r>
        <w:t xml:space="preserve">| inventario de proveedores y ordenamiento | Gestión y priorización de la población</w:t>
      </w:r>
      <w:r>
        <w:t xml:space="preserve"> </w:t>
      </w:r>
      <w:r>
        <w:t xml:space="preserve">tención Due-diligence memo ANTE Investigación, calidad de la evidencia y decisión razonada |</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w:t>
      </w:r>
      <w:r>
        <w:t xml:space="preserve"> </w:t>
      </w:r>
      <w:r>
        <w:t xml:space="preserve">Lista de verificación del contrato permanente Traducción del riesgo en requisitos ejecutables</w:t>
      </w:r>
      <w:r>
        <w:t xml:space="preserve"> </w:t>
      </w:r>
      <w:r>
        <w:t xml:space="preserve">TEN SBOM laboratorio | Componente de software y alfabetización de vulnerabilidad</w:t>
      </w:r>
      <w:r>
        <w:t xml:space="preserve"> </w:t>
      </w:r>
      <w:r>
        <w:t xml:space="preserve">tención Incident tabletop tención Rols, facts, communication, and improvement</w:t>
      </w:r>
      <w:r>
        <w:t xml:space="preserve"> </w:t>
      </w:r>
      <w:r>
        <w:t xml:space="preserve">← Exit test ¦ Resilience, portability, revocation, and deletion</w:t>
      </w:r>
      <w:r>
        <w:t xml:space="preserve"> </w:t>
      </w:r>
      <w:r>
        <w:t xml:space="preserve">tención Administrador dashboard |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1–3</w:t>
            </w:r>
          </w:p>
        </w:tc>
      </w:tr>
      <w:tr>
        <w:tc>
          <w:tcPr/>
          <w:p>
            <w:pPr>
              <w:pStyle w:val="Compact"/>
              <w:jc w:val="left"/>
            </w:pPr>
            <w:r>
              <w:t xml:space="preserve">4–6</w:t>
            </w:r>
          </w:p>
        </w:tc>
      </w:tr>
      <w:tr>
        <w:tc>
          <w:tcPr/>
          <w:p>
            <w:pPr>
              <w:pStyle w:val="Compact"/>
              <w:jc w:val="left"/>
            </w:pPr>
            <w:r>
              <w:t xml:space="preserve">7–10</w:t>
            </w:r>
          </w:p>
        </w:tc>
      </w:tr>
      <w:tr>
        <w:tc>
          <w:tcPr/>
          <w:p>
            <w:pPr>
              <w:pStyle w:val="Compact"/>
              <w:jc w:val="left"/>
            </w:pPr>
            <w:r>
              <w:t xml:space="preserve">TEN 11–13</w:t>
            </w:r>
          </w:p>
        </w:tc>
      </w:tr>
      <w:tr>
        <w:tc>
          <w:tcPr/>
          <w:p>
            <w:pPr>
              <w:pStyle w:val="Compact"/>
              <w:jc w:val="left"/>
            </w:pPr>
            <w:r>
              <w:t xml:space="preserve">TEN 14–16</w:t>
            </w:r>
          </w:p>
        </w:tc>
      </w:tr>
      <w:tr>
        <w:tc>
          <w:tcPr/>
          <w:p>
            <w:pPr>
              <w:pStyle w:val="Compact"/>
              <w:jc w:val="left"/>
            </w:pPr>
            <w:r>
              <w:t xml:space="preserve">TEN 17–19 ANTERIENTE Contratos, a bordo, monitoreando</w:t>
            </w:r>
          </w:p>
        </w:tc>
      </w:tr>
      <w:tr>
        <w:tc>
          <w:tcPr/>
          <w:p>
            <w:pPr>
              <w:pStyle w:val="Compact"/>
              <w:jc w:val="left"/>
            </w:pPr>
            <w:r>
              <w:t xml:space="preserve">TEN 20–22</w:t>
            </w:r>
          </w:p>
        </w:tc>
      </w:tr>
      <w:tr>
        <w:tc>
          <w:tcPr/>
          <w:p>
            <w:pPr>
              <w:pStyle w:val="Compact"/>
              <w:jc w:val="left"/>
            </w:pPr>
            <w:r>
              <w:t xml:space="preserve">TEN 23–25</w:t>
            </w:r>
          </w:p>
        </w:tc>
      </w:tr>
      <w:tr>
        <w:tc>
          <w:tcPr/>
          <w:p>
            <w:pPr>
              <w:pStyle w:val="Compact"/>
              <w:jc w:val="left"/>
            </w:pPr>
            <w:r>
              <w:t xml:space="preserve">26–27</w:t>
            </w:r>
          </w:p>
        </w:tc>
      </w:tr>
      <w:tr>
        <w:tc>
          <w:tcPr/>
          <w:p>
            <w:pPr>
              <w:pStyle w:val="Compact"/>
              <w:jc w:val="left"/>
            </w:pPr>
            <w:r>
              <w:t xml:space="preserve">TEN 28–30 TENIDA Metrics, portafolio, entrevista</w:t>
            </w:r>
          </w:p>
        </w:tc>
      </w:tr>
    </w:tbl>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 |</w:t>
      </w:r>
      <w:r>
        <w:t xml:space="preserve"> </w:t>
      </w:r>
      <w:r>
        <w:t xml:space="preserve">|… |</w:t>
      </w:r>
      <w:r>
        <w:t xml:space="preserve"> </w:t>
      </w:r>
      <w:r>
        <w:t xml:space="preserve">| Nombre legal / servicio |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 |</w:t>
      </w:r>
      <w:r>
        <w:t xml:space="preserve"> </w:t>
      </w:r>
      <w:r>
        <w:t xml:space="preserve">|. |</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 FOCI |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                                                                                                                          </w:t>
      </w:r>
      <w:r>
        <w:t xml:space="preserve"> </w:t>
      </w:r>
      <w:r>
        <w:t xml:space="preserve">| CONCLUSIÓN / Aprobador / expiración                           |</w:t>
      </w:r>
    </w:p>
    <w:bookmarkEnd w:id="106"/>
    <w:bookmarkStart w:id="107" w:name="assurance-review"/>
    <w:p>
      <w:pPr>
        <w:pStyle w:val="Heading2"/>
      </w:pPr>
      <w:r>
        <w:t xml:space="preserve">30.3 Assurance review</w:t>
      </w:r>
    </w:p>
    <w:p>
      <w:pPr>
        <w:pStyle w:val="FirstParagraph"/>
      </w:pPr>
      <w:r>
        <w:t xml:space="preserve">|** |</w:t>
      </w:r>
      <w:r>
        <w:t xml:space="preserve"> </w:t>
      </w:r>
      <w:r>
        <w:t xml:space="preserve">|… |</w:t>
      </w:r>
      <w:r>
        <w:t xml:space="preserve"> </w:t>
      </w:r>
      <w:r>
        <w:t xml:space="preserve">| Artifact / issuer / date TEN                              |</w:t>
      </w:r>
      <w:r>
        <w:t xml:space="preserve"> </w:t>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                                                                                                                            </w:t>
      </w:r>
      <w:r>
        <w:t xml:space="preserve"> </w:t>
      </w:r>
      <w:r>
        <w:t xml:space="preserve">TENIDOS DE LAS CUESTIONES DEL cliente |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 |</w:t>
      </w:r>
      <w:r>
        <w:t xml:space="preserve"> </w:t>
      </w:r>
      <w:r>
        <w:t xml:space="preserve">|… |</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 Cause / uncertainty |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 |</w:t>
      </w:r>
      <w:r>
        <w:t xml:space="preserve"> </w:t>
      </w:r>
      <w:r>
        <w:t xml:space="preserve">|… |</w:t>
      </w:r>
      <w:r>
        <w:t xml:space="preserve"> </w:t>
      </w:r>
      <w:r>
        <w:t xml:space="preserve">| Attestation |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 Exposición creada cuando varios servicios críticos dependen del mismo proveedor, lugar, tecnología o recurso.</w:t>
      </w:r>
      <w:r>
        <w:t xml:space="preserve"> </w:t>
      </w:r>
      <w:r>
        <w:t xml:space="preserve">TEN CUEC | Control complementario de la entidad de usuario: se espera que el cliente realice un control para alcanzar los objetivos del informe. |</w:t>
      </w:r>
      <w:r>
        <w:t xml:space="preserve"> </w:t>
      </w:r>
      <w:r>
        <w:t xml:space="preserve">tención debida diligencia | Investigación investigativa de la información pertinente del proveedor o producto para una decisión informada. |</w:t>
      </w:r>
      <w:r>
        <w:t xml:space="preserve"> </w:t>
      </w:r>
      <w:r>
        <w:t xml:space="preserve">| Primera parte La organización que gestiona su propio riesgo. |</w:t>
      </w:r>
      <w:r>
        <w:t xml:space="preserve"> </w:t>
      </w:r>
      <w:r>
        <w:t xml:space="preserve">TEN FOCI | La propiedad, el control o la influencia extranjeras. |</w:t>
      </w:r>
      <w:r>
        <w:t xml:space="preserve"> </w:t>
      </w:r>
      <w:r>
        <w:t xml:space="preserve">| Cuarta Parte | Un proveedor o dependencia utilizado por el tercero de la organización. |</w:t>
      </w:r>
      <w:r>
        <w:t xml:space="preserve"> </w:t>
      </w:r>
      <w:r>
        <w:t xml:space="preserve">tención Riesgo hereditario tención riesgo antes de considerar controles o tratamiento. |</w:t>
      </w:r>
      <w:r>
        <w:t xml:space="preserve"> </w:t>
      </w:r>
      <w:r>
        <w:t xml:space="preserve">← Provenencia | Origen rastreable e historia de un producto, componente, código, datos o proceso.</w:t>
      </w:r>
      <w:r>
        <w:t xml:space="preserve"> </w:t>
      </w:r>
      <w:r>
        <w:t xml:space="preserve">| Riesgo residual | El riesgo permanece después del tratamiento.</w:t>
      </w:r>
      <w:r>
        <w:t xml:space="preserve"> </w:t>
      </w:r>
      <w:r>
        <w:t xml:space="preserve">tención de riesgo | Cantidad y tipo de riesgo que una organización está dispuesta a perseguir o retener. |</w:t>
      </w:r>
      <w:r>
        <w:t xml:space="preserve"> </w:t>
      </w:r>
      <w:r>
        <w:t xml:space="preserve">TEN SBOM | Proyecto de ley de materiales: un inventario de componentes estructurado.</w:t>
      </w:r>
      <w:r>
        <w:t xml:space="preserve"> </w:t>
      </w:r>
      <w:r>
        <w:t xml:space="preserve">| Subprocesador | Una parte comprometida por un procesador para procesar datos personales. |</w:t>
      </w:r>
      <w:r>
        <w:t xml:space="preserve"> </w:t>
      </w:r>
      <w:r>
        <w:t xml:space="preserve">| Una organización externa, producto, servicio o persona que apoye a la organización. |</w:t>
      </w:r>
      <w:r>
        <w:t xml:space="preserve"> </w:t>
      </w:r>
      <w:r>
        <w:t xml:space="preserve">TENER TPRM |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 |</w:t>
      </w:r>
      <w:r>
        <w:t xml:space="preserve"> </w:t>
      </w:r>
      <w:r>
        <w:t xml:space="preserve">Silenciosos vendedores de inteligencia artificial</w:t>
      </w:r>
      <w:r>
        <w:t xml:space="preserve"> </w:t>
      </w:r>
      <w:r>
        <w:t xml:space="preserve">| Nube / SaaS |</w:t>
      </w:r>
      <w:r>
        <w:t xml:space="preserve"> </w:t>
      </w:r>
      <w:r>
        <w:t xml:space="preserve">Silencioso Concentración</w:t>
      </w:r>
      <w:r>
        <w:t xml:space="preserve"> </w:t>
      </w:r>
      <w:r>
        <w:t xml:space="preserve">| LOS CONTRATOS | 9, 30</w:t>
      </w:r>
      <w:r>
        <w:t xml:space="preserve"> </w:t>
      </w:r>
      <w:r>
        <w:t xml:space="preserve">Silencioso</w:t>
      </w:r>
      <w:r>
        <w:t xml:space="preserve"> </w:t>
      </w:r>
      <w:r>
        <w:t xml:space="preserve">Evidencia en la vida 7, 23</w:t>
      </w:r>
      <w:r>
        <w:t xml:space="preserve"> </w:t>
      </w:r>
      <w:r>
        <w:t xml:space="preserve">← Exit | 19, 30</w:t>
      </w:r>
      <w:r>
        <w:t xml:space="preserve"> </w:t>
      </w:r>
      <w:r>
        <w:t xml:space="preserve">| cuartos de las partes |</w:t>
      </w:r>
      <w:r>
        <w:t xml:space="preserve"> </w:t>
      </w:r>
      <w:r>
        <w:t xml:space="preserve">Silenciosos incidentes</w:t>
      </w:r>
      <w:r>
        <w:t xml:space="preserve"> </w:t>
      </w:r>
      <w:r>
        <w:t xml:space="preserve">| Inventario / Tiering | 4</w:t>
      </w:r>
      <w:r>
        <w:t xml:space="preserve"> </w:t>
      </w:r>
      <w:r>
        <w:t xml:space="preserve">Silencioso analista junior</w:t>
      </w:r>
      <w:r>
        <w:t xml:space="preserve"> </w:t>
      </w:r>
      <w:r>
        <w:t xml:space="preserve">TENCIÓN TERRITORIO | 23, 25 ANTE</w:t>
      </w:r>
      <w:r>
        <w:t xml:space="preserve"> </w:t>
      </w:r>
      <w:r>
        <w:t xml:space="preserve">| NIST CSF GV.SC | 20 |</w:t>
      </w:r>
      <w:r>
        <w:t xml:space="preserve"> </w:t>
      </w:r>
      <w:r>
        <w:t xml:space="preserve">TEN TERRITORIO NIST SP 1326 Silencioso 6, 21</w:t>
      </w:r>
      <w:r>
        <w:t xml:space="preserve"> </w:t>
      </w:r>
      <w:r>
        <w:t xml:space="preserve">| Herramientas de código abierto | 24 |</w:t>
      </w:r>
      <w:r>
        <w:t xml:space="preserve"> </w:t>
      </w:r>
      <w:r>
        <w:t xml:space="preserve">confidencialidad | 18</w:t>
      </w:r>
      <w:r>
        <w:t xml:space="preserve"> </w:t>
      </w:r>
      <w:r>
        <w:t xml:space="preserve">| ANTERIOR DE PRESUPUESTO |</w:t>
      </w:r>
      <w:r>
        <w:t xml:space="preserve"> </w:t>
      </w:r>
      <w:r>
        <w:t xml:space="preserve">| SBOM / software | 16, 24 |</w:t>
      </w:r>
      <w:r>
        <w:t xml:space="preserve"> </w:t>
      </w:r>
      <w:r>
        <w:t xml:space="preserve">| SOC 2 / ISO evidencia | 7 |</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w:t>
      </w:r>
    </w:p>
    <w:p>
      <w:pPr>
        <w:pStyle w:val="BodyText"/>
      </w:pPr>
      <w:r>
        <w:t xml:space="preserve">|. |</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2026-07-31T02:59:26Z</dcterms:created>
  <dcterms:modified xsi:type="dcterms:W3CDTF">2026-07-31T02:59:26Z</dcterms:modified>
</cp:coreProperties>
</file>

<file path=docProps/custom.xml><?xml version="1.0" encoding="utf-8"?>
<Properties xmlns="http://schemas.openxmlformats.org/officeDocument/2006/custom-properties" xmlns:vt="http://schemas.openxmlformats.org/officeDocument/2006/docPropsVTypes"/>
</file>