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28 — AI Privacy &amp; Automated Decision Governance Controlled Implementation</w:t>
      </w:r>
    </w:p>
    <w:p>
      <w:pPr>
        <w:spacing w:after="120"/>
      </w:pPr>
      <w:r>
        <w:t>Controlled English project source. This manual operationalizes governance and evidence controls; it does not provide legal advice and does not treat voluntary guidance as law. Jurisdiction-specific obligations must be validated for each deployment and use case.</w:t>
      </w:r>
    </w:p>
    <w:p>
      <w:pPr>
        <w:pStyle w:val="Heading2"/>
      </w:pPr>
      <w:r>
        <w:t>01. Purpose, scope, and controlled-use boundary</w:t>
      </w:r>
    </w:p>
    <w:p>
      <w:pPr>
        <w:spacing w:after="120"/>
      </w:pPr>
      <w:r>
        <w:t>**Source layer:** NIST Privacy Framework 1.0, NIST AI RMF 1.0, internal governance, and applicable legal overlays.</w:t>
      </w:r>
    </w:p>
    <w:p>
      <w:pPr>
        <w:spacing w:after="120"/>
      </w:pPr>
      <w:r>
        <w:t>**Applicability:** AI-assisted, algorithmic, profiling, and automated decision systems that process personal or person-linked data or materially affect individuals.</w:t>
      </w:r>
    </w:p>
    <w:p>
      <w:pPr>
        <w:spacing w:after="120"/>
      </w:pPr>
      <w:r>
        <w:t>**Owner:** AI governance lead with privacy/legal, security, product, and business owners.</w:t>
      </w:r>
    </w:p>
    <w:p>
      <w:pPr>
        <w:spacing w:after="120"/>
      </w:pPr>
      <w:r>
        <w:t>**Procedure:** Define system scope, affected populations, decision role, personal-data use, legal jurisdictions, excluded uses, and controlled implementation objectives before deployment.</w:t>
      </w:r>
    </w:p>
    <w:p>
      <w:pPr>
        <w:spacing w:after="120"/>
      </w:pPr>
      <w:r>
        <w:t>**Evidence:** Approved scope record, system identifier, accountable owners, jurisdiction map, and release boundary.</w:t>
      </w:r>
    </w:p>
    <w:p>
      <w:pPr>
        <w:spacing w:after="120"/>
      </w:pPr>
      <w:r>
        <w:t>**Review/test:** Confirm scope matches production behavior and data flows.</w:t>
      </w:r>
    </w:p>
    <w:p>
      <w:pPr>
        <w:spacing w:after="120"/>
      </w:pPr>
      <w:r>
        <w:t>**Remediation/reassessment:** Correct scope gaps and reassess after material use, jurisdiction, model, or data changes.</w:t>
      </w:r>
    </w:p>
    <w:p>
      <w:pPr>
        <w:pStyle w:val="Heading2"/>
      </w:pPr>
      <w:r>
        <w:t>02. Source hierarchy, jurisdiction, and change watch</w:t>
      </w:r>
    </w:p>
    <w:p>
      <w:pPr>
        <w:spacing w:after="120"/>
      </w:pPr>
      <w:r>
        <w:t>**Source layer:** Applicable law/regulation; regulator guidance; contracts; NIST PF/AI RMF; internal policy and standards.</w:t>
      </w:r>
    </w:p>
    <w:p>
      <w:pPr>
        <w:spacing w:after="120"/>
      </w:pPr>
      <w:r>
        <w:t>**Applicability:** Every system governed by this manual.</w:t>
      </w:r>
    </w:p>
    <w:p>
      <w:pPr>
        <w:spacing w:after="120"/>
      </w:pPr>
      <w:r>
        <w:t>**Owner:** Legal/privacy with AI governance and compliance.</w:t>
      </w:r>
    </w:p>
    <w:p>
      <w:pPr>
        <w:spacing w:after="120"/>
      </w:pPr>
      <w:r>
        <w:t>**Procedure:** Maintain a source register that distinguishes binding obligations from voluntary guidance and tracks draft or superseding material separately.</w:t>
      </w:r>
    </w:p>
    <w:p>
      <w:pPr>
        <w:spacing w:after="120"/>
      </w:pPr>
      <w:r>
        <w:t>**Evidence:** Source register, version/date, authority, applicability rationale, and change-watch log.</w:t>
      </w:r>
    </w:p>
    <w:p>
      <w:pPr>
        <w:spacing w:after="120"/>
      </w:pPr>
      <w:r>
        <w:t>**Review/test:** Verify source status immediately before candidate freeze and after material regulatory change.</w:t>
      </w:r>
    </w:p>
    <w:p>
      <w:pPr>
        <w:spacing w:after="120"/>
      </w:pPr>
      <w:r>
        <w:t>**Remediation/reassessment:** Update mappings and controls without retroactively treating drafts as binding.</w:t>
      </w:r>
    </w:p>
    <w:p>
      <w:pPr>
        <w:pStyle w:val="Heading2"/>
      </w:pPr>
      <w:r>
        <w:t>03. AI/ADM system inventory and ownership</w:t>
      </w:r>
    </w:p>
    <w:p>
      <w:pPr>
        <w:spacing w:after="120"/>
      </w:pPr>
      <w:r>
        <w:t>**Source layer:** NIST inventory/accountability concepts and internal asset governance.</w:t>
      </w:r>
    </w:p>
    <w:p>
      <w:pPr>
        <w:spacing w:after="120"/>
      </w:pPr>
      <w:r>
        <w:t>**Applicability:** Production, pilot, embedded, purchased, API-based, and shadow AI/ADM uses.</w:t>
      </w:r>
    </w:p>
    <w:p>
      <w:pPr>
        <w:spacing w:after="120"/>
      </w:pPr>
      <w:r>
        <w:t>**Owner:** Business system owner and AI governance.</w:t>
      </w:r>
    </w:p>
    <w:p>
      <w:pPr>
        <w:spacing w:after="120"/>
      </w:pPr>
      <w:r>
        <w:t>**Procedure:** Maintain authoritative inventory entries for purpose, model/provider, data domains, decision role, environments, users, affected individuals, and accountable owners.</w:t>
      </w:r>
    </w:p>
    <w:p>
      <w:pPr>
        <w:spacing w:after="120"/>
      </w:pPr>
      <w:r>
        <w:t>**Evidence:** Inventory record, lifecycle state, business owner, technical owner, privacy owner, and review date.</w:t>
      </w:r>
    </w:p>
    <w:p>
      <w:pPr>
        <w:spacing w:after="120"/>
      </w:pPr>
      <w:r>
        <w:t>**Review/test:** Reconcile inventory against procurement, APIs, cloud accounts, model registries, and data platforms.</w:t>
      </w:r>
    </w:p>
    <w:p>
      <w:pPr>
        <w:spacing w:after="120"/>
      </w:pPr>
      <w:r>
        <w:t>**Remediation/reassessment:** Register untracked systems and escalate unauthorized uses.</w:t>
      </w:r>
    </w:p>
    <w:p>
      <w:pPr>
        <w:pStyle w:val="Heading2"/>
      </w:pPr>
      <w:r>
        <w:t>04. Decision taxonomy and consequence classification</w:t>
      </w:r>
    </w:p>
    <w:p>
      <w:pPr>
        <w:spacing w:after="120"/>
      </w:pPr>
      <w:r>
        <w:t>**Source layer:** Internal risk taxonomy informed by NIST risk framing and applicable legal definitions.</w:t>
      </w:r>
    </w:p>
    <w:p>
      <w:pPr>
        <w:spacing w:after="120"/>
      </w:pPr>
      <w:r>
        <w:t>**Applicability:** Any system influencing a decision about an individual.</w:t>
      </w:r>
    </w:p>
    <w:p>
      <w:pPr>
        <w:spacing w:after="120"/>
      </w:pPr>
      <w:r>
        <w:t>**Owner:** Product/business owner with privacy/legal and AI risk.</w:t>
      </w:r>
    </w:p>
    <w:p>
      <w:pPr>
        <w:spacing w:after="120"/>
      </w:pPr>
      <w:r>
        <w:t>**Procedure:** Classify the system as assistive, recommendatory, automated, or consequential and document whether humans can meaningfully alter the outcome.</w:t>
      </w:r>
    </w:p>
    <w:p>
      <w:pPr>
        <w:spacing w:after="120"/>
      </w:pPr>
      <w:r>
        <w:t>**Evidence:** Decision taxonomy record, consequence rating, human-role description, and legal-definition crosswalk where applicable.</w:t>
      </w:r>
    </w:p>
    <w:p>
      <w:pPr>
        <w:spacing w:after="120"/>
      </w:pPr>
      <w:r>
        <w:t>**Review/test:** Test actual workflow behavior against the declared classification.</w:t>
      </w:r>
    </w:p>
    <w:p>
      <w:pPr>
        <w:spacing w:after="120"/>
      </w:pPr>
      <w:r>
        <w:t>**Remediation/reassessment:** Reclassify if automation, reliance, or consequence changes.</w:t>
      </w:r>
    </w:p>
    <w:p>
      <w:pPr>
        <w:pStyle w:val="Heading2"/>
      </w:pPr>
      <w:r>
        <w:t>05. Data-flow and model-flow lineage</w:t>
      </w:r>
    </w:p>
    <w:p>
      <w:pPr>
        <w:spacing w:after="120"/>
      </w:pPr>
      <w:r>
        <w:t>**Source layer:** NIST privacy engineering/data governance guidance and internal architecture controls.</w:t>
      </w:r>
    </w:p>
    <w:p>
      <w:pPr>
        <w:spacing w:after="120"/>
      </w:pPr>
      <w:r>
        <w:t>**Applicability:** Training, evaluation, inference, enrichment, feedback, and decision data flows.</w:t>
      </w:r>
    </w:p>
    <w:p>
      <w:pPr>
        <w:spacing w:after="120"/>
      </w:pPr>
      <w:r>
        <w:t>**Owner:** Data architect/engineer with privacy and model owner.</w:t>
      </w:r>
    </w:p>
    <w:p>
      <w:pPr>
        <w:spacing w:after="120"/>
      </w:pPr>
      <w:r>
        <w:t>**Procedure:** Map sources, transformations, features, model calls, outputs, recipients, stores, transfers, and feedback loops.</w:t>
      </w:r>
    </w:p>
    <w:p>
      <w:pPr>
        <w:spacing w:after="120"/>
      </w:pPr>
      <w:r>
        <w:t>**Evidence:** Data-flow diagram, model-flow diagram, lineage records, interface inventory, and transfer map.</w:t>
      </w:r>
    </w:p>
    <w:p>
      <w:pPr>
        <w:spacing w:after="120"/>
      </w:pPr>
      <w:r>
        <w:t>**Review/test:** Trace representative records end to end.</w:t>
      </w:r>
    </w:p>
    <w:p>
      <w:pPr>
        <w:spacing w:after="120"/>
      </w:pPr>
      <w:r>
        <w:t>**Remediation/reassessment:** Correct undocumented flows and reassess after pipeline changes.</w:t>
      </w:r>
    </w:p>
    <w:p>
      <w:pPr>
        <w:pStyle w:val="Heading2"/>
      </w:pPr>
      <w:r>
        <w:t>06. Purpose specification and use limitation</w:t>
      </w:r>
    </w:p>
    <w:p>
      <w:pPr>
        <w:spacing w:after="120"/>
      </w:pPr>
      <w:r>
        <w:t>**Source layer:** Privacy-governance principles, contracts, applicable legal requirements, and internal policy.</w:t>
      </w:r>
    </w:p>
    <w:p>
      <w:pPr>
        <w:spacing w:after="120"/>
      </w:pPr>
      <w:r>
        <w:t>**Applicability:** Personal-data collection, reuse, inference, and decision processing.</w:t>
      </w:r>
    </w:p>
    <w:p>
      <w:pPr>
        <w:spacing w:after="120"/>
      </w:pPr>
      <w:r>
        <w:t>**Owner:** Business owner with privacy/legal.</w:t>
      </w:r>
    </w:p>
    <w:p>
      <w:pPr>
        <w:spacing w:after="120"/>
      </w:pPr>
      <w:r>
        <w:t>**Procedure:** Record approved purposes, compatible uses, prohibited uses, secondary-use review triggers, and decision boundaries.</w:t>
      </w:r>
    </w:p>
    <w:p>
      <w:pPr>
        <w:spacing w:after="120"/>
      </w:pPr>
      <w:r>
        <w:t>**Evidence:** Purpose register, approved use cases, prohibited-use list, and exception approvals.</w:t>
      </w:r>
    </w:p>
    <w:p>
      <w:pPr>
        <w:spacing w:after="120"/>
      </w:pPr>
      <w:r>
        <w:t>**Review/test:** Compare actual features, prompts, analytics, and downstream uses with approved purposes.</w:t>
      </w:r>
    </w:p>
    <w:p>
      <w:pPr>
        <w:spacing w:after="120"/>
      </w:pPr>
      <w:r>
        <w:t>**Remediation/reassessment:** Stop or remediate incompatible use and reassess before expansion.</w:t>
      </w:r>
    </w:p>
    <w:p>
      <w:pPr>
        <w:pStyle w:val="Heading2"/>
      </w:pPr>
      <w:r>
        <w:t>07. Training and evaluation data governance</w:t>
      </w:r>
    </w:p>
    <w:p>
      <w:pPr>
        <w:spacing w:after="120"/>
      </w:pPr>
      <w:r>
        <w:t>**Source layer:** NIST AI RMF, privacy/data governance controls, contracts, and applicable law.</w:t>
      </w:r>
    </w:p>
    <w:p>
      <w:pPr>
        <w:spacing w:after="120"/>
      </w:pPr>
      <w:r>
        <w:t>**Applicability:** Data used to train, fine-tune, evaluate, calibrate, or benchmark models.</w:t>
      </w:r>
    </w:p>
    <w:p>
      <w:pPr>
        <w:spacing w:after="120"/>
      </w:pPr>
      <w:r>
        <w:t>**Owner:** Model/data owner with privacy, security, and legal.</w:t>
      </w:r>
    </w:p>
    <w:p>
      <w:pPr>
        <w:spacing w:after="120"/>
      </w:pPr>
      <w:r>
        <w:t>**Procedure:** Document provenance, authorization, representativeness, sensitivity, retention, quality, exclusions, and allowed model uses.</w:t>
      </w:r>
    </w:p>
    <w:p>
      <w:pPr>
        <w:spacing w:after="120"/>
      </w:pPr>
      <w:r>
        <w:t>**Evidence:** Dataset cards, provenance records, licenses/contracts, quality tests, approvals, and deletion obligations.</w:t>
      </w:r>
    </w:p>
    <w:p>
      <w:pPr>
        <w:spacing w:after="120"/>
      </w:pPr>
      <w:r>
        <w:t>**Review/test:** Sample source records and verify permissions and declared uses.</w:t>
      </w:r>
    </w:p>
    <w:p>
      <w:pPr>
        <w:spacing w:after="120"/>
      </w:pPr>
      <w:r>
        <w:t>**Remediation/reassessment:** Remove or replace noncompliant data and retrain/retest where impact is material.</w:t>
      </w:r>
    </w:p>
    <w:p>
      <w:pPr>
        <w:pStyle w:val="Heading2"/>
      </w:pPr>
      <w:r>
        <w:t>08. Sensitive and inferred-data governance</w:t>
      </w:r>
    </w:p>
    <w:p>
      <w:pPr>
        <w:spacing w:after="120"/>
      </w:pPr>
      <w:r>
        <w:t>**Source layer:** Applicable privacy/sector law, regulator guidance, and internal data classification.</w:t>
      </w:r>
    </w:p>
    <w:p>
      <w:pPr>
        <w:spacing w:after="120"/>
      </w:pPr>
      <w:r>
        <w:t>**Applicability:** Sensitive identifiers, health, finance, biometrics, precise location, children’s data, protected traits where regulated, and sensitive inferences.</w:t>
      </w:r>
    </w:p>
    <w:p>
      <w:pPr>
        <w:spacing w:after="120"/>
      </w:pPr>
      <w:r>
        <w:t>**Owner:** Privacy/legal with data owner and AI governance.</w:t>
      </w:r>
    </w:p>
    <w:p>
      <w:pPr>
        <w:spacing w:after="120"/>
      </w:pPr>
      <w:r>
        <w:t>**Procedure:** Identify sensitive inputs and inferences, apply stronger access/minimization controls, and document jurisdiction-specific restrictions.</w:t>
      </w:r>
    </w:p>
    <w:p>
      <w:pPr>
        <w:spacing w:after="120"/>
      </w:pPr>
      <w:r>
        <w:t>**Evidence:** Sensitive-data register, inference inventory, access rules, masking controls, and applicability analysis.</w:t>
      </w:r>
    </w:p>
    <w:p>
      <w:pPr>
        <w:spacing w:after="120"/>
      </w:pPr>
      <w:r>
        <w:t>**Review/test:** Inspect model features and outputs for undeclared sensitive inferences.</w:t>
      </w:r>
    </w:p>
    <w:p>
      <w:pPr>
        <w:spacing w:after="120"/>
      </w:pPr>
      <w:r>
        <w:t>**Remediation/reassessment:** Suppress, restrict, or redesign processing and reassess legal basis and risk.</w:t>
      </w:r>
    </w:p>
    <w:p>
      <w:pPr>
        <w:pStyle w:val="Heading2"/>
      </w:pPr>
      <w:r>
        <w:t>09. Privacy risk and harms assessment</w:t>
      </w:r>
    </w:p>
    <w:p>
      <w:pPr>
        <w:spacing w:after="120"/>
      </w:pPr>
      <w:r>
        <w:t>**Source layer:** NIST Privacy Framework/NIST privacy engineering and applicable assessment duties.</w:t>
      </w:r>
    </w:p>
    <w:p>
      <w:pPr>
        <w:spacing w:after="120"/>
      </w:pPr>
      <w:r>
        <w:t>**Applicability:** Systems that create material privacy, autonomy, economic, reputational, safety, or surveillance risks.</w:t>
      </w:r>
    </w:p>
    <w:p>
      <w:pPr>
        <w:spacing w:after="120"/>
      </w:pPr>
      <w:r>
        <w:t>**Owner:** Privacy risk owner with AI governance and business owner.</w:t>
      </w:r>
    </w:p>
    <w:p>
      <w:pPr>
        <w:spacing w:after="120"/>
      </w:pPr>
      <w:r>
        <w:t>**Procedure:** Identify affected individuals, harmful data actions, likelihood, severity, scale, reversibility, mitigations, and residual risk.</w:t>
      </w:r>
    </w:p>
    <w:p>
      <w:pPr>
        <w:spacing w:after="120"/>
      </w:pPr>
      <w:r>
        <w:t>**Evidence:** Privacy risk assessment, harm scenarios, treatment plan, residual-risk acceptance, and review date.</w:t>
      </w:r>
    </w:p>
    <w:p>
      <w:pPr>
        <w:spacing w:after="120"/>
      </w:pPr>
      <w:r>
        <w:t>**Review/test:** Challenge assumptions with representative scenarios and affected-population perspectives where practicable.</w:t>
      </w:r>
    </w:p>
    <w:p>
      <w:pPr>
        <w:spacing w:after="120"/>
      </w:pPr>
      <w:r>
        <w:t>**Remediation/reassessment:** Implement additional controls or stop use where residual risk exceeds tolerance.</w:t>
      </w:r>
    </w:p>
    <w:p>
      <w:pPr>
        <w:pStyle w:val="Heading2"/>
      </w:pPr>
      <w:r>
        <w:t>10. DPIA and AI-impact-assessment interfaces</w:t>
      </w:r>
    </w:p>
    <w:p>
      <w:pPr>
        <w:spacing w:after="120"/>
      </w:pPr>
      <w:r>
        <w:t>**Source layer:** Applicable jurisdictional assessment requirements plus internal AI/privacy risk methods.</w:t>
      </w:r>
    </w:p>
    <w:p>
      <w:pPr>
        <w:spacing w:after="120"/>
      </w:pPr>
      <w:r>
        <w:t>**Applicability:** Uses meeting legal or internal thresholds for formal impact assessment.</w:t>
      </w:r>
    </w:p>
    <w:p>
      <w:pPr>
        <w:spacing w:after="120"/>
      </w:pPr>
      <w:r>
        <w:t>**Owner:** Privacy/legal and AI governance.</w:t>
      </w:r>
    </w:p>
    <w:p>
      <w:pPr>
        <w:spacing w:after="120"/>
      </w:pPr>
      <w:r>
        <w:t>**Procedure:** Determine whether a DPIA, AI impact assessment, algorithmic impact assessment, or equivalent review is required and avoid assuming one assessment satisfies another jurisdiction automatically.</w:t>
      </w:r>
    </w:p>
    <w:p>
      <w:pPr>
        <w:spacing w:after="120"/>
      </w:pPr>
      <w:r>
        <w:t>**Evidence:** Threshold analysis, completed assessments, approvals, consultation records, and residual-risk decisions.</w:t>
      </w:r>
    </w:p>
    <w:p>
      <w:pPr>
        <w:spacing w:after="120"/>
      </w:pPr>
      <w:r>
        <w:t>**Review/test:** Verify assessment scope covers actual system, data, people, and decision context.</w:t>
      </w:r>
    </w:p>
    <w:p>
      <w:pPr>
        <w:spacing w:after="120"/>
      </w:pPr>
      <w:r>
        <w:t>**Remediation/reassessment:** Reopen assessments after material model, purpose, population, data, or deployment changes.</w:t>
      </w:r>
    </w:p>
    <w:p>
      <w:pPr>
        <w:pStyle w:val="Heading2"/>
      </w:pPr>
      <w:r>
        <w:t>11. Automated-decision applicability analysis</w:t>
      </w:r>
    </w:p>
    <w:p>
      <w:pPr>
        <w:spacing w:after="120"/>
      </w:pPr>
      <w:r>
        <w:t>**Source layer:** Jurisdiction-specific automated-decision/profiling law and regulator guidance.</w:t>
      </w:r>
    </w:p>
    <w:p>
      <w:pPr>
        <w:spacing w:after="120"/>
      </w:pPr>
      <w:r>
        <w:t>**Applicability:** Decisions made or materially influenced by automated processing.</w:t>
      </w:r>
    </w:p>
    <w:p>
      <w:pPr>
        <w:spacing w:after="120"/>
      </w:pPr>
      <w:r>
        <w:t>**Owner:** Legal/privacy with business process owner.</w:t>
      </w:r>
    </w:p>
    <w:p>
      <w:pPr>
        <w:spacing w:after="120"/>
      </w:pPr>
      <w:r>
        <w:t>**Procedure:** Determine applicable definitions, exclusions, consequence thresholds, notice, rights, human-review, testing, and documentation duties for each jurisdiction/use case.</w:t>
      </w:r>
    </w:p>
    <w:p>
      <w:pPr>
        <w:spacing w:after="120"/>
      </w:pPr>
      <w:r>
        <w:t>**Evidence:** Applicability matrix, legal review record, system classification, and control mapping.</w:t>
      </w:r>
    </w:p>
    <w:p>
      <w:pPr>
        <w:spacing w:after="120"/>
      </w:pPr>
      <w:r>
        <w:t>**Review/test:** Compare actual workflow automation and human discretion with the analysis.</w:t>
      </w:r>
    </w:p>
    <w:p>
      <w:pPr>
        <w:spacing w:after="120"/>
      </w:pPr>
      <w:r>
        <w:t>**Remediation/reassessment:** Update controls when automation or legal scope changes.</w:t>
      </w:r>
    </w:p>
    <w:p>
      <w:pPr>
        <w:pStyle w:val="Heading2"/>
      </w:pPr>
      <w:r>
        <w:t>12. Profiling and personalization governance</w:t>
      </w:r>
    </w:p>
    <w:p>
      <w:pPr>
        <w:spacing w:after="120"/>
      </w:pPr>
      <w:r>
        <w:t>**Source layer:** Applicable privacy/consumer-protection rules and internal analytics governance.</w:t>
      </w:r>
    </w:p>
    <w:p>
      <w:pPr>
        <w:spacing w:after="120"/>
      </w:pPr>
      <w:r>
        <w:t>**Applicability:** Behavioral prediction, segmentation, ranking, recommendation, targeting, and personalization involving individuals.</w:t>
      </w:r>
    </w:p>
    <w:p>
      <w:pPr>
        <w:spacing w:after="120"/>
      </w:pPr>
      <w:r>
        <w:t>**Owner:** Product/business owner with privacy and data governance.</w:t>
      </w:r>
    </w:p>
    <w:p>
      <w:pPr>
        <w:spacing w:after="120"/>
      </w:pPr>
      <w:r>
        <w:t>**Procedure:** Document profiling purpose, inputs, inferred attributes, recipients, consequence level, opt-out/rights interfaces where applicable, and prohibited profiles.</w:t>
      </w:r>
    </w:p>
    <w:p>
      <w:pPr>
        <w:spacing w:after="120"/>
      </w:pPr>
      <w:r>
        <w:t>**Evidence:** Profiling register, feature list, audience definitions, rights mapping, and approvals.</w:t>
      </w:r>
    </w:p>
    <w:p>
      <w:pPr>
        <w:spacing w:after="120"/>
      </w:pPr>
      <w:r>
        <w:t>**Review/test:** Test for undeclared profiling and incompatible reuse.</w:t>
      </w:r>
    </w:p>
    <w:p>
      <w:pPr>
        <w:spacing w:after="120"/>
      </w:pPr>
      <w:r>
        <w:t>**Remediation/reassessment:** Restrict or redesign profiling and reassess notices and rights.</w:t>
      </w:r>
    </w:p>
    <w:p>
      <w:pPr>
        <w:pStyle w:val="Heading2"/>
      </w:pPr>
      <w:r>
        <w:t>13. Transparency and notice architecture</w:t>
      </w:r>
    </w:p>
    <w:p>
      <w:pPr>
        <w:spacing w:after="120"/>
      </w:pPr>
      <w:r>
        <w:t>**Source layer:** Applicable transparency/notice duties, NIST transparency concepts, and internal communication standards.</w:t>
      </w:r>
    </w:p>
    <w:p>
      <w:pPr>
        <w:spacing w:after="120"/>
      </w:pPr>
      <w:r>
        <w:t>**Applicability:** Individuals materially interacting with or affected by AI/ADM systems.</w:t>
      </w:r>
    </w:p>
    <w:p>
      <w:pPr>
        <w:spacing w:after="120"/>
      </w:pPr>
      <w:r>
        <w:t>**Owner:** Product/business owner with privacy/legal and communications.</w:t>
      </w:r>
    </w:p>
    <w:p>
      <w:pPr>
        <w:spacing w:after="120"/>
      </w:pPr>
      <w:r>
        <w:t>**Procedure:** Provide layered notices that accurately describe system role, data use, decision context, material limitations, rights/options where applicable, and contact/escalation routes.</w:t>
      </w:r>
    </w:p>
    <w:p>
      <w:pPr>
        <w:spacing w:after="120"/>
      </w:pPr>
      <w:r>
        <w:t>**Evidence:** Approved notices, version history, delivery evidence, language/accessibility checks, and change log.</w:t>
      </w:r>
    </w:p>
    <w:p>
      <w:pPr>
        <w:spacing w:after="120"/>
      </w:pPr>
      <w:r>
        <w:t>**Review/test:** Compare notice claims with actual system behavior.</w:t>
      </w:r>
    </w:p>
    <w:p>
      <w:pPr>
        <w:spacing w:after="120"/>
      </w:pPr>
      <w:r>
        <w:t>**Remediation/reassessment:** Correct misleading, stale, or incomplete notices before continued use where material.</w:t>
      </w:r>
    </w:p>
    <w:p>
      <w:pPr>
        <w:pStyle w:val="Heading2"/>
      </w:pPr>
      <w:r>
        <w:t>14. Explainability and reason-code governance</w:t>
      </w:r>
    </w:p>
    <w:p>
      <w:pPr>
        <w:spacing w:after="120"/>
      </w:pPr>
      <w:r>
        <w:t>**Source layer:** Applicable explanation/reason duties, NIST AI RMF transparency concepts, and internal model-risk standards.</w:t>
      </w:r>
    </w:p>
    <w:p>
      <w:pPr>
        <w:spacing w:after="120"/>
      </w:pPr>
      <w:r>
        <w:t>**Applicability:** Decisions requiring understandable rationale for users, reviewers, auditors, or affected individuals.</w:t>
      </w:r>
    </w:p>
    <w:p>
      <w:pPr>
        <w:spacing w:after="120"/>
      </w:pPr>
      <w:r>
        <w:t>**Owner:** Model owner with business, legal/privacy, and model-risk functions.</w:t>
      </w:r>
    </w:p>
    <w:p>
      <w:pPr>
        <w:spacing w:after="120"/>
      </w:pPr>
      <w:r>
        <w:t>**Procedure:** Define explanation audience, approved method, reason-code logic, fidelity requirements, limitations, and escalation for unexplainable outcomes.</w:t>
      </w:r>
    </w:p>
    <w:p>
      <w:pPr>
        <w:spacing w:after="120"/>
      </w:pPr>
      <w:r>
        <w:t>**Evidence:** Explanation specification, reason-code catalog, validation results, and sampled decision explanations.</w:t>
      </w:r>
    </w:p>
    <w:p>
      <w:pPr>
        <w:spacing w:after="120"/>
      </w:pPr>
      <w:r>
        <w:t>**Review/test:** Test explanation fidelity and consistency against actual decision drivers.</w:t>
      </w:r>
    </w:p>
    <w:p>
      <w:pPr>
        <w:spacing w:after="120"/>
      </w:pPr>
      <w:r>
        <w:t>**Remediation/reassessment:** Correct misleading explanations or restrict system use.</w:t>
      </w:r>
    </w:p>
    <w:p>
      <w:pPr>
        <w:pStyle w:val="Heading2"/>
      </w:pPr>
      <w:r>
        <w:t>15. Contestability and appeal mechanisms</w:t>
      </w:r>
    </w:p>
    <w:p>
      <w:pPr>
        <w:spacing w:after="120"/>
      </w:pPr>
      <w:r>
        <w:t>**Source layer:** Applicable rights/consumer/employment/sector duties and internal fairness/governance policy.</w:t>
      </w:r>
    </w:p>
    <w:p>
      <w:pPr>
        <w:spacing w:after="120"/>
      </w:pPr>
      <w:r>
        <w:t>**Applicability:** Consequential or otherwise appealable outcomes.</w:t>
      </w:r>
    </w:p>
    <w:p>
      <w:pPr>
        <w:spacing w:after="120"/>
      </w:pPr>
      <w:r>
        <w:t>**Owner:** Business process owner with legal/privacy and customer/employee operations.</w:t>
      </w:r>
    </w:p>
    <w:p>
      <w:pPr>
        <w:spacing w:after="120"/>
      </w:pPr>
      <w:r>
        <w:t>**Procedure:** Provide a documented route to question, challenge, correct data, submit context, and obtain qualified review where required or adopted by policy.</w:t>
      </w:r>
    </w:p>
    <w:p>
      <w:pPr>
        <w:spacing w:after="120"/>
      </w:pPr>
      <w:r>
        <w:t>**Evidence:** Appeal procedure, intake records, outcome records, service levels, and reviewer qualifications.</w:t>
      </w:r>
    </w:p>
    <w:p>
      <w:pPr>
        <w:spacing w:after="120"/>
      </w:pPr>
      <w:r>
        <w:t>**Review/test:** Sample appeals for independence, timeliness, and meaningful reconsideration.</w:t>
      </w:r>
    </w:p>
    <w:p>
      <w:pPr>
        <w:spacing w:after="120"/>
      </w:pPr>
      <w:r>
        <w:t>**Remediation/reassessment:** Correct procedural failures and feed systemic issues into model/process improvement.</w:t>
      </w:r>
    </w:p>
    <w:p>
      <w:pPr>
        <w:pStyle w:val="Heading2"/>
      </w:pPr>
      <w:r>
        <w:t>16. Human oversight and intervention design</w:t>
      </w:r>
    </w:p>
    <w:p>
      <w:pPr>
        <w:spacing w:after="120"/>
      </w:pPr>
      <w:r>
        <w:t>**Source layer:** NIST AI RMF, applicable AI/ADM duties, and internal control design.</w:t>
      </w:r>
    </w:p>
    <w:p>
      <w:pPr>
        <w:spacing w:after="120"/>
      </w:pPr>
      <w:r>
        <w:t>**Applicability:** Systems where humans supervise, approve, override, or review outcomes.</w:t>
      </w:r>
    </w:p>
    <w:p>
      <w:pPr>
        <w:spacing w:after="120"/>
      </w:pPr>
      <w:r>
        <w:t>**Owner:** Business process owner and AI governance.</w:t>
      </w:r>
    </w:p>
    <w:p>
      <w:pPr>
        <w:spacing w:after="120"/>
      </w:pPr>
      <w:r>
        <w:t>**Procedure:** Define authority, competence, information available to reviewers, override ability, workload limits, escalation, and protection against rubber-stamping.</w:t>
      </w:r>
    </w:p>
    <w:p>
      <w:pPr>
        <w:spacing w:after="120"/>
      </w:pPr>
      <w:r>
        <w:t>**Evidence:** RACI, reviewer instructions, training, override logs, escalation records, and workload metrics.</w:t>
      </w:r>
    </w:p>
    <w:p>
      <w:pPr>
        <w:spacing w:after="120"/>
      </w:pPr>
      <w:r>
        <w:t>**Review/test:** Observe representative decisions and measure actual override/review behavior.</w:t>
      </w:r>
    </w:p>
    <w:p>
      <w:pPr>
        <w:spacing w:after="120"/>
      </w:pPr>
      <w:r>
        <w:t>**Remediation/reassessment:** Redesign oversight where review is nominal or ineffective.</w:t>
      </w:r>
    </w:p>
    <w:p>
      <w:pPr>
        <w:pStyle w:val="Heading2"/>
      </w:pPr>
      <w:r>
        <w:t>17. Consent, preference, and legal-basis interfaces</w:t>
      </w:r>
    </w:p>
    <w:p>
      <w:pPr>
        <w:spacing w:after="120"/>
      </w:pPr>
      <w:r>
        <w:t>**Source layer:** Applicable privacy law and internal preference-management controls.</w:t>
      </w:r>
    </w:p>
    <w:p>
      <w:pPr>
        <w:spacing w:after="120"/>
      </w:pPr>
      <w:r>
        <w:t>**Applicability:** Processing relying on consent, opt-in/opt-out choices, or other jurisdiction-specific legal bases.</w:t>
      </w:r>
    </w:p>
    <w:p>
      <w:pPr>
        <w:spacing w:after="120"/>
      </w:pPr>
      <w:r>
        <w:t>**Owner:** Privacy/legal with product and data owner.</w:t>
      </w:r>
    </w:p>
    <w:p>
      <w:pPr>
        <w:spacing w:after="120"/>
      </w:pPr>
      <w:r>
        <w:t>**Procedure:** Record applicable legal basis or permission model, propagate choices to relevant systems, support withdrawal where required, and keep consent separate from uses relying on another valid basis.</w:t>
      </w:r>
    </w:p>
    <w:p>
      <w:pPr>
        <w:spacing w:after="120"/>
      </w:pPr>
      <w:r>
        <w:t>**Evidence:** Legal-basis register, consent/preference state, notice version, propagation logs, and exception records.</w:t>
      </w:r>
    </w:p>
    <w:p>
      <w:pPr>
        <w:spacing w:after="120"/>
      </w:pPr>
      <w:r>
        <w:t>**Review/test:** Trace representative preference changes through downstream processing.</w:t>
      </w:r>
    </w:p>
    <w:p>
      <w:pPr>
        <w:spacing w:after="120"/>
      </w:pPr>
      <w:r>
        <w:t>**Remediation/reassessment:** Correct stale or conflicting preference states and cease unauthorized processing.</w:t>
      </w:r>
    </w:p>
    <w:p>
      <w:pPr>
        <w:pStyle w:val="Heading2"/>
      </w:pPr>
      <w:r>
        <w:t>18. Data minimization and feature governance</w:t>
      </w:r>
    </w:p>
    <w:p>
      <w:pPr>
        <w:spacing w:after="120"/>
      </w:pPr>
      <w:r>
        <w:t>**Source layer:** Privacy minimization principles, applicable law, and model governance.</w:t>
      </w:r>
    </w:p>
    <w:p>
      <w:pPr>
        <w:spacing w:after="120"/>
      </w:pPr>
      <w:r>
        <w:t>**Applicability:** Input features, prompts, embeddings, context stores, logs, and decision attributes.</w:t>
      </w:r>
    </w:p>
    <w:p>
      <w:pPr>
        <w:spacing w:after="120"/>
      </w:pPr>
      <w:r>
        <w:t>**Owner:** Model/data owner with privacy and product.</w:t>
      </w:r>
    </w:p>
    <w:p>
      <w:pPr>
        <w:spacing w:after="120"/>
      </w:pPr>
      <w:r>
        <w:t>**Procedure:** Require documented necessity for each material personal-data feature and remove redundant, excessively granular, or unjustified data.</w:t>
      </w:r>
    </w:p>
    <w:p>
      <w:pPr>
        <w:spacing w:after="120"/>
      </w:pPr>
      <w:r>
        <w:t>**Evidence:** Feature register, necessity rationale, ablation/testing results where appropriate, and approved exceptions.</w:t>
      </w:r>
    </w:p>
    <w:p>
      <w:pPr>
        <w:spacing w:after="120"/>
      </w:pPr>
      <w:r>
        <w:t>**Review/test:** Periodically challenge feature necessity and sensitivity.</w:t>
      </w:r>
    </w:p>
    <w:p>
      <w:pPr>
        <w:spacing w:after="120"/>
      </w:pPr>
      <w:r>
        <w:t>**Remediation/reassessment:** Remove or transform unnecessary data and retest model performance/risk.</w:t>
      </w:r>
    </w:p>
    <w:p>
      <w:pPr>
        <w:pStyle w:val="Heading2"/>
      </w:pPr>
      <w:r>
        <w:t>19. Retention, deletion, and model-memory controls</w:t>
      </w:r>
    </w:p>
    <w:p>
      <w:pPr>
        <w:spacing w:after="120"/>
      </w:pPr>
      <w:r>
        <w:t>**Source layer:** Applicable retention/deletion duties, records policy, and architecture controls.</w:t>
      </w:r>
    </w:p>
    <w:p>
      <w:pPr>
        <w:spacing w:after="120"/>
      </w:pPr>
      <w:r>
        <w:t>**Applicability:** Training data, prompts, chat histories, embeddings, vector stores, logs, cached context, outputs, and feedback data.</w:t>
      </w:r>
    </w:p>
    <w:p>
      <w:pPr>
        <w:spacing w:after="120"/>
      </w:pPr>
      <w:r>
        <w:t>**Owner:** Data owner with privacy, records, and platform owner.</w:t>
      </w:r>
    </w:p>
    <w:p>
      <w:pPr>
        <w:spacing w:after="120"/>
      </w:pPr>
      <w:r>
        <w:t>**Procedure:** Define retention schedules, legal holds, deletion propagation, model-memory boundaries, backup handling, and exceptions.</w:t>
      </w:r>
    </w:p>
    <w:p>
      <w:pPr>
        <w:spacing w:after="120"/>
      </w:pPr>
      <w:r>
        <w:t>**Evidence:** Retention schedule, deletion jobs, deletion verification, hold records, and exception approvals.</w:t>
      </w:r>
    </w:p>
    <w:p>
      <w:pPr>
        <w:spacing w:after="120"/>
      </w:pPr>
      <w:r>
        <w:t>**Review/test:** Test deletion end to end across primary and derived stores where technically feasible.</w:t>
      </w:r>
    </w:p>
    <w:p>
      <w:pPr>
        <w:spacing w:after="120"/>
      </w:pPr>
      <w:r>
        <w:t>**Remediation/reassessment:** Repair failed deletion paths and reassess architecture if deletion cannot be reliably executed.</w:t>
      </w:r>
    </w:p>
    <w:p>
      <w:pPr>
        <w:pStyle w:val="Heading2"/>
      </w:pPr>
      <w:r>
        <w:t>20. De-identification, pseudonymization, and PETs</w:t>
      </w:r>
    </w:p>
    <w:p>
      <w:pPr>
        <w:spacing w:after="120"/>
      </w:pPr>
      <w:r>
        <w:t>**Source layer:** Privacy engineering guidance, applicable law, and internal security standards.</w:t>
      </w:r>
    </w:p>
    <w:p>
      <w:pPr>
        <w:spacing w:after="120"/>
      </w:pPr>
      <w:r>
        <w:t>**Applicability:** Uses relying on reduced identifiability or privacy-enhancing technologies.</w:t>
      </w:r>
    </w:p>
    <w:p>
      <w:pPr>
        <w:spacing w:after="120"/>
      </w:pPr>
      <w:r>
        <w:t>**Owner:** Privacy engineering/data security.</w:t>
      </w:r>
    </w:p>
    <w:p>
      <w:pPr>
        <w:spacing w:after="120"/>
      </w:pPr>
      <w:r>
        <w:t>**Procedure:** Select techniques proportionate to risk, document threat model and re-identification assumptions, and restrict linkage keys and reversal capability.</w:t>
      </w:r>
    </w:p>
    <w:p>
      <w:pPr>
        <w:spacing w:after="120"/>
      </w:pPr>
      <w:r>
        <w:t>**Evidence:** Technique specification, key controls, re-identification tests, privacy parameters, and approved use restrictions.</w:t>
      </w:r>
    </w:p>
    <w:p>
      <w:pPr>
        <w:spacing w:after="120"/>
      </w:pPr>
      <w:r>
        <w:t>**Review/test:** Reassess against new auxiliary data and attack methods.</w:t>
      </w:r>
    </w:p>
    <w:p>
      <w:pPr>
        <w:spacing w:after="120"/>
      </w:pPr>
      <w:r>
        <w:t>**Remediation/reassessment:** Strengthen transformation or stop claims of de-identification where risk is excessive.</w:t>
      </w:r>
    </w:p>
    <w:p>
      <w:pPr>
        <w:pStyle w:val="Heading2"/>
      </w:pPr>
      <w:r>
        <w:t>21. Fairness and bias interfaces without false legal equivalence</w:t>
      </w:r>
    </w:p>
    <w:p>
      <w:pPr>
        <w:spacing w:after="120"/>
      </w:pPr>
      <w:r>
        <w:t>**Source layer:** NIST AI RMF, applicable anti-discrimination/sector law, and internal responsible-AI policy.</w:t>
      </w:r>
    </w:p>
    <w:p>
      <w:pPr>
        <w:spacing w:after="120"/>
      </w:pPr>
      <w:r>
        <w:t>**Applicability:** Systems whose outputs may differ materially across relevant groups or proxies.</w:t>
      </w:r>
    </w:p>
    <w:p>
      <w:pPr>
        <w:spacing w:after="120"/>
      </w:pPr>
      <w:r>
        <w:t>**Owner:** AI/model risk with legal and business owner.</w:t>
      </w:r>
    </w:p>
    <w:p>
      <w:pPr>
        <w:spacing w:after="120"/>
      </w:pPr>
      <w:r>
        <w:t>**Procedure:** Define context-appropriate fairness questions, protected/legal categories where applicable, proxy risks, performance slices, decision thresholds, and escalation criteria.</w:t>
      </w:r>
    </w:p>
    <w:p>
      <w:pPr>
        <w:spacing w:after="120"/>
      </w:pPr>
      <w:r>
        <w:t>**Evidence:** Fairness test plan, subgroup metrics, proxy analysis, legal applicability review, and remediation decisions.</w:t>
      </w:r>
    </w:p>
    <w:p>
      <w:pPr>
        <w:spacing w:after="120"/>
      </w:pPr>
      <w:r>
        <w:t>**Review/test:** Test for materially adverse disparities and measurement limitations.</w:t>
      </w:r>
    </w:p>
    <w:p>
      <w:pPr>
        <w:spacing w:after="120"/>
      </w:pPr>
      <w:r>
        <w:t>**Remediation/reassessment:** Adjust data, features, thresholds, process, or use case and retest.</w:t>
      </w:r>
    </w:p>
    <w:p>
      <w:pPr>
        <w:pStyle w:val="Heading2"/>
      </w:pPr>
      <w:r>
        <w:t>22. Access, identity, and privileged administration</w:t>
      </w:r>
    </w:p>
    <w:p>
      <w:pPr>
        <w:spacing w:after="120"/>
      </w:pPr>
      <w:r>
        <w:t>**Source layer:** Security/IAM standards and privacy confidentiality requirements.</w:t>
      </w:r>
    </w:p>
    <w:p>
      <w:pPr>
        <w:spacing w:after="120"/>
      </w:pPr>
      <w:r>
        <w:t>**Applicability:** Model consoles, datasets, prompts, logs, feature stores, vector databases, labeling tools, and decision systems.</w:t>
      </w:r>
    </w:p>
    <w:p>
      <w:pPr>
        <w:spacing w:after="120"/>
      </w:pPr>
      <w:r>
        <w:t>**Owner:** Security/IAM and platform owner.</w:t>
      </w:r>
    </w:p>
    <w:p>
      <w:pPr>
        <w:spacing w:after="120"/>
      </w:pPr>
      <w:r>
        <w:t>**Procedure:** Apply least privilege, strong authentication, privileged-access controls, segregation, periodic review, and prompt revocation.</w:t>
      </w:r>
    </w:p>
    <w:p>
      <w:pPr>
        <w:spacing w:after="120"/>
      </w:pPr>
      <w:r>
        <w:t>**Evidence:** Access matrix, approvals, MFA/PAM records, review results, and termination logs.</w:t>
      </w:r>
    </w:p>
    <w:p>
      <w:pPr>
        <w:spacing w:after="120"/>
      </w:pPr>
      <w:r>
        <w:t>**Review/test:** Sample privileged and sensitive-data access paths.</w:t>
      </w:r>
    </w:p>
    <w:p>
      <w:pPr>
        <w:spacing w:after="120"/>
      </w:pPr>
      <w:r>
        <w:t>**Remediation/reassessment:** Revoke excess access and investigate unauthorized use.</w:t>
      </w:r>
    </w:p>
    <w:p>
      <w:pPr>
        <w:pStyle w:val="Heading2"/>
      </w:pPr>
      <w:r>
        <w:t>23. Third-party models, APIs, and data providers</w:t>
      </w:r>
    </w:p>
    <w:p>
      <w:pPr>
        <w:spacing w:after="120"/>
      </w:pPr>
      <w:r>
        <w:t>**Source layer:** Contracts, vendor risk, privacy law, NIST AI RMF, and supply-chain controls.</w:t>
      </w:r>
    </w:p>
    <w:p>
      <w:pPr>
        <w:spacing w:after="120"/>
      </w:pPr>
      <w:r>
        <w:t>**Applicability:** External models, hosted APIs, data brokers, enrichment services, evaluators, and subprocessors.</w:t>
      </w:r>
    </w:p>
    <w:p>
      <w:pPr>
        <w:spacing w:after="120"/>
      </w:pPr>
      <w:r>
        <w:t>**Owner:** Procurement/vendor risk with AI governance, privacy, security, and business owner.</w:t>
      </w:r>
    </w:p>
    <w:p>
      <w:pPr>
        <w:spacing w:after="120"/>
      </w:pPr>
      <w:r>
        <w:t>**Procedure:** Assess data use, training reuse, retention, subprocessors, security, privacy, model change, incident duties, audit evidence, termination, and exit portability.</w:t>
      </w:r>
    </w:p>
    <w:p>
      <w:pPr>
        <w:spacing w:after="120"/>
      </w:pPr>
      <w:r>
        <w:t>**Evidence:** Due diligence, contract clauses, data-processing terms, model cards, security/privacy evidence, and exit plan.</w:t>
      </w:r>
    </w:p>
    <w:p>
      <w:pPr>
        <w:spacing w:after="120"/>
      </w:pPr>
      <w:r>
        <w:t>**Review/test:** Revalidate high-risk providers and material model/version changes.</w:t>
      </w:r>
    </w:p>
    <w:p>
      <w:pPr>
        <w:spacing w:after="120"/>
      </w:pPr>
      <w:r>
        <w:t>**Remediation/reassessment:** Restrict data, require contract/control changes, or exit provider.</w:t>
      </w:r>
    </w:p>
    <w:p>
      <w:pPr>
        <w:pStyle w:val="Heading2"/>
      </w:pPr>
      <w:r>
        <w:t>24. Cross-border processing and deployment</w:t>
      </w:r>
    </w:p>
    <w:p>
      <w:pPr>
        <w:spacing w:after="120"/>
      </w:pPr>
      <w:r>
        <w:t>**Source layer:** Applicable transfer/localization rules, contracts, and privacy governance.</w:t>
      </w:r>
    </w:p>
    <w:p>
      <w:pPr>
        <w:spacing w:after="120"/>
      </w:pPr>
      <w:r>
        <w:t>**Applicability:** Data, model hosting, support, telemetry, or decision processing crossing relevant jurisdictions.</w:t>
      </w:r>
    </w:p>
    <w:p>
      <w:pPr>
        <w:spacing w:after="120"/>
      </w:pPr>
      <w:r>
        <w:t>**Owner:** Privacy/legal with cloud/platform owner.</w:t>
      </w:r>
    </w:p>
    <w:p>
      <w:pPr>
        <w:spacing w:after="120"/>
      </w:pPr>
      <w:r>
        <w:t>**Procedure:** Map transfer paths, applicable mechanisms/restrictions, support access, subprocessors, and regional deployment requirements without assuming one mechanism applies globally.</w:t>
      </w:r>
    </w:p>
    <w:p>
      <w:pPr>
        <w:spacing w:after="120"/>
      </w:pPr>
      <w:r>
        <w:t>**Evidence:** Transfer map, legal assessment, contractual mechanism, regional architecture, and subprocessor list.</w:t>
      </w:r>
    </w:p>
    <w:p>
      <w:pPr>
        <w:spacing w:after="120"/>
      </w:pPr>
      <w:r>
        <w:t>**Review/test:** Compare actual hosting/support telemetry with approved regions.</w:t>
      </w:r>
    </w:p>
    <w:p>
      <w:pPr>
        <w:spacing w:after="120"/>
      </w:pPr>
      <w:r>
        <w:t>**Remediation/reassessment:** Reconfigure routing/hosting or update legal mechanisms.</w:t>
      </w:r>
    </w:p>
    <w:p>
      <w:pPr>
        <w:pStyle w:val="Heading2"/>
      </w:pPr>
      <w:r>
        <w:t>25. Logging, traceability, and decision records</w:t>
      </w:r>
    </w:p>
    <w:p>
      <w:pPr>
        <w:spacing w:after="120"/>
      </w:pPr>
      <w:r>
        <w:t>**Source layer:** NIST AI RMF traceability concepts, privacy accountability, and internal logging standards.</w:t>
      </w:r>
    </w:p>
    <w:p>
      <w:pPr>
        <w:spacing w:after="120"/>
      </w:pPr>
      <w:r>
        <w:t>**Applicability:** Material AI/ADM decisions and supporting system actions.</w:t>
      </w:r>
    </w:p>
    <w:p>
      <w:pPr>
        <w:spacing w:after="120"/>
      </w:pPr>
      <w:r>
        <w:t>**Owner:** Platform/model owner with security and business process owner.</w:t>
      </w:r>
    </w:p>
    <w:p>
      <w:pPr>
        <w:spacing w:after="120"/>
      </w:pPr>
      <w:r>
        <w:t>**Procedure:** Log system/model version, relevant inputs or references, decision/output, reason information where appropriate, human actions, overrides, and material policy state while minimizing unnecessary personal data.</w:t>
      </w:r>
    </w:p>
    <w:p>
      <w:pPr>
        <w:spacing w:after="120"/>
      </w:pPr>
      <w:r>
        <w:t>**Evidence:** Audit logs, decision record schema, retention settings, integrity controls, and access records.</w:t>
      </w:r>
    </w:p>
    <w:p>
      <w:pPr>
        <w:spacing w:after="120"/>
      </w:pPr>
      <w:r>
        <w:t>**Review/test:** Reconstruct sampled decisions from retained evidence.</w:t>
      </w:r>
    </w:p>
    <w:p>
      <w:pPr>
        <w:spacing w:after="120"/>
      </w:pPr>
      <w:r>
        <w:t>**Remediation/reassessment:** Repair logging gaps and adjust retention/minimization balance.</w:t>
      </w:r>
    </w:p>
    <w:p>
      <w:pPr>
        <w:pStyle w:val="Heading2"/>
      </w:pPr>
      <w:r>
        <w:t>26. Monitoring for drift, privacy harm, and misuse</w:t>
      </w:r>
    </w:p>
    <w:p>
      <w:pPr>
        <w:spacing w:after="120"/>
      </w:pPr>
      <w:r>
        <w:t>**Source layer:** NIST AI RMF monitoring concepts and internal risk controls.</w:t>
      </w:r>
    </w:p>
    <w:p>
      <w:pPr>
        <w:spacing w:after="120"/>
      </w:pPr>
      <w:r>
        <w:t>**Applicability:** Production systems throughout operation.</w:t>
      </w:r>
    </w:p>
    <w:p>
      <w:pPr>
        <w:spacing w:after="120"/>
      </w:pPr>
      <w:r>
        <w:t>**Owner:** Model owner, AI risk, privacy, and operations.</w:t>
      </w:r>
    </w:p>
    <w:p>
      <w:pPr>
        <w:spacing w:after="120"/>
      </w:pPr>
      <w:r>
        <w:t>**Procedure:** Monitor data/model drift, output quality, complaint patterns, sensitive inference, policy violations, abuse, subgroup performance, and unexpected use.</w:t>
      </w:r>
    </w:p>
    <w:p>
      <w:pPr>
        <w:spacing w:after="120"/>
      </w:pPr>
      <w:r>
        <w:t>**Evidence:** Monitoring dashboards, alerts, thresholds, investigation records, and trend reports.</w:t>
      </w:r>
    </w:p>
    <w:p>
      <w:pPr>
        <w:spacing w:after="120"/>
      </w:pPr>
      <w:r>
        <w:t>**Review/test:** Validate alert coverage and sample resolved alerts.</w:t>
      </w:r>
    </w:p>
    <w:p>
      <w:pPr>
        <w:spacing w:after="120"/>
      </w:pPr>
      <w:r>
        <w:t>**Remediation/reassessment:** Tune, suspend, roll back, or redesign systems when thresholds are exceeded.</w:t>
      </w:r>
    </w:p>
    <w:p>
      <w:pPr>
        <w:pStyle w:val="Heading2"/>
      </w:pPr>
      <w:r>
        <w:t>27. Incident, complaint, and rights-request coordination</w:t>
      </w:r>
    </w:p>
    <w:p>
      <w:pPr>
        <w:spacing w:after="120"/>
      </w:pPr>
      <w:r>
        <w:t>**Source layer:** Applicable privacy/incident/consumer rights duties and internal incident response.</w:t>
      </w:r>
    </w:p>
    <w:p>
      <w:pPr>
        <w:spacing w:after="120"/>
      </w:pPr>
      <w:r>
        <w:t>**Applicability:** Security/privacy events, harmful outputs, complaints, rights requests, and decision challenges.</w:t>
      </w:r>
    </w:p>
    <w:p>
      <w:pPr>
        <w:spacing w:after="120"/>
      </w:pPr>
      <w:r>
        <w:t>**Owner:** Incident/privacy operations with AI governance and business owner.</w:t>
      </w:r>
    </w:p>
    <w:p>
      <w:pPr>
        <w:spacing w:after="120"/>
      </w:pPr>
      <w:r>
        <w:t>**Procedure:** Route events to the correct security, privacy, legal, customer/employee, and AI response processes; preserve evidence and applicable deadlines.</w:t>
      </w:r>
    </w:p>
    <w:p>
      <w:pPr>
        <w:spacing w:after="120"/>
      </w:pPr>
      <w:r>
        <w:t>**Evidence:** Case records, triage decisions, notifications, rights responses, containment actions, and lessons learned.</w:t>
      </w:r>
    </w:p>
    <w:p>
      <w:pPr>
        <w:spacing w:after="120"/>
      </w:pPr>
      <w:r>
        <w:t>**Review/test:** Exercise representative AI/privacy incident scenarios.</w:t>
      </w:r>
    </w:p>
    <w:p>
      <w:pPr>
        <w:spacing w:after="120"/>
      </w:pPr>
      <w:r>
        <w:t>**Remediation/reassessment:** Correct routing, control, or model defects and reassess risk.</w:t>
      </w:r>
    </w:p>
    <w:p>
      <w:pPr>
        <w:pStyle w:val="Heading2"/>
      </w:pPr>
      <w:r>
        <w:t>28. Change management and material-model updates</w:t>
      </w:r>
    </w:p>
    <w:p>
      <w:pPr>
        <w:spacing w:after="120"/>
      </w:pPr>
      <w:r>
        <w:t>**Source layer:** Internal change control, NIST AI RMF lifecycle governance, vendor controls, and applicable regulatory change duties.</w:t>
      </w:r>
    </w:p>
    <w:p>
      <w:pPr>
        <w:spacing w:after="120"/>
      </w:pPr>
      <w:r>
        <w:t>**Applicability:** Model/version, prompt, retrieval, feature, data, threshold, provider, purpose, or deployment changes.</w:t>
      </w:r>
    </w:p>
    <w:p>
      <w:pPr>
        <w:spacing w:after="120"/>
      </w:pPr>
      <w:r>
        <w:t>**Owner:** Product/model owner with AI governance and privacy/security.</w:t>
      </w:r>
    </w:p>
    <w:p>
      <w:pPr>
        <w:spacing w:after="120"/>
      </w:pPr>
      <w:r>
        <w:t>**Procedure:** Classify change materiality, identify impacted assessments/notices/contracts/tests, obtain approvals, and maintain rollback capability.</w:t>
      </w:r>
    </w:p>
    <w:p>
      <w:pPr>
        <w:spacing w:after="120"/>
      </w:pPr>
      <w:r>
        <w:t>**Evidence:** Change ticket, impact analysis, test results, approvals, release notes, and rollback plan.</w:t>
      </w:r>
    </w:p>
    <w:p>
      <w:pPr>
        <w:spacing w:after="120"/>
      </w:pPr>
      <w:r>
        <w:t>**Review/test:** Confirm production version matches approved release.</w:t>
      </w:r>
    </w:p>
    <w:p>
      <w:pPr>
        <w:spacing w:after="120"/>
      </w:pPr>
      <w:r>
        <w:t>**Remediation/reassessment:** Roll back unauthorized or inadequately assessed changes.</w:t>
      </w:r>
    </w:p>
    <w:p>
      <w:pPr>
        <w:pStyle w:val="Heading2"/>
      </w:pPr>
      <w:r>
        <w:t>29. Metrics, KRIs/KPIs, and management reporting</w:t>
      </w:r>
    </w:p>
    <w:p>
      <w:pPr>
        <w:spacing w:after="120"/>
      </w:pPr>
      <w:r>
        <w:t>**Source layer:** Internal governance and NIST measurement concepts.</w:t>
      </w:r>
    </w:p>
    <w:p>
      <w:pPr>
        <w:spacing w:after="120"/>
      </w:pPr>
      <w:r>
        <w:t>**Applicability:** Portfolio and system-level governance.</w:t>
      </w:r>
    </w:p>
    <w:p>
      <w:pPr>
        <w:spacing w:after="120"/>
      </w:pPr>
      <w:r>
        <w:t>**Owner:** AI governance/privacy leadership.</w:t>
      </w:r>
    </w:p>
    <w:p>
      <w:pPr>
        <w:spacing w:after="120"/>
      </w:pPr>
      <w:r>
        <w:t>**Procedure:** Track inventory coverage, assessment completion, rights/appeal performance, incidents, drift, provider issues, control exceptions, overdue remediation, and material disparity/privacy-risk indicators.</w:t>
      </w:r>
    </w:p>
    <w:p>
      <w:pPr>
        <w:spacing w:after="120"/>
      </w:pPr>
      <w:r>
        <w:t>**Evidence:** Metric definitions, dashboards, trend reports, thresholds, and management actions.</w:t>
      </w:r>
    </w:p>
    <w:p>
      <w:pPr>
        <w:spacing w:after="120"/>
      </w:pPr>
      <w:r>
        <w:t>**Review/test:** Verify metric lineage and prevent misleading aggregation.</w:t>
      </w:r>
    </w:p>
    <w:p>
      <w:pPr>
        <w:spacing w:after="120"/>
      </w:pPr>
      <w:r>
        <w:t>**Remediation/reassessment:** Correct weak indicators and escalate sustained threshold breaches.</w:t>
      </w:r>
    </w:p>
    <w:p>
      <w:pPr>
        <w:pStyle w:val="Heading2"/>
      </w:pPr>
      <w:r>
        <w:t>30. Assurance, testing, and evidence inspection</w:t>
      </w:r>
    </w:p>
    <w:p>
      <w:pPr>
        <w:spacing w:after="120"/>
      </w:pPr>
      <w:r>
        <w:t>**Source layer:** Internal audit/assurance methods, NIST AI RMF evaluation concepts, and applicable audit requirements.</w:t>
      </w:r>
    </w:p>
    <w:p>
      <w:pPr>
        <w:spacing w:after="120"/>
      </w:pPr>
      <w:r>
        <w:t>**Applicability:** High-risk systems and sampled portfolio controls.</w:t>
      </w:r>
    </w:p>
    <w:p>
      <w:pPr>
        <w:spacing w:after="120"/>
      </w:pPr>
      <w:r>
        <w:t>**Owner:** Independent assurance/audit with subject-matter support.</w:t>
      </w:r>
    </w:p>
    <w:p>
      <w:pPr>
        <w:spacing w:after="120"/>
      </w:pPr>
      <w:r>
        <w:t>**Procedure:** Test design and operating effectiveness using evidence inspection, sampling, technical tests, interviews, rights/appeal samples, and decision reconstruction.</w:t>
      </w:r>
    </w:p>
    <w:p>
      <w:pPr>
        <w:spacing w:after="120"/>
      </w:pPr>
      <w:r>
        <w:t>**Evidence:** Test plan, workpapers, findings, management responses, remediation evidence, and closure approval.</w:t>
      </w:r>
    </w:p>
    <w:p>
      <w:pPr>
        <w:spacing w:after="120"/>
      </w:pPr>
      <w:r>
        <w:t>**Review/test:** Require independence appropriate to risk and avoid self-attestation as sole evidence for material controls.</w:t>
      </w:r>
    </w:p>
    <w:p>
      <w:pPr>
        <w:spacing w:after="120"/>
      </w:pPr>
      <w:r>
        <w:t>**Remediation/reassessment:** Track findings to verified closure and retest material corrections.</w:t>
      </w:r>
    </w:p>
    <w:p>
      <w:pPr>
        <w:pStyle w:val="Heading2"/>
      </w:pPr>
      <w:r>
        <w:t>31. Localization, accessibility, and controlled source management</w:t>
      </w:r>
    </w:p>
    <w:p>
      <w:pPr>
        <w:spacing w:after="120"/>
      </w:pPr>
      <w:r>
        <w:t>**Source layer:** Project release controls and applicable accessibility/communication obligations.</w:t>
      </w:r>
    </w:p>
    <w:p>
      <w:pPr>
        <w:spacing w:after="120"/>
      </w:pPr>
      <w:r>
        <w:t>**Applicability:** English, es-419, pt-BR controlled editions and publication artifacts.</w:t>
      </w:r>
    </w:p>
    <w:p>
      <w:pPr>
        <w:spacing w:after="120"/>
      </w:pPr>
      <w:r>
        <w:t>**Owner:** Documentation/release owner with privacy/legal terminology review as applicable.</w:t>
      </w:r>
    </w:p>
    <w:p>
      <w:pPr>
        <w:spacing w:after="120"/>
      </w:pPr>
      <w:r>
        <w:t>**Procedure:** Preserve source distinctions, chapter parity, decision terminology, legal qualifiers, accessibility structure, language metadata, and unofficial-translation notices.</w:t>
      </w:r>
    </w:p>
    <w:p>
      <w:pPr>
        <w:spacing w:after="120"/>
      </w:pPr>
      <w:r>
        <w:t>**Evidence:** Controlled source files, parity results, accessibility checks, terminology notes, and change history.</w:t>
      </w:r>
    </w:p>
    <w:p>
      <w:pPr>
        <w:spacing w:after="120"/>
      </w:pPr>
      <w:r>
        <w:t>**Review/test:** Compare chapter counts, headings, key legal qualifiers, and rendered output across locales.</w:t>
      </w:r>
    </w:p>
    <w:p>
      <w:pPr>
        <w:spacing w:after="120"/>
      </w:pPr>
      <w:r>
        <w:t>**Remediation/reassessment:** Correct localization or accessibility defects before candidate freeze.</w:t>
      </w:r>
    </w:p>
    <w:p>
      <w:pPr>
        <w:pStyle w:val="Heading2"/>
      </w:pPr>
      <w:r>
        <w:t>32. Release, provenance, and implementation roadmap</w:t>
      </w:r>
    </w:p>
    <w:p>
      <w:pPr>
        <w:spacing w:after="120"/>
      </w:pPr>
      <w:r>
        <w:t>**Source layer:** Repository release policy and controlled-build procedures.</w:t>
      </w:r>
    </w:p>
    <w:p>
      <w:pPr>
        <w:spacing w:after="120"/>
      </w:pPr>
      <w:r>
        <w:t>**Applicability:** Final Manual 28 release and future revisions.</w:t>
      </w:r>
    </w:p>
    <w:p>
      <w:pPr>
        <w:spacing w:after="120"/>
      </w:pPr>
      <w:r>
        <w:t>**Owner:** Release owner with AI governance/privacy stakeholders.</w:t>
      </w:r>
    </w:p>
    <w:p>
      <w:pPr>
        <w:spacing w:after="120"/>
      </w:pPr>
      <w:r>
        <w:t>**Procedure:** Revalidate sources; freeze controlled sources; reproducibly build EN/es-419/pt-BR DOCX/PDF candidates; bind SHA-256 identities; perform deterministic package/accessibility/render QA; durably stage exact bytes; verify predecessor Manual 27 is published; then reconcile catalog and release registry.</w:t>
      </w:r>
    </w:p>
    <w:p>
      <w:pPr>
        <w:spacing w:after="120"/>
      </w:pPr>
      <w:r>
        <w:t>**Evidence:** Source-state record, workflow run/artifact identity, manifest, six hashes, QA evidence, staging commit, final exact-head checks, and merge record.</w:t>
      </w:r>
    </w:p>
    <w:p>
      <w:pPr>
        <w:spacing w:after="120"/>
      </w:pPr>
      <w:r>
        <w:t>**Review/test:** Fail closed on missing predecessor, changed binary, failed gate, unresolved material defect, or stale authoritative-source assumption.</w:t>
      </w:r>
    </w:p>
    <w:p>
      <w:pPr>
        <w:spacing w:after="120"/>
      </w:pPr>
      <w:r>
        <w:t>**Remediation/reassessment:** Regenerate only when a deterministic defect or material source/control change requires it; otherwise preserve exact reviewed bytes.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