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keepNext/>
      </w:pPr>
      <w:r>
        <w:t>Manual 02 — ISO/IEC 42001 AI Management System Implementation</w:t>
      </w:r>
    </w:p>
    <w:p>
      <w:pPr>
        <w:jc w:val="center"/>
      </w:pPr>
      <w:r>
        <w:rPr>
          <w:rFonts w:ascii="Aptos" w:hAnsi="Aptos"/>
          <w:b/>
          <w:color w:val="197D86"/>
          <w:sz w:val="46"/>
        </w:rPr>
        <w:t>AI MANAGEMENT SYSTEM</w:t>
      </w:r>
    </w:p>
    <w:p>
      <w:pPr>
        <w:jc w:val="center"/>
      </w:pPr>
      <w:r>
        <w:rPr>
          <w:rFonts w:ascii="Aptos" w:hAnsi="Aptos"/>
          <w:color w:val="2E74B5"/>
          <w:sz w:val="32"/>
        </w:rPr>
        <w:t>Practical AIMS Manager and Junior Analyst Manual</w:t>
      </w:r>
    </w:p>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197D86"/>
        </w:rPr>
        <w:t xml:space="preserve">What this manual does: </w:t>
      </w:r>
      <w:r>
        <w:rPr>
          <w:rFonts w:ascii="Aptos" w:hAnsi="Aptos"/>
          <w:color w:val="1A1A1A"/>
        </w:rPr>
        <w:t>Explains how to establish, implement, operate, audit, certify, and improve an AI management system. It breaks down Clauses 4–10, all nine Annex A control groups, risk and impact assessment, the Statement of Applicability, certification, evidence, tools, manager decisions, and junior analyst work.</w:t>
      </w:r>
    </w:p>
    <w:p>
      <w:pPr>
        <w:spacing w:after="0"/>
      </w:pPr>
    </w:p>
    <w:p/>
    <w:p/>
    <w:p/>
    <w:p>
      <w:pPr>
        <w:jc w:val="center"/>
      </w:pPr>
      <w:r>
        <w:rPr>
          <w:rFonts w:ascii="Aptos" w:hAnsi="Aptos"/>
          <w:b/>
          <w:color w:val="18324A"/>
          <w:sz w:val="26"/>
        </w:rPr>
        <w:t>Alberto (Al) Leiva</w:t>
      </w:r>
    </w:p>
    <w:p>
      <w:pPr>
        <w:jc w:val="center"/>
      </w:pPr>
      <w:r>
        <w:rPr>
          <w:rFonts w:ascii="Aptos" w:hAnsi="Aptos"/>
          <w:color w:val="5B6570"/>
          <w:sz w:val="22"/>
        </w:rPr>
        <w:t>First Edition • July 2026</w:t>
      </w:r>
    </w:p>
    <w:p>
      <w:r>
        <w:br w:type="page"/>
      </w:r>
    </w:p>
    <w:p>
      <w:pPr/>
      <w:r>
        <w:t>Publication control — Version: First Edition / v1.0; Language: EN; Source: build/iso-iec-42001-manual-02-2026@647c88fa905a16cba4e3ec162a32aad56f48c58b; Generated: 2026-08-24; Review status: PUBLICATION QA CANDIDATE — CONTROLLED ENGLISH SOURCE. AI assistance is disclosed in the repository; human authorship and accountability remain with Alberto (Al) Leiva. Document generation alone does not establish certification, conformity, legal compliance, or audit assurance.</w:t>
      </w:r>
    </w:p>
    <w:p>
      <w:pPr>
        <w:pStyle w:val="Heading1"/>
        <w:keepNext/>
        <w:jc w:val="left"/>
      </w:pPr>
      <w:r>
        <w:t>Preface</w:t>
      </w:r>
    </w:p>
    <w:p>
      <w:r>
        <w:t>ISO/IEC 42001 helps organizations govern AI through an organization-wide management system. It does not certify that every output is correct or that every AI system is safe. It requires leadership, context, risk-based planning, resources, operational controls, performance evaluation, corrective action, and continual improvement around the responsible development, provision, or use of AI systems.</w:t>
      </w:r>
    </w:p>
    <w:p>
      <w:r>
        <w:t>This manual explains concepts in original language and does not reproduce the copyrighted standard. Obtain an authorized copy of ISO/IEC 42001:2023 and any standards used for implementation or audit. Certification, laws, sector duties, contracts, and technical risk must be evaluated against the organization’s actual scope and facts.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t>Current-information note: Verified August 24, 2026. ISO/IEC 42001:2023 remains the published AIMS requirements standard. ISO/IEC 42005:2025 provides AI system impact-assessment guidance. ISO/IEC 42006:2025 adds requirements for bodies auditing and certifying AIMS. ISO 19011:2026 is the current management-system audit guideline. ISO/IEC 42003 remains an approved work item and ISO/IEC 42007 has advanced to draft international standard status; both remain under development and are not treated as requirements here.</w:t>
      </w:r>
    </w:p>
    <w:p>
      <w:pPr>
        <w:spacing w:after="0"/>
      </w:pPr>
    </w:p>
    <w:p>
      <w:pPr>
        <w:pStyle w:val="Heading2"/>
        <w:keepNext/>
        <w:jc w:val="left"/>
      </w:pPr>
      <w:r>
        <w:t>How to use this manual</w:t>
      </w:r>
    </w:p>
    <w:p>
      <w:pPr>
        <w:pStyle w:val="ListBullet"/>
        <w:spacing w:after="60"/>
      </w:pPr>
      <w:r>
        <w:t>AIMS leaders and managers: start with Chapters 1–10, 16–20, and 29–31.</w:t>
      </w:r>
    </w:p>
    <w:p>
      <w:pPr>
        <w:pStyle w:val="ListBullet"/>
        <w:spacing w:after="60"/>
      </w:pPr>
      <w:r>
        <w:t>Implementers and GRC teams: study in order and use every template in Chapter 32.</w:t>
      </w:r>
    </w:p>
    <w:p>
      <w:pPr>
        <w:pStyle w:val="ListBullet"/>
        <w:spacing w:after="60"/>
      </w:pPr>
      <w:r>
        <w:t>AI, data, product, security, privacy, and legal teams: focus on Chapters 6–15 and 20–28.</w:t>
      </w:r>
    </w:p>
    <w:p>
      <w:pPr>
        <w:pStyle w:val="ListBullet"/>
        <w:spacing w:after="60"/>
      </w:pPr>
      <w:r>
        <w:t>Internal auditors: focus on Chapters 16–20 and 29, then practice the lab in Chapter 31.</w:t>
      </w:r>
    </w:p>
    <w:p>
      <w:pPr>
        <w:pStyle w:val="ListBullet"/>
        <w:spacing w:after="60"/>
      </w:pPr>
      <w:r>
        <w:t>Junior analysts: learn the clause intent, produce evidence, write findings, and never claim certification or auditor authority you do not hold.</w:t>
      </w:r>
    </w:p>
    <w:p>
      <w:r>
        <w:br w:type="page"/>
      </w:r>
    </w:p>
    <w:p>
      <w:pPr>
        <w:pStyle w:val="Heading1"/>
        <w:keepNext/>
        <w:jc w:val="left"/>
      </w:pPr>
      <w:r>
        <w:t>Table of Contents</w:t>
      </w:r>
    </w:p>
    <w:p>
      <w:r>
        <w:t>This file contains a true native Word table of contents plus a permanent page-numbered chapter guide.</w:t>
      </w:r>
    </w:p>
    <w:p>
      <w:r>
        <w:fldChar w:fldCharType="begin" w:dirty="true"/>
        <w:instrText xml:space="preserve"> TOC \o "1-3" \h \z \u </w:instrText>
        <w:fldChar w:fldCharType="separate"/>
      </w:r>
      <w:r>
        <w:rPr>
          <w:rFonts w:ascii="Aptos" w:hAnsi="Aptos"/>
          <w:i/>
          <w:color w:val="5B6570"/>
          <w:sz w:val="18"/>
        </w:rPr>
        <w:t>The permanent page-numbered chapter guide follows.</w:t>
      </w:r>
      <w:r>
        <w:fldChar w:fldCharType="end"/>
      </w:r>
    </w:p>
    <w:p>
      <w:r>
        <w:br w:type="page"/>
      </w:r>
    </w:p>
    <w:p>
      <w:pPr>
        <w:pStyle w:val="Heading1"/>
        <w:keepNext/>
        <w:jc w:val="left"/>
      </w:pPr>
      <w:r>
        <w:t>Chapter Guide</w:t>
      </w:r>
    </w:p>
    <w:tbl>
      <w:tblPr>
        <w:tblStyle w:val="TableGrid"/>
        <w:tblW w:type="dxa" w:w="9360"/>
        <w:tblLayout w:type="fixed"/>
        <w:tblLook w:firstColumn="1" w:firstRow="1" w:lastColumn="0" w:lastRow="0" w:noHBand="0" w:noVBand="1" w:val="04A0"/>
        <w:jc w:val="center"/>
        <w:tblInd w:w="120" w:type="dxa"/>
      </w:tblPr>
      <w:tblGrid>
        <w:gridCol w:w="900"/>
        <w:gridCol w:w="6900"/>
        <w:gridCol w:w="1560"/>
      </w:tblGrid>
      <w:tr>
        <w:trPr>
          <w:tblHeader w:val="true"/>
          <w:cantSplit/>
        </w:trPr>
        <w:tc>
          <w:tcPr>
            <w:tcW w:type="dxa" w:w="900"/>
            <w:tcMar>
              <w:top w:w="90" w:type="dxa"/>
              <w:start w:w="120" w:type="dxa"/>
              <w:bottom w:w="90" w:type="dxa"/>
              <w:end w:w="120" w:type="dxa"/>
            </w:tcMar>
            <w:vAlign w:val="center"/>
            <w:shd w:fill="1F4E78"/>
          </w:tcPr>
          <w:p>
            <w:pPr>
              <w:spacing w:after="40" w:before="0"/>
              <w:jc w:val="left"/>
            </w:pPr>
            <w:r>
              <w:rPr>
                <w:b/>
                <w:sz w:val="14"/>
                <w:color w:val="FFFFFF"/>
              </w:rPr>
              <w:t>Chapter</w:t>
            </w:r>
          </w:p>
        </w:tc>
        <w:tc>
          <w:tcPr>
            <w:tcW w:type="dxa" w:w="6900"/>
            <w:tcMar>
              <w:top w:w="90" w:type="dxa"/>
              <w:start w:w="120" w:type="dxa"/>
              <w:bottom w:w="90" w:type="dxa"/>
              <w:end w:w="120" w:type="dxa"/>
            </w:tcMar>
            <w:vAlign w:val="center"/>
            <w:shd w:fill="1F4E78"/>
          </w:tcPr>
          <w:p>
            <w:pPr>
              <w:spacing w:after="40" w:before="0"/>
              <w:jc w:val="left"/>
            </w:pPr>
            <w:r>
              <w:rPr>
                <w:b/>
                <w:sz w:val="14"/>
                <w:color w:val="FFFFFF"/>
              </w:rPr>
              <w:t>Title</w:t>
            </w:r>
          </w:p>
        </w:tc>
        <w:tc>
          <w:tcPr>
            <w:tcW w:type="dxa" w:w="1560"/>
            <w:tcMar>
              <w:top w:w="90" w:type="dxa"/>
              <w:start w:w="120" w:type="dxa"/>
              <w:bottom w:w="90" w:type="dxa"/>
              <w:end w:w="120" w:type="dxa"/>
            </w:tcMar>
            <w:vAlign w:val="center"/>
            <w:shd w:fill="1F4E78"/>
          </w:tcPr>
          <w:p>
            <w:pPr>
              <w:spacing w:after="40" w:before="0"/>
              <w:jc w:val="left"/>
            </w:pPr>
            <w:r>
              <w:rPr>
                <w:b/>
                <w:sz w:val="14"/>
                <w:color w:val="FFFFFF"/>
              </w:rPr>
              <w:t>Starts on page</w:t>
            </w:r>
          </w:p>
        </w:tc>
      </w:tr>
      <w:tr>
        <w:trPr>
          <w:cantSplit/>
        </w:trPr>
        <w:tc>
          <w:tcPr>
            <w:tcW w:type="dxa" w:w="900"/>
            <w:vAlign w:val="center"/>
          </w:tcPr>
          <w:p>
            <w:pPr>
              <w:spacing w:after="40" w:line="252" w:lineRule="auto" w:before="0"/>
            </w:pPr>
            <w:r>
              <w:rPr>
                <w:color w:val="1A1A1A"/>
                <w:sz w:val="14"/>
              </w:rPr>
              <w:t>1</w:t>
            </w:r>
          </w:p>
        </w:tc>
        <w:tc>
          <w:tcPr>
            <w:tcW w:type="dxa" w:w="6900"/>
            <w:vAlign w:val="center"/>
          </w:tcPr>
          <w:p>
            <w:pPr>
              <w:spacing w:after="40" w:line="252" w:lineRule="auto" w:before="0"/>
            </w:pPr>
            <w:r>
              <w:rPr>
                <w:color w:val="1A1A1A"/>
                <w:sz w:val="14"/>
              </w:rPr>
              <w:t>ISO/IEC 42001 and the AI Management System</w:t>
            </w:r>
          </w:p>
        </w:tc>
        <w:tc>
          <w:tcPr>
            <w:tcW w:type="dxa" w:w="1560"/>
            <w:vAlign w:val="center"/>
          </w:tcPr>
          <w:p>
            <w:pPr>
              <w:spacing w:after="40" w:line="252" w:lineRule="auto" w:before="0"/>
            </w:pPr>
            <w:r>
              <w:rPr>
                <w:color w:val="1A1A1A"/>
                <w:sz w:val="14"/>
              </w:rPr>
              <w:t>5</w:t>
            </w:r>
          </w:p>
        </w:tc>
      </w:tr>
      <w:tr>
        <w:trPr>
          <w:cantSplit/>
        </w:trPr>
        <w:tc>
          <w:tcPr>
            <w:tcW w:type="dxa" w:w="900"/>
            <w:shd w:fill="F7F9FB"/>
            <w:vAlign w:val="center"/>
          </w:tcPr>
          <w:p>
            <w:pPr>
              <w:spacing w:after="40" w:line="252" w:lineRule="auto" w:before="0"/>
            </w:pPr>
            <w:r>
              <w:rPr>
                <w:color w:val="1A1A1A"/>
                <w:sz w:val="14"/>
              </w:rPr>
              <w:t>2</w:t>
            </w:r>
          </w:p>
        </w:tc>
        <w:tc>
          <w:tcPr>
            <w:tcW w:type="dxa" w:w="6900"/>
            <w:shd w:fill="F7F9FB"/>
            <w:vAlign w:val="center"/>
          </w:tcPr>
          <w:p>
            <w:pPr>
              <w:spacing w:after="40" w:line="252" w:lineRule="auto" w:before="0"/>
            </w:pPr>
            <w:r>
              <w:rPr>
                <w:color w:val="1A1A1A"/>
                <w:sz w:val="14"/>
              </w:rPr>
              <w:t>AIMS Architecture and the Plan-Do-Check-Act Cycle</w:t>
            </w:r>
          </w:p>
        </w:tc>
        <w:tc>
          <w:tcPr>
            <w:tcW w:type="dxa" w:w="1560"/>
            <w:shd w:fill="F7F9FB"/>
            <w:vAlign w:val="center"/>
          </w:tcPr>
          <w:p>
            <w:pPr>
              <w:spacing w:after="40" w:line="252" w:lineRule="auto" w:before="0"/>
            </w:pPr>
            <w:r>
              <w:rPr>
                <w:color w:val="1A1A1A"/>
                <w:sz w:val="14"/>
              </w:rPr>
              <w:t>6</w:t>
            </w:r>
          </w:p>
        </w:tc>
      </w:tr>
      <w:tr>
        <w:trPr>
          <w:cantSplit/>
        </w:trPr>
        <w:tc>
          <w:tcPr>
            <w:tcW w:type="dxa" w:w="900"/>
            <w:vAlign w:val="center"/>
          </w:tcPr>
          <w:p>
            <w:pPr>
              <w:spacing w:after="40" w:line="252" w:lineRule="auto" w:before="0"/>
            </w:pPr>
            <w:r>
              <w:rPr>
                <w:color w:val="1A1A1A"/>
                <w:sz w:val="14"/>
              </w:rPr>
              <w:t>3</w:t>
            </w:r>
          </w:p>
        </w:tc>
        <w:tc>
          <w:tcPr>
            <w:tcW w:type="dxa" w:w="6900"/>
            <w:vAlign w:val="center"/>
          </w:tcPr>
          <w:p>
            <w:pPr>
              <w:spacing w:after="40" w:line="252" w:lineRule="auto" w:before="0"/>
            </w:pPr>
            <w:r>
              <w:rPr>
                <w:color w:val="1A1A1A"/>
                <w:sz w:val="14"/>
              </w:rPr>
              <w:t>Applicability, Organizational Roles, and Implementation Roadmap</w:t>
            </w:r>
          </w:p>
        </w:tc>
        <w:tc>
          <w:tcPr>
            <w:tcW w:type="dxa" w:w="1560"/>
            <w:vAlign w:val="center"/>
          </w:tcPr>
          <w:p>
            <w:pPr>
              <w:spacing w:after="40" w:line="252" w:lineRule="auto" w:before="0"/>
            </w:pPr>
            <w:r>
              <w:rPr>
                <w:color w:val="1A1A1A"/>
                <w:sz w:val="14"/>
              </w:rPr>
              <w:t>7</w:t>
            </w:r>
          </w:p>
        </w:tc>
      </w:tr>
      <w:tr>
        <w:trPr>
          <w:cantSplit/>
        </w:trPr>
        <w:tc>
          <w:tcPr>
            <w:tcW w:type="dxa" w:w="900"/>
            <w:shd w:fill="F7F9FB"/>
            <w:vAlign w:val="center"/>
          </w:tcPr>
          <w:p>
            <w:pPr>
              <w:spacing w:after="40" w:line="252" w:lineRule="auto" w:before="0"/>
            </w:pPr>
            <w:r>
              <w:rPr>
                <w:color w:val="1A1A1A"/>
                <w:sz w:val="14"/>
              </w:rPr>
              <w:t>4</w:t>
            </w:r>
          </w:p>
        </w:tc>
        <w:tc>
          <w:tcPr>
            <w:tcW w:type="dxa" w:w="6900"/>
            <w:shd w:fill="F7F9FB"/>
            <w:vAlign w:val="center"/>
          </w:tcPr>
          <w:p>
            <w:pPr>
              <w:spacing w:after="40" w:line="252" w:lineRule="auto" w:before="0"/>
            </w:pPr>
            <w:r>
              <w:rPr>
                <w:color w:val="1A1A1A"/>
                <w:sz w:val="14"/>
              </w:rPr>
              <w:t>Clause 4: Context of the Organization</w:t>
            </w:r>
          </w:p>
        </w:tc>
        <w:tc>
          <w:tcPr>
            <w:tcW w:type="dxa" w:w="1560"/>
            <w:shd w:fill="F7F9FB"/>
            <w:vAlign w:val="center"/>
          </w:tcPr>
          <w:p>
            <w:pPr>
              <w:spacing w:after="40" w:line="252" w:lineRule="auto" w:before="0"/>
            </w:pPr>
            <w:r>
              <w:rPr>
                <w:color w:val="1A1A1A"/>
                <w:sz w:val="14"/>
              </w:rPr>
              <w:t>9</w:t>
            </w:r>
          </w:p>
        </w:tc>
      </w:tr>
      <w:tr>
        <w:trPr>
          <w:cantSplit/>
        </w:trPr>
        <w:tc>
          <w:tcPr>
            <w:tcW w:type="dxa" w:w="900"/>
            <w:vAlign w:val="center"/>
          </w:tcPr>
          <w:p>
            <w:pPr>
              <w:spacing w:after="40" w:line="252" w:lineRule="auto" w:before="0"/>
            </w:pPr>
            <w:r>
              <w:rPr>
                <w:color w:val="1A1A1A"/>
                <w:sz w:val="14"/>
              </w:rPr>
              <w:t>5</w:t>
            </w:r>
          </w:p>
        </w:tc>
        <w:tc>
          <w:tcPr>
            <w:tcW w:type="dxa" w:w="6900"/>
            <w:vAlign w:val="center"/>
          </w:tcPr>
          <w:p>
            <w:pPr>
              <w:spacing w:after="40" w:line="252" w:lineRule="auto" w:before="0"/>
            </w:pPr>
            <w:r>
              <w:rPr>
                <w:color w:val="1A1A1A"/>
                <w:sz w:val="14"/>
              </w:rPr>
              <w:t>Clause 5: Leadership</w:t>
            </w:r>
          </w:p>
        </w:tc>
        <w:tc>
          <w:tcPr>
            <w:tcW w:type="dxa" w:w="1560"/>
            <w:vAlign w:val="center"/>
          </w:tcPr>
          <w:p>
            <w:pPr>
              <w:spacing w:after="40" w:line="252" w:lineRule="auto" w:before="0"/>
            </w:pPr>
            <w:r>
              <w:rPr>
                <w:color w:val="1A1A1A"/>
                <w:sz w:val="14"/>
              </w:rPr>
              <w:t>10</w:t>
            </w:r>
          </w:p>
        </w:tc>
      </w:tr>
      <w:tr>
        <w:trPr>
          <w:cantSplit/>
        </w:trPr>
        <w:tc>
          <w:tcPr>
            <w:tcW w:type="dxa" w:w="900"/>
            <w:shd w:fill="F7F9FB"/>
            <w:vAlign w:val="center"/>
          </w:tcPr>
          <w:p>
            <w:pPr>
              <w:spacing w:after="40" w:line="252" w:lineRule="auto" w:before="0"/>
            </w:pPr>
            <w:r>
              <w:rPr>
                <w:color w:val="1A1A1A"/>
                <w:sz w:val="14"/>
              </w:rPr>
              <w:t>6</w:t>
            </w:r>
          </w:p>
        </w:tc>
        <w:tc>
          <w:tcPr>
            <w:tcW w:type="dxa" w:w="6900"/>
            <w:shd w:fill="F7F9FB"/>
            <w:vAlign w:val="center"/>
          </w:tcPr>
          <w:p>
            <w:pPr>
              <w:spacing w:after="40" w:line="252" w:lineRule="auto" w:before="0"/>
            </w:pPr>
            <w:r>
              <w:rPr>
                <w:color w:val="1A1A1A"/>
                <w:sz w:val="14"/>
              </w:rPr>
              <w:t>Clause 6.1: Actions to Address Risks and Opportunities</w:t>
            </w:r>
          </w:p>
        </w:tc>
        <w:tc>
          <w:tcPr>
            <w:tcW w:type="dxa" w:w="1560"/>
            <w:shd w:fill="F7F9FB"/>
            <w:vAlign w:val="center"/>
          </w:tcPr>
          <w:p>
            <w:pPr>
              <w:spacing w:after="40" w:line="252" w:lineRule="auto" w:before="0"/>
            </w:pPr>
            <w:r>
              <w:rPr>
                <w:color w:val="1A1A1A"/>
                <w:sz w:val="14"/>
              </w:rPr>
              <w:t>11</w:t>
            </w:r>
          </w:p>
        </w:tc>
      </w:tr>
      <w:tr>
        <w:trPr>
          <w:cantSplit/>
        </w:trPr>
        <w:tc>
          <w:tcPr>
            <w:tcW w:type="dxa" w:w="900"/>
            <w:vAlign w:val="center"/>
          </w:tcPr>
          <w:p>
            <w:pPr>
              <w:spacing w:after="40" w:line="252" w:lineRule="auto" w:before="0"/>
            </w:pPr>
            <w:r>
              <w:rPr>
                <w:color w:val="1A1A1A"/>
                <w:sz w:val="14"/>
              </w:rPr>
              <w:t>7</w:t>
            </w:r>
          </w:p>
        </w:tc>
        <w:tc>
          <w:tcPr>
            <w:tcW w:type="dxa" w:w="6900"/>
            <w:vAlign w:val="center"/>
          </w:tcPr>
          <w:p>
            <w:pPr>
              <w:spacing w:after="40" w:line="252" w:lineRule="auto" w:before="0"/>
            </w:pPr>
            <w:r>
              <w:rPr>
                <w:color w:val="1A1A1A"/>
                <w:sz w:val="14"/>
              </w:rPr>
              <w:t>Clause 6.1.2: AI Risk Assessment</w:t>
            </w:r>
          </w:p>
        </w:tc>
        <w:tc>
          <w:tcPr>
            <w:tcW w:type="dxa" w:w="1560"/>
            <w:vAlign w:val="center"/>
          </w:tcPr>
          <w:p>
            <w:pPr>
              <w:spacing w:after="40" w:line="252" w:lineRule="auto" w:before="0"/>
            </w:pPr>
            <w:r>
              <w:rPr>
                <w:color w:val="1A1A1A"/>
                <w:sz w:val="14"/>
              </w:rPr>
              <w:t>12</w:t>
            </w:r>
          </w:p>
        </w:tc>
      </w:tr>
      <w:tr>
        <w:trPr>
          <w:cantSplit/>
        </w:trPr>
        <w:tc>
          <w:tcPr>
            <w:tcW w:type="dxa" w:w="900"/>
            <w:shd w:fill="F7F9FB"/>
            <w:vAlign w:val="center"/>
          </w:tcPr>
          <w:p>
            <w:pPr>
              <w:spacing w:after="40" w:line="252" w:lineRule="auto" w:before="0"/>
            </w:pPr>
            <w:r>
              <w:rPr>
                <w:color w:val="1A1A1A"/>
                <w:sz w:val="14"/>
              </w:rPr>
              <w:t>8</w:t>
            </w:r>
          </w:p>
        </w:tc>
        <w:tc>
          <w:tcPr>
            <w:tcW w:type="dxa" w:w="6900"/>
            <w:shd w:fill="F7F9FB"/>
            <w:vAlign w:val="center"/>
          </w:tcPr>
          <w:p>
            <w:pPr>
              <w:spacing w:after="40" w:line="252" w:lineRule="auto" w:before="0"/>
            </w:pPr>
            <w:r>
              <w:rPr>
                <w:color w:val="1A1A1A"/>
                <w:sz w:val="14"/>
              </w:rPr>
              <w:t>Clause 6.1.3: AI Risk Treatment and the Statement of Applicability</w:t>
            </w:r>
          </w:p>
        </w:tc>
        <w:tc>
          <w:tcPr>
            <w:tcW w:type="dxa" w:w="1560"/>
            <w:shd w:fill="F7F9FB"/>
            <w:vAlign w:val="center"/>
          </w:tcPr>
          <w:p>
            <w:pPr>
              <w:spacing w:after="40" w:line="252" w:lineRule="auto" w:before="0"/>
            </w:pPr>
            <w:r>
              <w:rPr>
                <w:color w:val="1A1A1A"/>
                <w:sz w:val="14"/>
              </w:rPr>
              <w:t>14</w:t>
            </w:r>
          </w:p>
        </w:tc>
      </w:tr>
      <w:tr>
        <w:trPr>
          <w:cantSplit/>
        </w:trPr>
        <w:tc>
          <w:tcPr>
            <w:tcW w:type="dxa" w:w="900"/>
            <w:vAlign w:val="center"/>
          </w:tcPr>
          <w:p>
            <w:pPr>
              <w:spacing w:after="40" w:line="252" w:lineRule="auto" w:before="0"/>
            </w:pPr>
            <w:r>
              <w:rPr>
                <w:color w:val="1A1A1A"/>
                <w:sz w:val="14"/>
              </w:rPr>
              <w:t>9</w:t>
            </w:r>
          </w:p>
        </w:tc>
        <w:tc>
          <w:tcPr>
            <w:tcW w:type="dxa" w:w="6900"/>
            <w:vAlign w:val="center"/>
          </w:tcPr>
          <w:p>
            <w:pPr>
              <w:spacing w:after="40" w:line="252" w:lineRule="auto" w:before="0"/>
            </w:pPr>
            <w:r>
              <w:rPr>
                <w:color w:val="1A1A1A"/>
                <w:sz w:val="14"/>
              </w:rPr>
              <w:t>Clause 6.1.4: AI System Impact Assessment</w:t>
            </w:r>
          </w:p>
        </w:tc>
        <w:tc>
          <w:tcPr>
            <w:tcW w:type="dxa" w:w="1560"/>
            <w:vAlign w:val="center"/>
          </w:tcPr>
          <w:p>
            <w:pPr>
              <w:spacing w:after="40" w:line="252" w:lineRule="auto" w:before="0"/>
            </w:pPr>
            <w:r>
              <w:rPr>
                <w:color w:val="1A1A1A"/>
                <w:sz w:val="14"/>
              </w:rPr>
              <w:t>15</w:t>
            </w:r>
          </w:p>
        </w:tc>
      </w:tr>
      <w:tr>
        <w:trPr>
          <w:cantSplit/>
        </w:trPr>
        <w:tc>
          <w:tcPr>
            <w:tcW w:type="dxa" w:w="900"/>
            <w:shd w:fill="F7F9FB"/>
            <w:vAlign w:val="center"/>
          </w:tcPr>
          <w:p>
            <w:pPr>
              <w:spacing w:after="40" w:line="252" w:lineRule="auto" w:before="0"/>
            </w:pPr>
            <w:r>
              <w:rPr>
                <w:color w:val="1A1A1A"/>
                <w:sz w:val="14"/>
              </w:rPr>
              <w:t>10</w:t>
            </w:r>
          </w:p>
        </w:tc>
        <w:tc>
          <w:tcPr>
            <w:tcW w:type="dxa" w:w="6900"/>
            <w:shd w:fill="F7F9FB"/>
            <w:vAlign w:val="center"/>
          </w:tcPr>
          <w:p>
            <w:pPr>
              <w:spacing w:after="40" w:line="252" w:lineRule="auto" w:before="0"/>
            </w:pPr>
            <w:r>
              <w:rPr>
                <w:color w:val="1A1A1A"/>
                <w:sz w:val="14"/>
              </w:rPr>
              <w:t>Clause 6.2 and 6.3: Objectives and Planning Changes</w:t>
            </w:r>
          </w:p>
        </w:tc>
        <w:tc>
          <w:tcPr>
            <w:tcW w:type="dxa" w:w="1560"/>
            <w:shd w:fill="F7F9FB"/>
            <w:vAlign w:val="center"/>
          </w:tcPr>
          <w:p>
            <w:pPr>
              <w:spacing w:after="40" w:line="252" w:lineRule="auto" w:before="0"/>
            </w:pPr>
            <w:r>
              <w:rPr>
                <w:color w:val="1A1A1A"/>
                <w:sz w:val="14"/>
              </w:rPr>
              <w:t>17</w:t>
            </w:r>
          </w:p>
        </w:tc>
      </w:tr>
      <w:tr>
        <w:trPr>
          <w:cantSplit/>
        </w:trPr>
        <w:tc>
          <w:tcPr>
            <w:tcW w:type="dxa" w:w="900"/>
            <w:vAlign w:val="center"/>
          </w:tcPr>
          <w:p>
            <w:pPr>
              <w:spacing w:after="40" w:line="252" w:lineRule="auto" w:before="0"/>
            </w:pPr>
            <w:r>
              <w:rPr>
                <w:color w:val="1A1A1A"/>
                <w:sz w:val="14"/>
              </w:rPr>
              <w:t>11</w:t>
            </w:r>
          </w:p>
        </w:tc>
        <w:tc>
          <w:tcPr>
            <w:tcW w:type="dxa" w:w="6900"/>
            <w:vAlign w:val="center"/>
          </w:tcPr>
          <w:p>
            <w:pPr>
              <w:spacing w:after="40" w:line="252" w:lineRule="auto" w:before="0"/>
            </w:pPr>
            <w:r>
              <w:rPr>
                <w:color w:val="1A1A1A"/>
                <w:sz w:val="14"/>
              </w:rPr>
              <w:t>Clause 7.1: Resources</w:t>
            </w:r>
          </w:p>
        </w:tc>
        <w:tc>
          <w:tcPr>
            <w:tcW w:type="dxa" w:w="1560"/>
            <w:vAlign w:val="center"/>
          </w:tcPr>
          <w:p>
            <w:pPr>
              <w:spacing w:after="40" w:line="252" w:lineRule="auto" w:before="0"/>
            </w:pPr>
            <w:r>
              <w:rPr>
                <w:color w:val="1A1A1A"/>
                <w:sz w:val="14"/>
              </w:rPr>
              <w:t>18</w:t>
            </w:r>
          </w:p>
        </w:tc>
      </w:tr>
      <w:tr>
        <w:trPr>
          <w:cantSplit/>
        </w:trPr>
        <w:tc>
          <w:tcPr>
            <w:tcW w:type="dxa" w:w="900"/>
            <w:shd w:fill="F7F9FB"/>
            <w:vAlign w:val="center"/>
          </w:tcPr>
          <w:p>
            <w:pPr>
              <w:spacing w:after="40" w:line="252" w:lineRule="auto" w:before="0"/>
            </w:pPr>
            <w:r>
              <w:rPr>
                <w:color w:val="1A1A1A"/>
                <w:sz w:val="14"/>
              </w:rPr>
              <w:t>12</w:t>
            </w:r>
          </w:p>
        </w:tc>
        <w:tc>
          <w:tcPr>
            <w:tcW w:type="dxa" w:w="6900"/>
            <w:shd w:fill="F7F9FB"/>
            <w:vAlign w:val="center"/>
          </w:tcPr>
          <w:p>
            <w:pPr>
              <w:spacing w:after="40" w:line="252" w:lineRule="auto" w:before="0"/>
            </w:pPr>
            <w:r>
              <w:rPr>
                <w:color w:val="1A1A1A"/>
                <w:sz w:val="14"/>
              </w:rPr>
              <w:t>Clauses 7.2–7.4: Competence, Awareness, and Communication</w:t>
            </w:r>
          </w:p>
        </w:tc>
        <w:tc>
          <w:tcPr>
            <w:tcW w:type="dxa" w:w="1560"/>
            <w:shd w:fill="F7F9FB"/>
            <w:vAlign w:val="center"/>
          </w:tcPr>
          <w:p>
            <w:pPr>
              <w:spacing w:after="40" w:line="252" w:lineRule="auto" w:before="0"/>
            </w:pPr>
            <w:r>
              <w:rPr>
                <w:color w:val="1A1A1A"/>
                <w:sz w:val="14"/>
              </w:rPr>
              <w:t>19</w:t>
            </w:r>
          </w:p>
        </w:tc>
      </w:tr>
      <w:tr>
        <w:trPr>
          <w:cantSplit/>
        </w:trPr>
        <w:tc>
          <w:tcPr>
            <w:tcW w:type="dxa" w:w="900"/>
            <w:vAlign w:val="center"/>
          </w:tcPr>
          <w:p>
            <w:pPr>
              <w:spacing w:after="40" w:line="252" w:lineRule="auto" w:before="0"/>
            </w:pPr>
            <w:r>
              <w:rPr>
                <w:color w:val="1A1A1A"/>
                <w:sz w:val="14"/>
              </w:rPr>
              <w:t>13</w:t>
            </w:r>
          </w:p>
        </w:tc>
        <w:tc>
          <w:tcPr>
            <w:tcW w:type="dxa" w:w="6900"/>
            <w:vAlign w:val="center"/>
          </w:tcPr>
          <w:p>
            <w:pPr>
              <w:spacing w:after="40" w:line="252" w:lineRule="auto" w:before="0"/>
            </w:pPr>
            <w:r>
              <w:rPr>
                <w:color w:val="1A1A1A"/>
                <w:sz w:val="14"/>
              </w:rPr>
              <w:t>Clause 7.5: Documented Information</w:t>
            </w:r>
          </w:p>
        </w:tc>
        <w:tc>
          <w:tcPr>
            <w:tcW w:type="dxa" w:w="1560"/>
            <w:vAlign w:val="center"/>
          </w:tcPr>
          <w:p>
            <w:pPr>
              <w:spacing w:after="40" w:line="252" w:lineRule="auto" w:before="0"/>
            </w:pPr>
            <w:r>
              <w:rPr>
                <w:color w:val="1A1A1A"/>
                <w:sz w:val="14"/>
              </w:rPr>
              <w:t>20</w:t>
            </w:r>
          </w:p>
        </w:tc>
      </w:tr>
      <w:tr>
        <w:trPr>
          <w:cantSplit/>
        </w:trPr>
        <w:tc>
          <w:tcPr>
            <w:tcW w:type="dxa" w:w="900"/>
            <w:shd w:fill="F7F9FB"/>
            <w:vAlign w:val="center"/>
          </w:tcPr>
          <w:p>
            <w:pPr>
              <w:spacing w:after="40" w:line="252" w:lineRule="auto" w:before="0"/>
            </w:pPr>
            <w:r>
              <w:rPr>
                <w:color w:val="1A1A1A"/>
                <w:sz w:val="14"/>
              </w:rPr>
              <w:t>14</w:t>
            </w:r>
          </w:p>
        </w:tc>
        <w:tc>
          <w:tcPr>
            <w:tcW w:type="dxa" w:w="6900"/>
            <w:shd w:fill="F7F9FB"/>
            <w:vAlign w:val="center"/>
          </w:tcPr>
          <w:p>
            <w:pPr>
              <w:spacing w:after="40" w:line="252" w:lineRule="auto" w:before="0"/>
            </w:pPr>
            <w:r>
              <w:rPr>
                <w:color w:val="1A1A1A"/>
                <w:sz w:val="14"/>
              </w:rPr>
              <w:t>Clause 8.1: Operational Planning and Control</w:t>
            </w:r>
          </w:p>
        </w:tc>
        <w:tc>
          <w:tcPr>
            <w:tcW w:type="dxa" w:w="1560"/>
            <w:shd w:fill="F7F9FB"/>
            <w:vAlign w:val="center"/>
          </w:tcPr>
          <w:p>
            <w:pPr>
              <w:spacing w:after="40" w:line="252" w:lineRule="auto" w:before="0"/>
            </w:pPr>
            <w:r>
              <w:rPr>
                <w:color w:val="1A1A1A"/>
                <w:sz w:val="14"/>
              </w:rPr>
              <w:t>21</w:t>
            </w:r>
          </w:p>
        </w:tc>
      </w:tr>
      <w:tr>
        <w:trPr>
          <w:cantSplit/>
        </w:trPr>
        <w:tc>
          <w:tcPr>
            <w:tcW w:type="dxa" w:w="900"/>
            <w:vAlign w:val="center"/>
          </w:tcPr>
          <w:p>
            <w:pPr>
              <w:spacing w:after="40" w:line="252" w:lineRule="auto" w:before="0"/>
            </w:pPr>
            <w:r>
              <w:rPr>
                <w:color w:val="1A1A1A"/>
                <w:sz w:val="14"/>
              </w:rPr>
              <w:t>15</w:t>
            </w:r>
          </w:p>
        </w:tc>
        <w:tc>
          <w:tcPr>
            <w:tcW w:type="dxa" w:w="6900"/>
            <w:vAlign w:val="center"/>
          </w:tcPr>
          <w:p>
            <w:pPr>
              <w:spacing w:after="40" w:line="252" w:lineRule="auto" w:before="0"/>
            </w:pPr>
            <w:r>
              <w:rPr>
                <w:color w:val="1A1A1A"/>
                <w:sz w:val="14"/>
              </w:rPr>
              <w:t>Clauses 8.2–8.4: Operational Risk, Treatment, and Impact Assessment</w:t>
            </w:r>
          </w:p>
        </w:tc>
        <w:tc>
          <w:tcPr>
            <w:tcW w:type="dxa" w:w="1560"/>
            <w:vAlign w:val="center"/>
          </w:tcPr>
          <w:p>
            <w:pPr>
              <w:spacing w:after="40" w:line="252" w:lineRule="auto" w:before="0"/>
            </w:pPr>
            <w:r>
              <w:rPr>
                <w:color w:val="1A1A1A"/>
                <w:sz w:val="14"/>
              </w:rPr>
              <w:t>22</w:t>
            </w:r>
          </w:p>
        </w:tc>
      </w:tr>
      <w:tr>
        <w:trPr>
          <w:cantSplit/>
        </w:trPr>
        <w:tc>
          <w:tcPr>
            <w:tcW w:type="dxa" w:w="900"/>
            <w:shd w:fill="F7F9FB"/>
            <w:vAlign w:val="center"/>
          </w:tcPr>
          <w:p>
            <w:pPr>
              <w:spacing w:after="40" w:line="252" w:lineRule="auto" w:before="0"/>
            </w:pPr>
            <w:r>
              <w:rPr>
                <w:color w:val="1A1A1A"/>
                <w:sz w:val="14"/>
              </w:rPr>
              <w:t>16</w:t>
            </w:r>
          </w:p>
        </w:tc>
        <w:tc>
          <w:tcPr>
            <w:tcW w:type="dxa" w:w="6900"/>
            <w:shd w:fill="F7F9FB"/>
            <w:vAlign w:val="center"/>
          </w:tcPr>
          <w:p>
            <w:pPr>
              <w:spacing w:after="40" w:line="252" w:lineRule="auto" w:before="0"/>
            </w:pPr>
            <w:r>
              <w:rPr>
                <w:color w:val="1A1A1A"/>
                <w:sz w:val="14"/>
              </w:rPr>
              <w:t>Clause 9.1: Monitoring, Measurement, Analysis, and Evaluation</w:t>
            </w:r>
          </w:p>
        </w:tc>
        <w:tc>
          <w:tcPr>
            <w:tcW w:type="dxa" w:w="1560"/>
            <w:shd w:fill="F7F9FB"/>
            <w:vAlign w:val="center"/>
          </w:tcPr>
          <w:p>
            <w:pPr>
              <w:spacing w:after="40" w:line="252" w:lineRule="auto" w:before="0"/>
            </w:pPr>
            <w:r>
              <w:rPr>
                <w:color w:val="1A1A1A"/>
                <w:sz w:val="14"/>
              </w:rPr>
              <w:t>23</w:t>
            </w:r>
          </w:p>
        </w:tc>
      </w:tr>
      <w:tr>
        <w:trPr>
          <w:cantSplit/>
        </w:trPr>
        <w:tc>
          <w:tcPr>
            <w:tcW w:type="dxa" w:w="900"/>
            <w:vAlign w:val="center"/>
          </w:tcPr>
          <w:p>
            <w:pPr>
              <w:spacing w:after="40" w:line="252" w:lineRule="auto" w:before="0"/>
            </w:pPr>
            <w:r>
              <w:rPr>
                <w:color w:val="1A1A1A"/>
                <w:sz w:val="14"/>
              </w:rPr>
              <w:t>17</w:t>
            </w:r>
          </w:p>
        </w:tc>
        <w:tc>
          <w:tcPr>
            <w:tcW w:type="dxa" w:w="6900"/>
            <w:vAlign w:val="center"/>
          </w:tcPr>
          <w:p>
            <w:pPr>
              <w:spacing w:after="40" w:line="252" w:lineRule="auto" w:before="0"/>
            </w:pPr>
            <w:r>
              <w:rPr>
                <w:color w:val="1A1A1A"/>
                <w:sz w:val="14"/>
              </w:rPr>
              <w:t>Clause 9.2: Internal Audit</w:t>
            </w:r>
          </w:p>
        </w:tc>
        <w:tc>
          <w:tcPr>
            <w:tcW w:type="dxa" w:w="1560"/>
            <w:vAlign w:val="center"/>
          </w:tcPr>
          <w:p>
            <w:pPr>
              <w:spacing w:after="40" w:line="252" w:lineRule="auto" w:before="0"/>
            </w:pPr>
            <w:r>
              <w:rPr>
                <w:color w:val="1A1A1A"/>
                <w:sz w:val="14"/>
              </w:rPr>
              <w:t>24</w:t>
            </w:r>
          </w:p>
        </w:tc>
      </w:tr>
      <w:tr>
        <w:trPr>
          <w:cantSplit/>
        </w:trPr>
        <w:tc>
          <w:tcPr>
            <w:tcW w:type="dxa" w:w="900"/>
            <w:shd w:fill="F7F9FB"/>
            <w:vAlign w:val="center"/>
          </w:tcPr>
          <w:p>
            <w:pPr>
              <w:spacing w:after="40" w:line="252" w:lineRule="auto" w:before="0"/>
            </w:pPr>
            <w:r>
              <w:rPr>
                <w:color w:val="1A1A1A"/>
                <w:sz w:val="14"/>
              </w:rPr>
              <w:t>18</w:t>
            </w:r>
          </w:p>
        </w:tc>
        <w:tc>
          <w:tcPr>
            <w:tcW w:type="dxa" w:w="6900"/>
            <w:shd w:fill="F7F9FB"/>
            <w:vAlign w:val="center"/>
          </w:tcPr>
          <w:p>
            <w:pPr>
              <w:spacing w:after="40" w:line="252" w:lineRule="auto" w:before="0"/>
            </w:pPr>
            <w:r>
              <w:rPr>
                <w:color w:val="1A1A1A"/>
                <w:sz w:val="14"/>
              </w:rPr>
              <w:t>Clause 9.3: Management Review</w:t>
            </w:r>
          </w:p>
        </w:tc>
        <w:tc>
          <w:tcPr>
            <w:tcW w:type="dxa" w:w="1560"/>
            <w:shd w:fill="F7F9FB"/>
            <w:vAlign w:val="center"/>
          </w:tcPr>
          <w:p>
            <w:pPr>
              <w:spacing w:after="40" w:line="252" w:lineRule="auto" w:before="0"/>
            </w:pPr>
            <w:r>
              <w:rPr>
                <w:color w:val="1A1A1A"/>
                <w:sz w:val="14"/>
              </w:rPr>
              <w:t>26</w:t>
            </w:r>
          </w:p>
        </w:tc>
      </w:tr>
      <w:tr>
        <w:trPr>
          <w:cantSplit/>
        </w:trPr>
        <w:tc>
          <w:tcPr>
            <w:tcW w:type="dxa" w:w="900"/>
            <w:vAlign w:val="center"/>
          </w:tcPr>
          <w:p>
            <w:pPr>
              <w:spacing w:after="40" w:line="252" w:lineRule="auto" w:before="0"/>
            </w:pPr>
            <w:r>
              <w:rPr>
                <w:color w:val="1A1A1A"/>
                <w:sz w:val="14"/>
              </w:rPr>
              <w:t>19</w:t>
            </w:r>
          </w:p>
        </w:tc>
        <w:tc>
          <w:tcPr>
            <w:tcW w:type="dxa" w:w="6900"/>
            <w:vAlign w:val="center"/>
          </w:tcPr>
          <w:p>
            <w:pPr>
              <w:spacing w:after="40" w:line="252" w:lineRule="auto" w:before="0"/>
            </w:pPr>
            <w:r>
              <w:rPr>
                <w:color w:val="1A1A1A"/>
                <w:sz w:val="14"/>
              </w:rPr>
              <w:t>Clause 10: Nonconformity, Corrective Action, and Continual Improvement</w:t>
            </w:r>
          </w:p>
        </w:tc>
        <w:tc>
          <w:tcPr>
            <w:tcW w:type="dxa" w:w="1560"/>
            <w:vAlign w:val="center"/>
          </w:tcPr>
          <w:p>
            <w:pPr>
              <w:spacing w:after="40" w:line="252" w:lineRule="auto" w:before="0"/>
            </w:pPr>
            <w:r>
              <w:rPr>
                <w:color w:val="1A1A1A"/>
                <w:sz w:val="14"/>
              </w:rPr>
              <w:t>27</w:t>
            </w:r>
          </w:p>
        </w:tc>
      </w:tr>
      <w:tr>
        <w:trPr>
          <w:cantSplit/>
        </w:trPr>
        <w:tc>
          <w:tcPr>
            <w:tcW w:type="dxa" w:w="900"/>
            <w:shd w:fill="F7F9FB"/>
            <w:vAlign w:val="center"/>
          </w:tcPr>
          <w:p>
            <w:pPr>
              <w:spacing w:after="40" w:line="252" w:lineRule="auto" w:before="0"/>
            </w:pPr>
            <w:r>
              <w:rPr>
                <w:color w:val="1A1A1A"/>
                <w:sz w:val="14"/>
              </w:rPr>
              <w:t>20</w:t>
            </w:r>
          </w:p>
        </w:tc>
        <w:tc>
          <w:tcPr>
            <w:tcW w:type="dxa" w:w="6900"/>
            <w:shd w:fill="F7F9FB"/>
            <w:vAlign w:val="center"/>
          </w:tcPr>
          <w:p>
            <w:pPr>
              <w:spacing w:after="40" w:line="252" w:lineRule="auto" w:before="0"/>
            </w:pPr>
            <w:r>
              <w:rPr>
                <w:color w:val="1A1A1A"/>
                <w:sz w:val="14"/>
              </w:rPr>
              <w:t>Annexes A–D and the Statement of Applicability</w:t>
            </w:r>
          </w:p>
        </w:tc>
        <w:tc>
          <w:tcPr>
            <w:tcW w:type="dxa" w:w="1560"/>
            <w:shd w:fill="F7F9FB"/>
            <w:vAlign w:val="center"/>
          </w:tcPr>
          <w:p>
            <w:pPr>
              <w:spacing w:after="40" w:line="252" w:lineRule="auto" w:before="0"/>
            </w:pPr>
            <w:r>
              <w:rPr>
                <w:color w:val="1A1A1A"/>
                <w:sz w:val="14"/>
              </w:rPr>
              <w:t>28</w:t>
            </w:r>
          </w:p>
        </w:tc>
      </w:tr>
      <w:tr>
        <w:trPr>
          <w:cantSplit/>
        </w:trPr>
        <w:tc>
          <w:tcPr>
            <w:tcW w:type="dxa" w:w="900"/>
            <w:vAlign w:val="center"/>
          </w:tcPr>
          <w:p>
            <w:pPr>
              <w:spacing w:after="40" w:line="252" w:lineRule="auto" w:before="0"/>
            </w:pPr>
            <w:r>
              <w:rPr>
                <w:color w:val="1A1A1A"/>
                <w:sz w:val="14"/>
              </w:rPr>
              <w:t>21</w:t>
            </w:r>
          </w:p>
        </w:tc>
        <w:tc>
          <w:tcPr>
            <w:tcW w:type="dxa" w:w="6900"/>
            <w:vAlign w:val="center"/>
          </w:tcPr>
          <w:p>
            <w:pPr>
              <w:spacing w:after="40" w:line="252" w:lineRule="auto" w:before="0"/>
            </w:pPr>
            <w:r>
              <w:rPr>
                <w:color w:val="1A1A1A"/>
                <w:sz w:val="14"/>
              </w:rPr>
              <w:t>Annex A.2: Policies Related to AI</w:t>
            </w:r>
          </w:p>
        </w:tc>
        <w:tc>
          <w:tcPr>
            <w:tcW w:type="dxa" w:w="1560"/>
            <w:vAlign w:val="center"/>
          </w:tcPr>
          <w:p>
            <w:pPr>
              <w:spacing w:after="40" w:line="252" w:lineRule="auto" w:before="0"/>
            </w:pPr>
            <w:r>
              <w:rPr>
                <w:color w:val="1A1A1A"/>
                <w:sz w:val="14"/>
              </w:rPr>
              <w:t>29</w:t>
            </w:r>
          </w:p>
        </w:tc>
      </w:tr>
      <w:tr>
        <w:trPr>
          <w:cantSplit/>
        </w:trPr>
        <w:tc>
          <w:tcPr>
            <w:tcW w:type="dxa" w:w="900"/>
            <w:shd w:fill="F7F9FB"/>
            <w:vAlign w:val="center"/>
          </w:tcPr>
          <w:p>
            <w:pPr>
              <w:spacing w:after="40" w:line="252" w:lineRule="auto" w:before="0"/>
            </w:pPr>
            <w:r>
              <w:rPr>
                <w:color w:val="1A1A1A"/>
                <w:sz w:val="14"/>
              </w:rPr>
              <w:t>22</w:t>
            </w:r>
          </w:p>
        </w:tc>
        <w:tc>
          <w:tcPr>
            <w:tcW w:type="dxa" w:w="6900"/>
            <w:shd w:fill="F7F9FB"/>
            <w:vAlign w:val="center"/>
          </w:tcPr>
          <w:p>
            <w:pPr>
              <w:spacing w:after="40" w:line="252" w:lineRule="auto" w:before="0"/>
            </w:pPr>
            <w:r>
              <w:rPr>
                <w:color w:val="1A1A1A"/>
                <w:sz w:val="14"/>
              </w:rPr>
              <w:t>Annex A.3: Internal Organization</w:t>
            </w:r>
          </w:p>
        </w:tc>
        <w:tc>
          <w:tcPr>
            <w:tcW w:type="dxa" w:w="1560"/>
            <w:shd w:fill="F7F9FB"/>
            <w:vAlign w:val="center"/>
          </w:tcPr>
          <w:p>
            <w:pPr>
              <w:spacing w:after="40" w:line="252" w:lineRule="auto" w:before="0"/>
            </w:pPr>
            <w:r>
              <w:rPr>
                <w:color w:val="1A1A1A"/>
                <w:sz w:val="14"/>
              </w:rPr>
              <w:t>30</w:t>
            </w:r>
          </w:p>
        </w:tc>
      </w:tr>
      <w:tr>
        <w:trPr>
          <w:cantSplit/>
        </w:trPr>
        <w:tc>
          <w:tcPr>
            <w:tcW w:type="dxa" w:w="900"/>
            <w:vAlign w:val="center"/>
          </w:tcPr>
          <w:p>
            <w:pPr>
              <w:spacing w:after="40" w:line="252" w:lineRule="auto" w:before="0"/>
            </w:pPr>
            <w:r>
              <w:rPr>
                <w:color w:val="1A1A1A"/>
                <w:sz w:val="14"/>
              </w:rPr>
              <w:t>23</w:t>
            </w:r>
          </w:p>
        </w:tc>
        <w:tc>
          <w:tcPr>
            <w:tcW w:type="dxa" w:w="6900"/>
            <w:vAlign w:val="center"/>
          </w:tcPr>
          <w:p>
            <w:pPr>
              <w:spacing w:after="40" w:line="252" w:lineRule="auto" w:before="0"/>
            </w:pPr>
            <w:r>
              <w:rPr>
                <w:color w:val="1A1A1A"/>
                <w:sz w:val="14"/>
              </w:rPr>
              <w:t>Annex A.4: Resources for AI Systems</w:t>
            </w:r>
          </w:p>
        </w:tc>
        <w:tc>
          <w:tcPr>
            <w:tcW w:type="dxa" w:w="1560"/>
            <w:vAlign w:val="center"/>
          </w:tcPr>
          <w:p>
            <w:pPr>
              <w:spacing w:after="40" w:line="252" w:lineRule="auto" w:before="0"/>
            </w:pPr>
            <w:r>
              <w:rPr>
                <w:color w:val="1A1A1A"/>
                <w:sz w:val="14"/>
              </w:rPr>
              <w:t>31</w:t>
            </w:r>
          </w:p>
        </w:tc>
      </w:tr>
      <w:tr>
        <w:trPr>
          <w:cantSplit/>
        </w:trPr>
        <w:tc>
          <w:tcPr>
            <w:tcW w:type="dxa" w:w="900"/>
            <w:shd w:fill="F7F9FB"/>
            <w:vAlign w:val="center"/>
          </w:tcPr>
          <w:p>
            <w:pPr>
              <w:spacing w:after="40" w:line="252" w:lineRule="auto" w:before="0"/>
            </w:pPr>
            <w:r>
              <w:rPr>
                <w:color w:val="1A1A1A"/>
                <w:sz w:val="14"/>
              </w:rPr>
              <w:t>24</w:t>
            </w:r>
          </w:p>
        </w:tc>
        <w:tc>
          <w:tcPr>
            <w:tcW w:type="dxa" w:w="6900"/>
            <w:shd w:fill="F7F9FB"/>
            <w:vAlign w:val="center"/>
          </w:tcPr>
          <w:p>
            <w:pPr>
              <w:spacing w:after="40" w:line="252" w:lineRule="auto" w:before="0"/>
            </w:pPr>
            <w:r>
              <w:rPr>
                <w:color w:val="1A1A1A"/>
                <w:sz w:val="14"/>
              </w:rPr>
              <w:t>Annex A.5 and ISO/IEC 42005: AI System Impact Assessment</w:t>
            </w:r>
          </w:p>
        </w:tc>
        <w:tc>
          <w:tcPr>
            <w:tcW w:type="dxa" w:w="1560"/>
            <w:shd w:fill="F7F9FB"/>
            <w:vAlign w:val="center"/>
          </w:tcPr>
          <w:p>
            <w:pPr>
              <w:spacing w:after="40" w:line="252" w:lineRule="auto" w:before="0"/>
            </w:pPr>
            <w:r>
              <w:rPr>
                <w:color w:val="1A1A1A"/>
                <w:sz w:val="14"/>
              </w:rPr>
              <w:t>32</w:t>
            </w:r>
          </w:p>
        </w:tc>
      </w:tr>
      <w:tr>
        <w:trPr>
          <w:cantSplit/>
        </w:trPr>
        <w:tc>
          <w:tcPr>
            <w:tcW w:type="dxa" w:w="900"/>
            <w:vAlign w:val="center"/>
          </w:tcPr>
          <w:p>
            <w:pPr>
              <w:spacing w:after="40" w:line="252" w:lineRule="auto" w:before="0"/>
            </w:pPr>
            <w:r>
              <w:rPr>
                <w:color w:val="1A1A1A"/>
                <w:sz w:val="14"/>
              </w:rPr>
              <w:t>25</w:t>
            </w:r>
          </w:p>
        </w:tc>
        <w:tc>
          <w:tcPr>
            <w:tcW w:type="dxa" w:w="6900"/>
            <w:vAlign w:val="center"/>
          </w:tcPr>
          <w:p>
            <w:pPr>
              <w:spacing w:after="40" w:line="252" w:lineRule="auto" w:before="0"/>
            </w:pPr>
            <w:r>
              <w:rPr>
                <w:color w:val="1A1A1A"/>
                <w:sz w:val="14"/>
              </w:rPr>
              <w:t>Annex A.6: AI System Life Cycle</w:t>
            </w:r>
          </w:p>
        </w:tc>
        <w:tc>
          <w:tcPr>
            <w:tcW w:type="dxa" w:w="1560"/>
            <w:vAlign w:val="center"/>
          </w:tcPr>
          <w:p>
            <w:pPr>
              <w:spacing w:after="40" w:line="252" w:lineRule="auto" w:before="0"/>
            </w:pPr>
            <w:r>
              <w:rPr>
                <w:color w:val="1A1A1A"/>
                <w:sz w:val="14"/>
              </w:rPr>
              <w:t>33</w:t>
            </w:r>
          </w:p>
        </w:tc>
      </w:tr>
      <w:tr>
        <w:trPr>
          <w:cantSplit/>
        </w:trPr>
        <w:tc>
          <w:tcPr>
            <w:tcW w:type="dxa" w:w="900"/>
            <w:shd w:fill="F7F9FB"/>
            <w:vAlign w:val="center"/>
          </w:tcPr>
          <w:p>
            <w:pPr>
              <w:spacing w:after="40" w:line="252" w:lineRule="auto" w:before="0"/>
            </w:pPr>
            <w:r>
              <w:rPr>
                <w:color w:val="1A1A1A"/>
                <w:sz w:val="14"/>
              </w:rPr>
              <w:t>26</w:t>
            </w:r>
          </w:p>
        </w:tc>
        <w:tc>
          <w:tcPr>
            <w:tcW w:type="dxa" w:w="6900"/>
            <w:shd w:fill="F7F9FB"/>
            <w:vAlign w:val="center"/>
          </w:tcPr>
          <w:p>
            <w:pPr>
              <w:spacing w:after="40" w:line="252" w:lineRule="auto" w:before="0"/>
            </w:pPr>
            <w:r>
              <w:rPr>
                <w:color w:val="1A1A1A"/>
                <w:sz w:val="14"/>
              </w:rPr>
              <w:t>Annex A.7: Data for AI Systems</w:t>
            </w:r>
          </w:p>
        </w:tc>
        <w:tc>
          <w:tcPr>
            <w:tcW w:type="dxa" w:w="1560"/>
            <w:shd w:fill="F7F9FB"/>
            <w:vAlign w:val="center"/>
          </w:tcPr>
          <w:p>
            <w:pPr>
              <w:spacing w:after="40" w:line="252" w:lineRule="auto" w:before="0"/>
            </w:pPr>
            <w:r>
              <w:rPr>
                <w:color w:val="1A1A1A"/>
                <w:sz w:val="14"/>
              </w:rPr>
              <w:t>34</w:t>
            </w:r>
          </w:p>
        </w:tc>
      </w:tr>
      <w:tr>
        <w:trPr>
          <w:cantSplit/>
        </w:trPr>
        <w:tc>
          <w:tcPr>
            <w:tcW w:type="dxa" w:w="900"/>
            <w:vAlign w:val="center"/>
          </w:tcPr>
          <w:p>
            <w:pPr>
              <w:spacing w:after="40" w:line="252" w:lineRule="auto" w:before="0"/>
            </w:pPr>
            <w:r>
              <w:rPr>
                <w:color w:val="1A1A1A"/>
                <w:sz w:val="14"/>
              </w:rPr>
              <w:t>27</w:t>
            </w:r>
          </w:p>
        </w:tc>
        <w:tc>
          <w:tcPr>
            <w:tcW w:type="dxa" w:w="6900"/>
            <w:vAlign w:val="center"/>
          </w:tcPr>
          <w:p>
            <w:pPr>
              <w:spacing w:after="40" w:line="252" w:lineRule="auto" w:before="0"/>
            </w:pPr>
            <w:r>
              <w:rPr>
                <w:color w:val="1A1A1A"/>
                <w:sz w:val="14"/>
              </w:rPr>
              <w:t>Annex A.8: Information for Interested Parties</w:t>
            </w:r>
          </w:p>
        </w:tc>
        <w:tc>
          <w:tcPr>
            <w:tcW w:type="dxa" w:w="1560"/>
            <w:vAlign w:val="center"/>
          </w:tcPr>
          <w:p>
            <w:pPr>
              <w:spacing w:after="40" w:line="252" w:lineRule="auto" w:before="0"/>
            </w:pPr>
            <w:r>
              <w:rPr>
                <w:color w:val="1A1A1A"/>
                <w:sz w:val="14"/>
              </w:rPr>
              <w:t>36</w:t>
            </w:r>
          </w:p>
        </w:tc>
      </w:tr>
      <w:tr>
        <w:trPr>
          <w:cantSplit/>
        </w:trPr>
        <w:tc>
          <w:tcPr>
            <w:tcW w:type="dxa" w:w="900"/>
            <w:shd w:fill="F7F9FB"/>
            <w:vAlign w:val="center"/>
          </w:tcPr>
          <w:p>
            <w:pPr>
              <w:spacing w:after="40" w:line="252" w:lineRule="auto" w:before="0"/>
            </w:pPr>
            <w:r>
              <w:rPr>
                <w:color w:val="1A1A1A"/>
                <w:sz w:val="14"/>
              </w:rPr>
              <w:t>28</w:t>
            </w:r>
          </w:p>
        </w:tc>
        <w:tc>
          <w:tcPr>
            <w:tcW w:type="dxa" w:w="6900"/>
            <w:shd w:fill="F7F9FB"/>
            <w:vAlign w:val="center"/>
          </w:tcPr>
          <w:p>
            <w:pPr>
              <w:spacing w:after="40" w:line="252" w:lineRule="auto" w:before="0"/>
            </w:pPr>
            <w:r>
              <w:rPr>
                <w:color w:val="1A1A1A"/>
                <w:sz w:val="14"/>
              </w:rPr>
              <w:t>Annex A.9 and A.10: Responsible Use, Suppliers, and Customers</w:t>
            </w:r>
          </w:p>
        </w:tc>
        <w:tc>
          <w:tcPr>
            <w:tcW w:type="dxa" w:w="1560"/>
            <w:shd w:fill="F7F9FB"/>
            <w:vAlign w:val="center"/>
          </w:tcPr>
          <w:p>
            <w:pPr>
              <w:spacing w:after="40" w:line="252" w:lineRule="auto" w:before="0"/>
            </w:pPr>
            <w:r>
              <w:rPr>
                <w:color w:val="1A1A1A"/>
                <w:sz w:val="14"/>
              </w:rPr>
              <w:t>38</w:t>
            </w:r>
          </w:p>
        </w:tc>
      </w:tr>
      <w:tr>
        <w:trPr>
          <w:cantSplit/>
        </w:trPr>
        <w:tc>
          <w:tcPr>
            <w:tcW w:type="dxa" w:w="900"/>
            <w:vAlign w:val="center"/>
          </w:tcPr>
          <w:p>
            <w:pPr>
              <w:spacing w:after="40" w:line="252" w:lineRule="auto" w:before="0"/>
            </w:pPr>
            <w:r>
              <w:rPr>
                <w:color w:val="1A1A1A"/>
                <w:sz w:val="14"/>
              </w:rPr>
              <w:t>29</w:t>
            </w:r>
          </w:p>
        </w:tc>
        <w:tc>
          <w:tcPr>
            <w:tcW w:type="dxa" w:w="6900"/>
            <w:vAlign w:val="center"/>
          </w:tcPr>
          <w:p>
            <w:pPr>
              <w:spacing w:after="40" w:line="252" w:lineRule="auto" w:before="0"/>
            </w:pPr>
            <w:r>
              <w:rPr>
                <w:color w:val="1A1A1A"/>
                <w:sz w:val="14"/>
              </w:rPr>
              <w:t>Certification, ISO/IEC 42006:2025, and Audit Readiness</w:t>
            </w:r>
          </w:p>
        </w:tc>
        <w:tc>
          <w:tcPr>
            <w:tcW w:type="dxa" w:w="1560"/>
            <w:vAlign w:val="center"/>
          </w:tcPr>
          <w:p>
            <w:pPr>
              <w:spacing w:after="40" w:line="252" w:lineRule="auto" w:before="0"/>
            </w:pPr>
            <w:r>
              <w:rPr>
                <w:color w:val="1A1A1A"/>
                <w:sz w:val="14"/>
              </w:rPr>
              <w:t>40</w:t>
            </w:r>
          </w:p>
        </w:tc>
      </w:tr>
      <w:tr>
        <w:trPr>
          <w:cantSplit/>
        </w:trPr>
        <w:tc>
          <w:tcPr>
            <w:tcW w:type="dxa" w:w="900"/>
            <w:shd w:fill="F7F9FB"/>
            <w:vAlign w:val="center"/>
          </w:tcPr>
          <w:p>
            <w:pPr>
              <w:spacing w:after="40" w:line="252" w:lineRule="auto" w:before="0"/>
            </w:pPr>
            <w:r>
              <w:rPr>
                <w:color w:val="1A1A1A"/>
                <w:sz w:val="14"/>
              </w:rPr>
              <w:t>30</w:t>
            </w:r>
          </w:p>
        </w:tc>
        <w:tc>
          <w:tcPr>
            <w:tcW w:type="dxa" w:w="6900"/>
            <w:shd w:fill="F7F9FB"/>
            <w:vAlign w:val="center"/>
          </w:tcPr>
          <w:p>
            <w:pPr>
              <w:spacing w:after="40" w:line="252" w:lineRule="auto" w:before="0"/>
            </w:pPr>
            <w:r>
              <w:rPr>
                <w:color w:val="1A1A1A"/>
                <w:sz w:val="14"/>
              </w:rPr>
              <w:t>Open-Source AIMS Evidence and AI Assurance Tools</w:t>
            </w:r>
          </w:p>
        </w:tc>
        <w:tc>
          <w:tcPr>
            <w:tcW w:type="dxa" w:w="1560"/>
            <w:shd w:fill="F7F9FB"/>
            <w:vAlign w:val="center"/>
          </w:tcPr>
          <w:p>
            <w:pPr>
              <w:spacing w:after="40" w:line="252" w:lineRule="auto" w:before="0"/>
            </w:pPr>
            <w:r>
              <w:rPr>
                <w:color w:val="1A1A1A"/>
                <w:sz w:val="14"/>
              </w:rPr>
              <w:t>42</w:t>
            </w:r>
          </w:p>
        </w:tc>
      </w:tr>
      <w:tr>
        <w:trPr>
          <w:cantSplit/>
        </w:trPr>
        <w:tc>
          <w:tcPr>
            <w:tcW w:type="dxa" w:w="900"/>
            <w:vAlign w:val="center"/>
          </w:tcPr>
          <w:p>
            <w:pPr>
              <w:spacing w:after="40" w:line="252" w:lineRule="auto" w:before="0"/>
            </w:pPr>
            <w:r>
              <w:rPr>
                <w:color w:val="1A1A1A"/>
                <w:sz w:val="14"/>
              </w:rPr>
              <w:t>31</w:t>
            </w:r>
          </w:p>
        </w:tc>
        <w:tc>
          <w:tcPr>
            <w:tcW w:type="dxa" w:w="6900"/>
            <w:vAlign w:val="center"/>
          </w:tcPr>
          <w:p>
            <w:pPr>
              <w:spacing w:after="40" w:line="252" w:lineRule="auto" w:before="0"/>
            </w:pPr>
            <w:r>
              <w:rPr>
                <w:color w:val="1A1A1A"/>
                <w:sz w:val="14"/>
              </w:rPr>
              <w:t>Manager and Junior Analyst Playbook, Laboratory, and Interviews</w:t>
            </w:r>
          </w:p>
        </w:tc>
        <w:tc>
          <w:tcPr>
            <w:tcW w:type="dxa" w:w="1560"/>
            <w:vAlign w:val="center"/>
          </w:tcPr>
          <w:p>
            <w:pPr>
              <w:spacing w:after="40" w:line="252" w:lineRule="auto" w:before="0"/>
            </w:pPr>
            <w:r>
              <w:rPr>
                <w:color w:val="1A1A1A"/>
                <w:sz w:val="14"/>
              </w:rPr>
              <w:t>47</w:t>
            </w:r>
          </w:p>
        </w:tc>
      </w:tr>
      <w:tr>
        <w:trPr>
          <w:cantSplit/>
        </w:trPr>
        <w:tc>
          <w:tcPr>
            <w:tcW w:type="dxa" w:w="900"/>
            <w:shd w:fill="F7F9FB"/>
            <w:vAlign w:val="center"/>
          </w:tcPr>
          <w:p>
            <w:pPr>
              <w:spacing w:after="40" w:line="252" w:lineRule="auto" w:before="0"/>
            </w:pPr>
            <w:r>
              <w:rPr>
                <w:color w:val="1A1A1A"/>
                <w:sz w:val="14"/>
              </w:rPr>
              <w:t>32</w:t>
            </w:r>
          </w:p>
        </w:tc>
        <w:tc>
          <w:tcPr>
            <w:tcW w:type="dxa" w:w="6900"/>
            <w:shd w:fill="F7F9FB"/>
            <w:vAlign w:val="center"/>
          </w:tcPr>
          <w:p>
            <w:pPr>
              <w:spacing w:after="40" w:line="252" w:lineRule="auto" w:before="0"/>
            </w:pPr>
            <w:r>
              <w:rPr>
                <w:color w:val="1A1A1A"/>
                <w:sz w:val="14"/>
              </w:rPr>
              <w:t>Templates, Glossary, Index, and Official References</w:t>
            </w:r>
          </w:p>
        </w:tc>
        <w:tc>
          <w:tcPr>
            <w:tcW w:type="dxa" w:w="1560"/>
            <w:shd w:fill="F7F9FB"/>
            <w:vAlign w:val="center"/>
          </w:tcPr>
          <w:p>
            <w:pPr>
              <w:spacing w:after="40" w:line="252" w:lineRule="auto" w:before="0"/>
            </w:pPr>
            <w:r>
              <w:rPr>
                <w:color w:val="1A1A1A"/>
                <w:sz w:val="14"/>
              </w:rPr>
              <w:t>51</w:t>
            </w:r>
          </w:p>
        </w:tc>
      </w:tr>
    </w:tbl>
    <w:p>
      <w:pPr>
        <w:spacing w:after="0"/>
      </w:pPr>
    </w:p>
    <w:p>
      <w:pPr>
        <w:pStyle w:val="Heading1"/>
        <w:pageBreakBefore/>
        <w:keepNext/>
        <w:jc w:val="left"/>
      </w:pPr>
      <w:r>
        <w:t>1. ISO/IEC 42001 and the AI Management System</w:t>
      </w:r>
    </w:p>
    <w:p>
      <w:pPr>
        <w:spacing w:after="200"/>
      </w:pPr>
      <w:r>
        <w:rPr>
          <w:rFonts w:ascii="Aptos" w:hAnsi="Aptos"/>
          <w:i/>
          <w:color w:val="5B6570"/>
          <w:sz w:val="22"/>
        </w:rPr>
        <w:t>ISO/IEC 42001 specifies requirements for an organization to establish, implement, maintain, and continually improve an AI management system.</w:t>
      </w:r>
    </w:p>
    <w:tbl>
      <w:tblPr>
        <w:tblStyle w:val="TableGrid"/>
        <w:tblW w:type="dxa" w:w="9360"/>
        <w:tblLayout w:type="fixed"/>
        <w:tblLook w:firstColumn="1" w:firstRow="1" w:lastColumn="0" w:lastRow="0" w:noHBand="0" w:noVBand="1" w:val="04A0"/>
        <w:jc w:val="center"/>
        <w:tblInd w:w="120" w:type="dxa"/>
      </w:tblPr>
      <w:tblGrid>
        <w:gridCol w:w="1700"/>
        <w:gridCol w:w="4100"/>
        <w:gridCol w:w="3560"/>
      </w:tblGrid>
      <w:tr>
        <w:trPr>
          <w:tblHeader w:val="true"/>
          <w:cantSplit/>
        </w:trPr>
        <w:tc>
          <w:tcPr>
            <w:tcW w:type="dxa" w:w="1700"/>
            <w:tcMar>
              <w:top w:w="90" w:type="dxa"/>
              <w:start w:w="120" w:type="dxa"/>
              <w:bottom w:w="90" w:type="dxa"/>
              <w:end w:w="120" w:type="dxa"/>
            </w:tcMar>
            <w:vAlign w:val="center"/>
            <w:shd w:fill="1F4E78"/>
          </w:tcPr>
          <w:p>
            <w:pPr>
              <w:spacing w:after="40" w:before="0"/>
              <w:jc w:val="left"/>
            </w:pPr>
            <w:r>
              <w:rPr>
                <w:b/>
                <w:sz w:val="14"/>
                <w:color w:val="FFFFFF"/>
              </w:rPr>
              <w:t>Concept</w:t>
            </w:r>
          </w:p>
        </w:tc>
        <w:tc>
          <w:tcPr>
            <w:tcW w:type="dxa" w:w="4100"/>
            <w:tcMar>
              <w:top w:w="90" w:type="dxa"/>
              <w:start w:w="120" w:type="dxa"/>
              <w:bottom w:w="90" w:type="dxa"/>
              <w:end w:w="120" w:type="dxa"/>
            </w:tcMar>
            <w:vAlign w:val="center"/>
            <w:shd w:fill="1F4E78"/>
          </w:tcPr>
          <w:p>
            <w:pPr>
              <w:spacing w:after="40" w:before="0"/>
              <w:jc w:val="left"/>
            </w:pPr>
            <w:r>
              <w:rPr>
                <w:b/>
                <w:sz w:val="14"/>
                <w:color w:val="FFFFFF"/>
              </w:rPr>
              <w:t>Plain meaning</w:t>
            </w:r>
          </w:p>
        </w:tc>
        <w:tc>
          <w:tcPr>
            <w:tcW w:type="dxa" w:w="3560"/>
            <w:tcMar>
              <w:top w:w="90" w:type="dxa"/>
              <w:start w:w="120" w:type="dxa"/>
              <w:bottom w:w="90" w:type="dxa"/>
              <w:end w:w="120" w:type="dxa"/>
            </w:tcMar>
            <w:vAlign w:val="center"/>
            <w:shd w:fill="1F4E78"/>
          </w:tcPr>
          <w:p>
            <w:pPr>
              <w:spacing w:after="40" w:before="0"/>
              <w:jc w:val="left"/>
            </w:pPr>
            <w:r>
              <w:rPr>
                <w:b/>
                <w:sz w:val="14"/>
                <w:color w:val="FFFFFF"/>
              </w:rPr>
              <w:t>Evidence question</w:t>
            </w:r>
          </w:p>
        </w:tc>
      </w:tr>
      <w:tr>
        <w:trPr>
          <w:cantSplit/>
        </w:trPr>
        <w:tc>
          <w:tcPr>
            <w:tcW w:type="dxa" w:w="1700"/>
            <w:vAlign w:val="center"/>
          </w:tcPr>
          <w:p>
            <w:pPr>
              <w:spacing w:after="40" w:line="252" w:lineRule="auto" w:before="0"/>
            </w:pPr>
            <w:r>
              <w:rPr>
                <w:color w:val="1A1A1A"/>
                <w:sz w:val="14"/>
              </w:rPr>
              <w:t>AIMS</w:t>
            </w:r>
          </w:p>
        </w:tc>
        <w:tc>
          <w:tcPr>
            <w:tcW w:type="dxa" w:w="4100"/>
            <w:vAlign w:val="center"/>
          </w:tcPr>
          <w:p>
            <w:pPr>
              <w:spacing w:after="40" w:line="252" w:lineRule="auto" w:before="0"/>
            </w:pPr>
            <w:r>
              <w:rPr>
                <w:color w:val="1A1A1A"/>
                <w:sz w:val="14"/>
              </w:rPr>
              <w:t>Interrelated policies, objectives, processes, roles, controls, and records for responsible AI</w:t>
            </w:r>
          </w:p>
        </w:tc>
        <w:tc>
          <w:tcPr>
            <w:tcW w:type="dxa" w:w="3560"/>
            <w:vAlign w:val="center"/>
          </w:tcPr>
          <w:p>
            <w:pPr>
              <w:spacing w:after="40" w:line="252" w:lineRule="auto" w:before="0"/>
            </w:pPr>
            <w:r>
              <w:rPr>
                <w:color w:val="1A1A1A"/>
                <w:sz w:val="14"/>
              </w:rPr>
              <w:t>Does the system operate across the defined scope?</w:t>
            </w:r>
          </w:p>
        </w:tc>
      </w:tr>
      <w:tr>
        <w:trPr>
          <w:cantSplit/>
        </w:trPr>
        <w:tc>
          <w:tcPr>
            <w:tcW w:type="dxa" w:w="1700"/>
            <w:shd w:fill="F7F9FB"/>
            <w:vAlign w:val="center"/>
          </w:tcPr>
          <w:p>
            <w:pPr>
              <w:spacing w:after="40" w:line="252" w:lineRule="auto" w:before="0"/>
            </w:pPr>
            <w:r>
              <w:rPr>
                <w:color w:val="1A1A1A"/>
                <w:sz w:val="14"/>
              </w:rPr>
              <w:t>Organization role</w:t>
            </w:r>
          </w:p>
        </w:tc>
        <w:tc>
          <w:tcPr>
            <w:tcW w:type="dxa" w:w="4100"/>
            <w:shd w:fill="F7F9FB"/>
            <w:vAlign w:val="center"/>
          </w:tcPr>
          <w:p>
            <w:pPr>
              <w:spacing w:after="40" w:line="252" w:lineRule="auto" w:before="0"/>
            </w:pPr>
            <w:r>
              <w:rPr>
                <w:color w:val="1A1A1A"/>
                <w:sz w:val="14"/>
              </w:rPr>
              <w:t>Developer/provider, deployer/user, supplier, customer, or several roles</w:t>
            </w:r>
          </w:p>
        </w:tc>
        <w:tc>
          <w:tcPr>
            <w:tcW w:type="dxa" w:w="3560"/>
            <w:shd w:fill="F7F9FB"/>
            <w:vAlign w:val="center"/>
          </w:tcPr>
          <w:p>
            <w:pPr>
              <w:spacing w:after="40" w:line="252" w:lineRule="auto" w:before="0"/>
            </w:pPr>
            <w:r>
              <w:rPr>
                <w:color w:val="1A1A1A"/>
                <w:sz w:val="14"/>
              </w:rPr>
              <w:t>Which responsibilities are controlled?</w:t>
            </w:r>
          </w:p>
        </w:tc>
      </w:tr>
      <w:tr>
        <w:trPr>
          <w:cantSplit/>
        </w:trPr>
        <w:tc>
          <w:tcPr>
            <w:tcW w:type="dxa" w:w="1700"/>
            <w:vAlign w:val="center"/>
          </w:tcPr>
          <w:p>
            <w:pPr>
              <w:spacing w:after="40" w:line="252" w:lineRule="auto" w:before="0"/>
            </w:pPr>
            <w:r>
              <w:rPr>
                <w:color w:val="1A1A1A"/>
                <w:sz w:val="14"/>
              </w:rPr>
              <w:t>AI system</w:t>
            </w:r>
          </w:p>
        </w:tc>
        <w:tc>
          <w:tcPr>
            <w:tcW w:type="dxa" w:w="4100"/>
            <w:vAlign w:val="center"/>
          </w:tcPr>
          <w:p>
            <w:pPr>
              <w:spacing w:after="40" w:line="252" w:lineRule="auto" w:before="0"/>
            </w:pPr>
            <w:r>
              <w:rPr>
                <w:color w:val="1A1A1A"/>
                <w:sz w:val="14"/>
              </w:rPr>
              <w:t>People, data, models, software, infrastructure, processes, and interfaces used for an AI outcome</w:t>
            </w:r>
          </w:p>
        </w:tc>
        <w:tc>
          <w:tcPr>
            <w:tcW w:type="dxa" w:w="3560"/>
            <w:vAlign w:val="center"/>
          </w:tcPr>
          <w:p>
            <w:pPr>
              <w:spacing w:after="40" w:line="252" w:lineRule="auto" w:before="0"/>
            </w:pPr>
            <w:r>
              <w:rPr>
                <w:color w:val="1A1A1A"/>
                <w:sz w:val="14"/>
              </w:rPr>
              <w:t>What is the complete boundary?</w:t>
            </w:r>
          </w:p>
        </w:tc>
      </w:tr>
      <w:tr>
        <w:trPr>
          <w:cantSplit/>
        </w:trPr>
        <w:tc>
          <w:tcPr>
            <w:tcW w:type="dxa" w:w="1700"/>
            <w:shd w:fill="F7F9FB"/>
            <w:vAlign w:val="center"/>
          </w:tcPr>
          <w:p>
            <w:pPr>
              <w:spacing w:after="40" w:line="252" w:lineRule="auto" w:before="0"/>
            </w:pPr>
            <w:r>
              <w:rPr>
                <w:color w:val="1A1A1A"/>
                <w:sz w:val="14"/>
              </w:rPr>
              <w:t>Conformity</w:t>
            </w:r>
          </w:p>
        </w:tc>
        <w:tc>
          <w:tcPr>
            <w:tcW w:type="dxa" w:w="4100"/>
            <w:shd w:fill="F7F9FB"/>
            <w:vAlign w:val="center"/>
          </w:tcPr>
          <w:p>
            <w:pPr>
              <w:spacing w:after="40" w:line="252" w:lineRule="auto" w:before="0"/>
            </w:pPr>
            <w:r>
              <w:rPr>
                <w:color w:val="1A1A1A"/>
                <w:sz w:val="14"/>
              </w:rPr>
              <w:t>Requirements are fulfilled within the certified scope</w:t>
            </w:r>
          </w:p>
        </w:tc>
        <w:tc>
          <w:tcPr>
            <w:tcW w:type="dxa" w:w="3560"/>
            <w:shd w:fill="F7F9FB"/>
            <w:vAlign w:val="center"/>
          </w:tcPr>
          <w:p>
            <w:pPr>
              <w:spacing w:after="40" w:line="252" w:lineRule="auto" w:before="0"/>
            </w:pPr>
            <w:r>
              <w:rPr>
                <w:color w:val="1A1A1A"/>
                <w:sz w:val="14"/>
              </w:rPr>
              <w:t>What clause, implementation, evidence, and result support the claim?</w:t>
            </w:r>
          </w:p>
        </w:tc>
      </w:tr>
      <w:tr>
        <w:trPr>
          <w:cantSplit/>
        </w:trPr>
        <w:tc>
          <w:tcPr>
            <w:tcW w:type="dxa" w:w="1700"/>
            <w:vAlign w:val="center"/>
          </w:tcPr>
          <w:p>
            <w:pPr>
              <w:spacing w:after="40" w:line="252" w:lineRule="auto" w:before="0"/>
            </w:pPr>
            <w:r>
              <w:rPr>
                <w:color w:val="1A1A1A"/>
                <w:sz w:val="14"/>
              </w:rPr>
              <w:t>Certification</w:t>
            </w:r>
          </w:p>
        </w:tc>
        <w:tc>
          <w:tcPr>
            <w:tcW w:type="dxa" w:w="4100"/>
            <w:vAlign w:val="center"/>
          </w:tcPr>
          <w:p>
            <w:pPr>
              <w:spacing w:after="40" w:line="252" w:lineRule="auto" w:before="0"/>
            </w:pPr>
            <w:r>
              <w:rPr>
                <w:color w:val="1A1A1A"/>
                <w:sz w:val="14"/>
              </w:rPr>
              <w:t>Independent third-party assessment of the AIMS against ISO/IEC 42001</w:t>
            </w:r>
          </w:p>
        </w:tc>
        <w:tc>
          <w:tcPr>
            <w:tcW w:type="dxa" w:w="3560"/>
            <w:vAlign w:val="center"/>
          </w:tcPr>
          <w:p>
            <w:pPr>
              <w:spacing w:after="40" w:line="252" w:lineRule="auto" w:before="0"/>
            </w:pPr>
            <w:r>
              <w:rPr>
                <w:color w:val="1A1A1A"/>
                <w:sz w:val="14"/>
              </w:rPr>
              <w:t>What entity, scope, standard, body, dates, and status are certified?</w:t>
            </w:r>
          </w:p>
        </w:tc>
      </w:tr>
    </w:tbl>
    <w:p>
      <w:pPr>
        <w:spacing w:after="0"/>
      </w:pPr>
    </w:p>
    <w:p>
      <w:pPr>
        <w:pStyle w:val="Heading2"/>
        <w:keepNext/>
        <w:jc w:val="left"/>
      </w:pPr>
      <w:r>
        <w:t>1.1 What certification does not prove</w:t>
      </w:r>
    </w:p>
    <w:p>
      <w:pPr>
        <w:pStyle w:val="ListBullet"/>
        <w:spacing w:after="60"/>
      </w:pPr>
      <w:r>
        <w:t>It does not guarantee every AI output is accurate, unbiased, secure, lawful, safe, or explainable.</w:t>
      </w:r>
    </w:p>
    <w:p>
      <w:pPr>
        <w:pStyle w:val="ListBullet"/>
        <w:spacing w:after="60"/>
      </w:pPr>
      <w:r>
        <w:t>It does not certify AI products individually unless the certificate’s AIMS scope and scheme explicitly support that claim.</w:t>
      </w:r>
    </w:p>
    <w:p>
      <w:pPr>
        <w:pStyle w:val="ListBullet"/>
        <w:spacing w:after="60"/>
      </w:pPr>
      <w:r>
        <w:t>It does not replace product testing, legal analysis, impact assessment, privacy/security controls, domain validation, or human oversight.</w:t>
      </w:r>
    </w:p>
    <w:p>
      <w:pPr>
        <w:pStyle w:val="ListBullet"/>
        <w:spacing w:after="60"/>
      </w:pPr>
      <w:r>
        <w:t>It does not transfer accountability from the organization to the certification body or supplier.</w:t>
      </w:r>
    </w:p>
    <w:p>
      <w:pPr>
        <w:pStyle w:val="Heading1"/>
        <w:pageBreakBefore/>
        <w:keepNext/>
        <w:jc w:val="left"/>
      </w:pPr>
      <w:r>
        <w:t>2. AIMS Architecture and the Plan-Do-Check-Act Cycle</w:t>
      </w:r>
    </w:p>
    <w:p>
      <w:pPr>
        <w:spacing w:after="200"/>
      </w:pPr>
      <w:r>
        <w:rPr>
          <w:rFonts w:ascii="Aptos" w:hAnsi="Aptos"/>
          <w:i/>
          <w:color w:val="5B6570"/>
          <w:sz w:val="22"/>
        </w:rPr>
        <w:t>The AIMS follows the harmonized management-system structure and a continual Plan-Do-Check-Act cycle.</w:t>
      </w:r>
    </w:p>
    <w:p>
      <w:pPr>
        <w:keepNext/>
        <w:jc w:val="center"/>
      </w:pPr>
      <w:r>
        <w:drawing>
          <wp:inline xmlns:a="http://schemas.openxmlformats.org/drawingml/2006/main" xmlns:pic="http://schemas.openxmlformats.org/drawingml/2006/picture">
            <wp:extent cx="5623560" cy="2956017"/>
            <wp:docPr id="1" name="Manual 02 Figure 1" descr="Clauses interact continuously; the standard is not a linear checklist completed once." title="Figure 1"/>
            <wp:cNvGraphicFramePr>
              <a:graphicFrameLocks noChangeAspect="1"/>
            </wp:cNvGraphicFramePr>
            <a:graphic>
              <a:graphicData uri="http://schemas.openxmlformats.org/drawingml/2006/picture">
                <pic:pic>
                  <pic:nvPicPr>
                    <pic:cNvPr id="0" name="pdca.png"/>
                    <pic:cNvPicPr/>
                  </pic:nvPicPr>
                  <pic:blipFill>
                    <a:blip r:embed="rId13"/>
                    <a:stretch>
                      <a:fillRect/>
                    </a:stretch>
                  </pic:blipFill>
                  <pic:spPr>
                    <a:xfrm>
                      <a:off x="0" y="0"/>
                      <a:ext cx="5623560" cy="2956017"/>
                    </a:xfrm>
                    <a:prstGeom prst="rect"/>
                  </pic:spPr>
                </pic:pic>
              </a:graphicData>
            </a:graphic>
          </wp:inline>
        </w:drawing>
      </w:r>
    </w:p>
    <w:p>
      <w:pPr>
        <w:pStyle w:val="Caption"/>
        <w:spacing w:after="180"/>
        <w:jc w:val="center"/>
        <w:keepNext/>
      </w:pPr>
      <w:r>
        <w:t>Figure 1. AIMS Plan-Do-Check-Act cycle</w:t>
      </w:r>
    </w:p>
    <w:tbl>
      <w:tblPr>
        <w:tblStyle w:val="TableGrid"/>
        <w:tblW w:type="dxa" w:w="9360"/>
        <w:tblLayout w:type="fixed"/>
        <w:tblLook w:firstColumn="1" w:firstRow="1" w:lastColumn="0" w:lastRow="0" w:noHBand="0" w:noVBand="1" w:val="04A0"/>
        <w:jc w:val="center"/>
        <w:tblInd w:w="120" w:type="dxa"/>
      </w:tblPr>
      <w:tblGrid>
        <w:gridCol w:w="1400"/>
        <w:gridCol w:w="4300"/>
        <w:gridCol w:w="3660"/>
      </w:tblGrid>
      <w:tr>
        <w:trPr>
          <w:tblHeader w:val="true"/>
          <w:cantSplit/>
        </w:trPr>
        <w:tc>
          <w:tcPr>
            <w:tcW w:type="dxa" w:w="1400"/>
            <w:tcMar>
              <w:top w:w="90" w:type="dxa"/>
              <w:start w:w="120" w:type="dxa"/>
              <w:bottom w:w="90" w:type="dxa"/>
              <w:end w:w="120" w:type="dxa"/>
            </w:tcMar>
            <w:vAlign w:val="center"/>
            <w:shd w:fill="1F4E78"/>
          </w:tcPr>
          <w:p>
            <w:pPr>
              <w:spacing w:after="40" w:before="0"/>
              <w:jc w:val="left"/>
            </w:pPr>
            <w:r>
              <w:rPr>
                <w:b/>
                <w:sz w:val="14"/>
                <w:color w:val="FFFFFF"/>
              </w:rPr>
              <w:t>PDCA stage</w:t>
            </w:r>
          </w:p>
        </w:tc>
        <w:tc>
          <w:tcPr>
            <w:tcW w:type="dxa" w:w="4300"/>
            <w:tcMar>
              <w:top w:w="90" w:type="dxa"/>
              <w:start w:w="120" w:type="dxa"/>
              <w:bottom w:w="90" w:type="dxa"/>
              <w:end w:w="120" w:type="dxa"/>
            </w:tcMar>
            <w:vAlign w:val="center"/>
            <w:shd w:fill="1F4E78"/>
          </w:tcPr>
          <w:p>
            <w:pPr>
              <w:spacing w:after="40" w:before="0"/>
              <w:jc w:val="left"/>
            </w:pPr>
            <w:r>
              <w:rPr>
                <w:b/>
                <w:sz w:val="14"/>
                <w:color w:val="FFFFFF"/>
              </w:rPr>
              <w:t>ISO/IEC 42001 work</w:t>
            </w:r>
          </w:p>
        </w:tc>
        <w:tc>
          <w:tcPr>
            <w:tcW w:type="dxa" w:w="3660"/>
            <w:tcMar>
              <w:top w:w="90" w:type="dxa"/>
              <w:start w:w="120" w:type="dxa"/>
              <w:bottom w:w="90" w:type="dxa"/>
              <w:end w:w="120" w:type="dxa"/>
            </w:tcMar>
            <w:vAlign w:val="center"/>
            <w:shd w:fill="1F4E78"/>
          </w:tcPr>
          <w:p>
            <w:pPr>
              <w:spacing w:after="40" w:before="0"/>
              <w:jc w:val="left"/>
            </w:pPr>
            <w:r>
              <w:rPr>
                <w:b/>
                <w:sz w:val="14"/>
                <w:color w:val="FFFFFF"/>
              </w:rPr>
              <w:t>Typical output</w:t>
            </w:r>
          </w:p>
        </w:tc>
      </w:tr>
      <w:tr>
        <w:trPr>
          <w:cantSplit/>
        </w:trPr>
        <w:tc>
          <w:tcPr>
            <w:tcW w:type="dxa" w:w="1400"/>
            <w:vAlign w:val="center"/>
          </w:tcPr>
          <w:p>
            <w:pPr>
              <w:spacing w:after="40" w:line="252" w:lineRule="auto" w:before="0"/>
            </w:pPr>
            <w:r>
              <w:rPr>
                <w:color w:val="1A1A1A"/>
                <w:sz w:val="14"/>
              </w:rPr>
              <w:t>Plan</w:t>
            </w:r>
          </w:p>
        </w:tc>
        <w:tc>
          <w:tcPr>
            <w:tcW w:type="dxa" w:w="4300"/>
            <w:vAlign w:val="center"/>
          </w:tcPr>
          <w:p>
            <w:pPr>
              <w:spacing w:after="40" w:line="252" w:lineRule="auto" w:before="0"/>
            </w:pPr>
            <w:r>
              <w:rPr>
                <w:color w:val="1A1A1A"/>
                <w:sz w:val="14"/>
              </w:rPr>
              <w:t>Context, leadership, risk/opportunity, assessment, treatment, objectives, resources</w:t>
            </w:r>
          </w:p>
        </w:tc>
        <w:tc>
          <w:tcPr>
            <w:tcW w:type="dxa" w:w="3660"/>
            <w:vAlign w:val="center"/>
          </w:tcPr>
          <w:p>
            <w:pPr>
              <w:spacing w:after="40" w:line="252" w:lineRule="auto" w:before="0"/>
            </w:pPr>
            <w:r>
              <w:rPr>
                <w:color w:val="1A1A1A"/>
                <w:sz w:val="14"/>
              </w:rPr>
              <w:t>Scope, policy, methods, risk register, impact process, SoA, objectives</w:t>
            </w:r>
          </w:p>
        </w:tc>
      </w:tr>
      <w:tr>
        <w:trPr>
          <w:cantSplit/>
        </w:trPr>
        <w:tc>
          <w:tcPr>
            <w:tcW w:type="dxa" w:w="1400"/>
            <w:shd w:fill="F7F9FB"/>
            <w:vAlign w:val="center"/>
          </w:tcPr>
          <w:p>
            <w:pPr>
              <w:spacing w:after="40" w:line="252" w:lineRule="auto" w:before="0"/>
            </w:pPr>
            <w:r>
              <w:rPr>
                <w:color w:val="1A1A1A"/>
                <w:sz w:val="14"/>
              </w:rPr>
              <w:t>Do</w:t>
            </w:r>
          </w:p>
        </w:tc>
        <w:tc>
          <w:tcPr>
            <w:tcW w:type="dxa" w:w="4300"/>
            <w:shd w:fill="F7F9FB"/>
            <w:vAlign w:val="center"/>
          </w:tcPr>
          <w:p>
            <w:pPr>
              <w:spacing w:after="40" w:line="252" w:lineRule="auto" w:before="0"/>
            </w:pPr>
            <w:r>
              <w:rPr>
                <w:color w:val="1A1A1A"/>
                <w:sz w:val="14"/>
              </w:rPr>
              <w:t>Competence, communication, documentation, operational controls, assessments</w:t>
            </w:r>
          </w:p>
        </w:tc>
        <w:tc>
          <w:tcPr>
            <w:tcW w:type="dxa" w:w="3660"/>
            <w:shd w:fill="F7F9FB"/>
            <w:vAlign w:val="center"/>
          </w:tcPr>
          <w:p>
            <w:pPr>
              <w:spacing w:after="40" w:line="252" w:lineRule="auto" w:before="0"/>
            </w:pPr>
            <w:r>
              <w:rPr>
                <w:color w:val="1A1A1A"/>
                <w:sz w:val="14"/>
              </w:rPr>
              <w:t>Procedures, system records, approvals, supplier and life-cycle evidence</w:t>
            </w:r>
          </w:p>
        </w:tc>
      </w:tr>
      <w:tr>
        <w:trPr>
          <w:cantSplit/>
        </w:trPr>
        <w:tc>
          <w:tcPr>
            <w:tcW w:type="dxa" w:w="1400"/>
            <w:vAlign w:val="center"/>
          </w:tcPr>
          <w:p>
            <w:pPr>
              <w:spacing w:after="40" w:line="252" w:lineRule="auto" w:before="0"/>
            </w:pPr>
            <w:r>
              <w:rPr>
                <w:color w:val="1A1A1A"/>
                <w:sz w:val="14"/>
              </w:rPr>
              <w:t>Check</w:t>
            </w:r>
          </w:p>
        </w:tc>
        <w:tc>
          <w:tcPr>
            <w:tcW w:type="dxa" w:w="4300"/>
            <w:vAlign w:val="center"/>
          </w:tcPr>
          <w:p>
            <w:pPr>
              <w:spacing w:after="40" w:line="252" w:lineRule="auto" w:before="0"/>
            </w:pPr>
            <w:r>
              <w:rPr>
                <w:color w:val="1A1A1A"/>
                <w:sz w:val="14"/>
              </w:rPr>
              <w:t>Monitoring, measurement, analysis, internal audit, management review</w:t>
            </w:r>
          </w:p>
        </w:tc>
        <w:tc>
          <w:tcPr>
            <w:tcW w:type="dxa" w:w="3660"/>
            <w:vAlign w:val="center"/>
          </w:tcPr>
          <w:p>
            <w:pPr>
              <w:spacing w:after="40" w:line="252" w:lineRule="auto" w:before="0"/>
            </w:pPr>
            <w:r>
              <w:rPr>
                <w:color w:val="1A1A1A"/>
                <w:sz w:val="14"/>
              </w:rPr>
              <w:t>Metrics, evaluation, audit report, review decisions</w:t>
            </w:r>
          </w:p>
        </w:tc>
      </w:tr>
      <w:tr>
        <w:trPr>
          <w:cantSplit/>
        </w:trPr>
        <w:tc>
          <w:tcPr>
            <w:tcW w:type="dxa" w:w="1400"/>
            <w:shd w:fill="F7F9FB"/>
            <w:vAlign w:val="center"/>
          </w:tcPr>
          <w:p>
            <w:pPr>
              <w:spacing w:after="40" w:line="252" w:lineRule="auto" w:before="0"/>
            </w:pPr>
            <w:r>
              <w:rPr>
                <w:color w:val="1A1A1A"/>
                <w:sz w:val="14"/>
              </w:rPr>
              <w:t>Act</w:t>
            </w:r>
          </w:p>
        </w:tc>
        <w:tc>
          <w:tcPr>
            <w:tcW w:type="dxa" w:w="4300"/>
            <w:shd w:fill="F7F9FB"/>
            <w:vAlign w:val="center"/>
          </w:tcPr>
          <w:p>
            <w:pPr>
              <w:spacing w:after="40" w:line="252" w:lineRule="auto" w:before="0"/>
            </w:pPr>
            <w:r>
              <w:rPr>
                <w:color w:val="1A1A1A"/>
                <w:sz w:val="14"/>
              </w:rPr>
              <w:t>Nonconformity, correction, root cause, corrective action, improvement</w:t>
            </w:r>
          </w:p>
        </w:tc>
        <w:tc>
          <w:tcPr>
            <w:tcW w:type="dxa" w:w="3660"/>
            <w:shd w:fill="F7F9FB"/>
            <w:vAlign w:val="center"/>
          </w:tcPr>
          <w:p>
            <w:pPr>
              <w:spacing w:after="40" w:line="252" w:lineRule="auto" w:before="0"/>
            </w:pPr>
            <w:r>
              <w:rPr>
                <w:color w:val="1A1A1A"/>
                <w:sz w:val="14"/>
              </w:rPr>
              <w:t>Action records, effectiveness tests, updated risks/controls/objectives</w:t>
            </w:r>
          </w:p>
        </w:tc>
      </w:tr>
    </w:tbl>
    <w:p>
      <w:pPr>
        <w:spacing w:after="0"/>
      </w:pPr>
    </w:p>
    <w:p>
      <w:pPr>
        <w:pStyle w:val="Heading2"/>
        <w:keepNext/>
        <w:jc w:val="left"/>
      </w:pPr>
      <w:r>
        <w:t>2.1 Integrating with existing systems</w:t>
      </w:r>
    </w:p>
    <w:p>
      <w:pPr>
        <w:pStyle w:val="ListBullet"/>
        <w:spacing w:after="60"/>
      </w:pPr>
      <w:r>
        <w:t>Reuse governance, document control, risk, audit, corrective action, supplier, security, privacy, quality, and continuity processes when their scope and controls fit AI risk.</w:t>
      </w:r>
    </w:p>
    <w:p>
      <w:pPr>
        <w:pStyle w:val="ListBullet"/>
        <w:spacing w:after="60"/>
      </w:pPr>
      <w:r>
        <w:t>Create AI-specific additions for impact assessment, model/data lifecycle, responsible use, transparency, human oversight, and value-chain responsibilities.</w:t>
      </w:r>
    </w:p>
    <w:p>
      <w:pPr>
        <w:pStyle w:val="ListBullet"/>
        <w:spacing w:after="60"/>
      </w:pPr>
      <w:r>
        <w:t>Keep one source of truth and map it to ISO/IEC 27001:2022, ISO 9001, privacy, legal, NIST AI RMF, and sector obligations rather than duplicating records.</w:t>
      </w:r>
    </w:p>
    <w:p>
      <w:pPr>
        <w:pStyle w:val="Heading1"/>
        <w:pageBreakBefore/>
        <w:keepNext/>
        <w:jc w:val="left"/>
      </w:pPr>
      <w:r>
        <w:t>3. Applicability, Organizational Roles, and Implementation Roadmap</w:t>
      </w:r>
    </w:p>
    <w:p>
      <w:pPr>
        <w:spacing w:after="200"/>
      </w:pPr>
      <w:r>
        <w:rPr>
          <w:rFonts w:ascii="Aptos" w:hAnsi="Aptos"/>
          <w:i/>
          <w:color w:val="5B6570"/>
          <w:sz w:val="22"/>
        </w:rPr>
        <w:t>A useful implementation begins with organizational control, an accurate AI inventory, accountable roles, and a staged roadmap.</w:t>
      </w:r>
    </w:p>
    <w:p>
      <w:pPr>
        <w:keepNext/>
        <w:jc w:val="center"/>
      </w:pPr>
      <w:r>
        <w:drawing>
          <wp:inline xmlns:a="http://schemas.openxmlformats.org/drawingml/2006/main" xmlns:pic="http://schemas.openxmlformats.org/drawingml/2006/picture">
            <wp:extent cx="5623560" cy="2956017"/>
            <wp:docPr id="2" name="Manual 02 Figure 2" descr="The scope must be honest about organizational boundaries, AI roles, systems, data, suppliers, and exclusions." title="Figure 2"/>
            <wp:cNvGraphicFramePr>
              <a:graphicFrameLocks noChangeAspect="1"/>
            </wp:cNvGraphicFramePr>
            <a:graphic>
              <a:graphicData uri="http://schemas.openxmlformats.org/drawingml/2006/picture">
                <pic:pic>
                  <pic:nvPicPr>
                    <pic:cNvPr id="0" name="scope.png"/>
                    <pic:cNvPicPr/>
                  </pic:nvPicPr>
                  <pic:blipFill>
                    <a:blip r:embed="rId14"/>
                    <a:stretch>
                      <a:fillRect/>
                    </a:stretch>
                  </pic:blipFill>
                  <pic:spPr>
                    <a:xfrm>
                      <a:off x="0" y="0"/>
                      <a:ext cx="5623560" cy="2956017"/>
                    </a:xfrm>
                    <a:prstGeom prst="rect"/>
                  </pic:spPr>
                </pic:pic>
              </a:graphicData>
            </a:graphic>
          </wp:inline>
        </w:drawing>
      </w:r>
    </w:p>
    <w:p>
      <w:pPr>
        <w:pStyle w:val="Caption"/>
        <w:spacing w:after="180"/>
        <w:jc w:val="center"/>
        <w:keepNext/>
      </w:pPr>
      <w:r>
        <w:t>Figure 2. Scope-building chain</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F4E78"/>
          </w:tcPr>
          <w:p>
            <w:pPr>
              <w:spacing w:after="40" w:before="0"/>
              <w:jc w:val="left"/>
            </w:pPr>
            <w:r>
              <w:rPr>
                <w:b/>
                <w:sz w:val="15"/>
                <w:color w:val="FFFFFF"/>
              </w:rPr>
              <w:t>Role</w:t>
            </w:r>
          </w:p>
        </w:tc>
        <w:tc>
          <w:tcPr>
            <w:tcW w:type="dxa" w:w="7060"/>
            <w:tcMar>
              <w:top w:w="90" w:type="dxa"/>
              <w:start w:w="120" w:type="dxa"/>
              <w:bottom w:w="90" w:type="dxa"/>
              <w:end w:w="120" w:type="dxa"/>
            </w:tcMar>
            <w:vAlign w:val="center"/>
            <w:shd w:fill="1F4E78"/>
          </w:tcPr>
          <w:p>
            <w:pPr>
              <w:spacing w:after="40" w:before="0"/>
              <w:jc w:val="left"/>
            </w:pPr>
            <w:r>
              <w:rPr>
                <w:b/>
                <w:sz w:val="15"/>
                <w:color w:val="FFFFFF"/>
              </w:rPr>
              <w:t>Core responsibility</w:t>
            </w:r>
          </w:p>
        </w:tc>
      </w:tr>
      <w:tr>
        <w:trPr>
          <w:cantSplit/>
        </w:trPr>
        <w:tc>
          <w:tcPr>
            <w:tcW w:type="dxa" w:w="2300"/>
            <w:vAlign w:val="center"/>
          </w:tcPr>
          <w:p>
            <w:pPr>
              <w:spacing w:after="40" w:line="252" w:lineRule="auto" w:before="0"/>
            </w:pPr>
            <w:r>
              <w:rPr>
                <w:color w:val="1A1A1A"/>
                <w:sz w:val="15"/>
              </w:rPr>
              <w:t>Governing body / executives</w:t>
            </w:r>
          </w:p>
        </w:tc>
        <w:tc>
          <w:tcPr>
            <w:tcW w:type="dxa" w:w="7060"/>
            <w:vAlign w:val="center"/>
          </w:tcPr>
          <w:p>
            <w:pPr>
              <w:spacing w:after="40" w:line="252" w:lineRule="auto" w:before="0"/>
            </w:pPr>
            <w:r>
              <w:rPr>
                <w:color w:val="1A1A1A"/>
                <w:sz w:val="15"/>
              </w:rPr>
              <w:t>Oversight, direction, resources, risk appetite, material decisions</w:t>
            </w:r>
          </w:p>
        </w:tc>
      </w:tr>
      <w:tr>
        <w:trPr>
          <w:cantSplit/>
        </w:trPr>
        <w:tc>
          <w:tcPr>
            <w:tcW w:type="dxa" w:w="2300"/>
            <w:shd w:fill="F7F9FB"/>
            <w:vAlign w:val="center"/>
          </w:tcPr>
          <w:p>
            <w:pPr>
              <w:spacing w:after="40" w:line="252" w:lineRule="auto" w:before="0"/>
            </w:pPr>
            <w:r>
              <w:rPr>
                <w:color w:val="1A1A1A"/>
                <w:sz w:val="15"/>
              </w:rPr>
              <w:t>AIMS leader</w:t>
            </w:r>
          </w:p>
        </w:tc>
        <w:tc>
          <w:tcPr>
            <w:tcW w:type="dxa" w:w="7060"/>
            <w:shd w:fill="F7F9FB"/>
            <w:vAlign w:val="center"/>
          </w:tcPr>
          <w:p>
            <w:pPr>
              <w:spacing w:after="40" w:line="252" w:lineRule="auto" w:before="0"/>
            </w:pPr>
            <w:r>
              <w:rPr>
                <w:color w:val="1A1A1A"/>
                <w:sz w:val="15"/>
              </w:rPr>
              <w:t>Coordinate management system, performance, audits, improvement</w:t>
            </w:r>
          </w:p>
        </w:tc>
      </w:tr>
      <w:tr>
        <w:trPr>
          <w:cantSplit/>
        </w:trPr>
        <w:tc>
          <w:tcPr>
            <w:tcW w:type="dxa" w:w="2300"/>
            <w:vAlign w:val="center"/>
          </w:tcPr>
          <w:p>
            <w:pPr>
              <w:spacing w:after="40" w:line="252" w:lineRule="auto" w:before="0"/>
            </w:pPr>
            <w:r>
              <w:rPr>
                <w:color w:val="1A1A1A"/>
                <w:sz w:val="15"/>
              </w:rPr>
              <w:t>Business/AI system owner</w:t>
            </w:r>
          </w:p>
        </w:tc>
        <w:tc>
          <w:tcPr>
            <w:tcW w:type="dxa" w:w="7060"/>
            <w:vAlign w:val="center"/>
          </w:tcPr>
          <w:p>
            <w:pPr>
              <w:spacing w:after="40" w:line="252" w:lineRule="auto" w:before="0"/>
            </w:pPr>
            <w:r>
              <w:rPr>
                <w:color w:val="1A1A1A"/>
                <w:sz w:val="15"/>
              </w:rPr>
              <w:t>Purpose, outcome, affected process, risk, approval, monitoring</w:t>
            </w:r>
          </w:p>
        </w:tc>
      </w:tr>
      <w:tr>
        <w:trPr>
          <w:cantSplit/>
        </w:trPr>
        <w:tc>
          <w:tcPr>
            <w:tcW w:type="dxa" w:w="2300"/>
            <w:shd w:fill="F7F9FB"/>
            <w:vAlign w:val="center"/>
          </w:tcPr>
          <w:p>
            <w:pPr>
              <w:spacing w:after="40" w:line="252" w:lineRule="auto" w:before="0"/>
            </w:pPr>
            <w:r>
              <w:rPr>
                <w:color w:val="1A1A1A"/>
                <w:sz w:val="15"/>
              </w:rPr>
              <w:t>Model/data/product/engineering</w:t>
            </w:r>
          </w:p>
        </w:tc>
        <w:tc>
          <w:tcPr>
            <w:tcW w:type="dxa" w:w="7060"/>
            <w:shd w:fill="F7F9FB"/>
            <w:vAlign w:val="center"/>
          </w:tcPr>
          <w:p>
            <w:pPr>
              <w:spacing w:after="40" w:line="252" w:lineRule="auto" w:before="0"/>
            </w:pPr>
            <w:r>
              <w:rPr>
                <w:color w:val="1A1A1A"/>
                <w:sz w:val="15"/>
              </w:rPr>
              <w:t>Requirements, design, data, evaluation, deployment, change</w:t>
            </w:r>
          </w:p>
        </w:tc>
      </w:tr>
      <w:tr>
        <w:trPr>
          <w:cantSplit/>
        </w:trPr>
        <w:tc>
          <w:tcPr>
            <w:tcW w:type="dxa" w:w="2300"/>
            <w:vAlign w:val="center"/>
          </w:tcPr>
          <w:p>
            <w:pPr>
              <w:spacing w:after="40" w:line="252" w:lineRule="auto" w:before="0"/>
            </w:pPr>
            <w:r>
              <w:rPr>
                <w:color w:val="1A1A1A"/>
                <w:sz w:val="15"/>
              </w:rPr>
              <w:t>Security/privacy/legal/compliance/safety</w:t>
            </w:r>
          </w:p>
        </w:tc>
        <w:tc>
          <w:tcPr>
            <w:tcW w:type="dxa" w:w="7060"/>
            <w:vAlign w:val="center"/>
          </w:tcPr>
          <w:p>
            <w:pPr>
              <w:spacing w:after="40" w:line="252" w:lineRule="auto" w:before="0"/>
            </w:pPr>
            <w:r>
              <w:rPr>
                <w:color w:val="1A1A1A"/>
                <w:sz w:val="15"/>
              </w:rPr>
              <w:t>Specialist requirements, review, challenge, incidents</w:t>
            </w:r>
          </w:p>
        </w:tc>
      </w:tr>
      <w:tr>
        <w:trPr>
          <w:cantSplit/>
        </w:trPr>
        <w:tc>
          <w:tcPr>
            <w:tcW w:type="dxa" w:w="2300"/>
            <w:shd w:fill="F7F9FB"/>
            <w:vAlign w:val="center"/>
          </w:tcPr>
          <w:p>
            <w:pPr>
              <w:spacing w:after="40" w:line="252" w:lineRule="auto" w:before="0"/>
            </w:pPr>
            <w:r>
              <w:rPr>
                <w:color w:val="1A1A1A"/>
                <w:sz w:val="15"/>
              </w:rPr>
              <w:t>Procurement/supplier manager</w:t>
            </w:r>
          </w:p>
        </w:tc>
        <w:tc>
          <w:tcPr>
            <w:tcW w:type="dxa" w:w="7060"/>
            <w:shd w:fill="F7F9FB"/>
            <w:vAlign w:val="center"/>
          </w:tcPr>
          <w:p>
            <w:pPr>
              <w:spacing w:after="40" w:line="252" w:lineRule="auto" w:before="0"/>
            </w:pPr>
            <w:r>
              <w:rPr>
                <w:color w:val="1A1A1A"/>
                <w:sz w:val="15"/>
              </w:rPr>
              <w:t>Due diligence, allocation, contracts, evidence, monitoring, exit</w:t>
            </w:r>
          </w:p>
        </w:tc>
      </w:tr>
      <w:tr>
        <w:trPr>
          <w:cantSplit/>
        </w:trPr>
        <w:tc>
          <w:tcPr>
            <w:tcW w:type="dxa" w:w="2300"/>
            <w:vAlign w:val="center"/>
          </w:tcPr>
          <w:p>
            <w:pPr>
              <w:spacing w:after="40" w:line="252" w:lineRule="auto" w:before="0"/>
            </w:pPr>
            <w:r>
              <w:rPr>
                <w:color w:val="1A1A1A"/>
                <w:sz w:val="15"/>
              </w:rPr>
              <w:t>Internal audit</w:t>
            </w:r>
          </w:p>
        </w:tc>
        <w:tc>
          <w:tcPr>
            <w:tcW w:type="dxa" w:w="7060"/>
            <w:vAlign w:val="center"/>
          </w:tcPr>
          <w:p>
            <w:pPr>
              <w:spacing w:after="40" w:line="252" w:lineRule="auto" w:before="0"/>
            </w:pPr>
            <w:r>
              <w:rPr>
                <w:color w:val="1A1A1A"/>
                <w:sz w:val="15"/>
              </w:rPr>
              <w:t>Independent, objective assessment without owning the controls</w:t>
            </w:r>
          </w:p>
        </w:tc>
      </w:tr>
    </w:tbl>
    <w:p>
      <w:pPr>
        <w:spacing w:after="0"/>
      </w:pPr>
    </w:p>
    <w:p>
      <w:pPr>
        <w:pStyle w:val="Heading2"/>
        <w:keepNext/>
        <w:jc w:val="left"/>
      </w:pPr>
      <w:r>
        <w:t>3.1 Implementation roadmap</w:t>
      </w:r>
    </w:p>
    <w:p>
      <w:pPr>
        <w:pStyle w:val="ListBullet"/>
        <w:spacing w:after="60"/>
      </w:pPr>
      <w:r>
        <w:t>Authorize the program and obtain the standards; define purpose, sponsor, resources, and governance.</w:t>
      </w:r>
    </w:p>
    <w:p>
      <w:pPr>
        <w:pStyle w:val="ListBullet"/>
        <w:spacing w:after="60"/>
      </w:pPr>
      <w:r>
        <w:t>Inventory AI systems and roles; conduct context and interested-party analysis; draft scope and policy.</w:t>
      </w:r>
    </w:p>
    <w:p>
      <w:pPr>
        <w:pStyle w:val="ListBullet"/>
        <w:spacing w:after="60"/>
      </w:pPr>
      <w:r>
        <w:t>Define risk, impact, treatment, SoA, objectives, document, competence, communication, and operational processes.</w:t>
      </w:r>
    </w:p>
    <w:p>
      <w:pPr>
        <w:pStyle w:val="ListBullet"/>
        <w:spacing w:after="60"/>
      </w:pPr>
      <w:r>
        <w:t>Implement Annex A and additional controls according to risk; collect evidence during real operation.</w:t>
      </w:r>
    </w:p>
    <w:p>
      <w:pPr>
        <w:pStyle w:val="ListBullet"/>
        <w:spacing w:after="60"/>
      </w:pPr>
      <w:r>
        <w:t>Measure performance; complete internal audit and management review; correct nonconformities and verify effectiveness.</w:t>
      </w:r>
    </w:p>
    <w:p>
      <w:pPr>
        <w:pStyle w:val="ListBullet"/>
        <w:spacing w:after="60"/>
      </w:pPr>
      <w:r>
        <w:t>Select a competent certification body; complete Stage 1 and Stage 2; maintain surveillance and improvement.</w:t>
      </w:r>
    </w:p>
    <w:p>
      <w:pPr>
        <w:pStyle w:val="Heading1"/>
        <w:pageBreakBefore/>
        <w:keepNext/>
        <w:jc w:val="left"/>
      </w:pPr>
      <w:r>
        <w:t>4. Clause 4: Context of the Organization</w:t>
      </w:r>
    </w:p>
    <w:p>
      <w:pPr>
        <w:spacing w:after="200"/>
      </w:pPr>
      <w:r>
        <w:rPr>
          <w:rFonts w:ascii="Aptos" w:hAnsi="Aptos"/>
          <w:i/>
          <w:color w:val="5B6570"/>
          <w:sz w:val="22"/>
        </w:rPr>
        <w:t>Clause 4 establishes why the AIMS exists, who matters, what it covers, and how its processes interact.</w:t>
      </w:r>
    </w:p>
    <w:p>
      <w:pPr>
        <w:pStyle w:val="Heading2"/>
        <w:keepNext/>
        <w:jc w:val="left"/>
      </w:pPr>
      <w:r>
        <w:t>4.1 Internal and external issues</w:t>
      </w:r>
    </w:p>
    <w:p>
      <w:pPr>
        <w:pStyle w:val="ListBullet"/>
        <w:spacing w:after="60"/>
      </w:pPr>
      <w:r>
        <w:t>Strategy, culture, governance, risk appetite, resources, competence, data maturity, technology architecture, existing management systems, and organizational change.</w:t>
      </w:r>
    </w:p>
    <w:p>
      <w:pPr>
        <w:pStyle w:val="ListBullet"/>
        <w:spacing w:after="60"/>
      </w:pPr>
      <w:r>
        <w:t>Law, regulation, sector expectations, contracts, customer requirements, standards, public trust, societal concerns, markets, suppliers, threats, technology/model change, and climate-related issues where relevant to intended AIMS outcomes.</w:t>
      </w:r>
    </w:p>
    <w:p>
      <w:pPr>
        <w:pStyle w:val="ListBullet"/>
        <w:spacing w:after="60"/>
      </w:pPr>
      <w:r>
        <w:t>Record why each issue is relevant, owner, effect on the AIMS, response, and review trigger.</w:t>
      </w:r>
    </w:p>
    <w:p>
      <w:pPr>
        <w:pStyle w:val="Heading2"/>
        <w:keepNext/>
        <w:jc w:val="left"/>
      </w:pPr>
      <w:r>
        <w:t>4.2 Interested parties and requirements</w:t>
      </w:r>
    </w:p>
    <w:p>
      <w:pPr>
        <w:pStyle w:val="ListBullet"/>
        <w:spacing w:after="60"/>
      </w:pPr>
      <w:r>
        <w:t>Identify people and groups affected by AI, even if they are not direct users or customers.</w:t>
      </w:r>
    </w:p>
    <w:p>
      <w:pPr>
        <w:pStyle w:val="ListBullet"/>
        <w:spacing w:after="60"/>
      </w:pPr>
      <w:r>
        <w:t>Include regulators, customers, workers, users, data subjects, suppliers, partners, communities, shareholders, auditors, insurers, and the public as relevant.</w:t>
      </w:r>
    </w:p>
    <w:p>
      <w:pPr>
        <w:pStyle w:val="ListBullet"/>
        <w:spacing w:after="60"/>
      </w:pPr>
      <w:r>
        <w:t>Separate needs/expectations from binding compliance obligations; record authority/source, system/process, owner, evidence, and change monitoring.</w:t>
      </w:r>
    </w:p>
    <w:p>
      <w:pPr>
        <w:pStyle w:val="ListBullet"/>
        <w:spacing w:after="60"/>
      </w:pPr>
      <w:r>
        <w:t>Determine which requirements the organization will address through the AIMS.</w:t>
      </w:r>
    </w:p>
    <w:p>
      <w:pPr>
        <w:pStyle w:val="Heading2"/>
        <w:keepNext/>
        <w:jc w:val="left"/>
      </w:pPr>
      <w:r>
        <w:t>4.3 Scope statement</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F4E78"/>
          </w:tcPr>
          <w:p>
            <w:pPr>
              <w:spacing w:after="40" w:before="0"/>
              <w:jc w:val="left"/>
            </w:pPr>
            <w:r>
              <w:rPr>
                <w:b/>
                <w:sz w:val="15"/>
                <w:color w:val="FFFFFF"/>
              </w:rPr>
              <w:t>Scope element</w:t>
            </w:r>
          </w:p>
        </w:tc>
        <w:tc>
          <w:tcPr>
            <w:tcW w:type="dxa" w:w="7060"/>
            <w:tcMar>
              <w:top w:w="90" w:type="dxa"/>
              <w:start w:w="120" w:type="dxa"/>
              <w:bottom w:w="90" w:type="dxa"/>
              <w:end w:w="120" w:type="dxa"/>
            </w:tcMar>
            <w:vAlign w:val="center"/>
            <w:shd w:fill="1F4E78"/>
          </w:tcPr>
          <w:p>
            <w:pPr>
              <w:spacing w:after="40" w:before="0"/>
              <w:jc w:val="left"/>
            </w:pPr>
            <w:r>
              <w:rPr>
                <w:b/>
                <w:sz w:val="15"/>
                <w:color w:val="FFFFFF"/>
              </w:rPr>
              <w:t>Required clarity</w:t>
            </w:r>
          </w:p>
        </w:tc>
      </w:tr>
      <w:tr>
        <w:trPr>
          <w:cantSplit/>
        </w:trPr>
        <w:tc>
          <w:tcPr>
            <w:tcW w:type="dxa" w:w="2300"/>
            <w:vAlign w:val="center"/>
          </w:tcPr>
          <w:p>
            <w:pPr>
              <w:spacing w:after="40" w:line="252" w:lineRule="auto" w:before="0"/>
            </w:pPr>
            <w:r>
              <w:rPr>
                <w:color w:val="1A1A1A"/>
                <w:sz w:val="15"/>
              </w:rPr>
              <w:t>Organization</w:t>
            </w:r>
          </w:p>
        </w:tc>
        <w:tc>
          <w:tcPr>
            <w:tcW w:type="dxa" w:w="7060"/>
            <w:vAlign w:val="center"/>
          </w:tcPr>
          <w:p>
            <w:pPr>
              <w:spacing w:after="40" w:line="252" w:lineRule="auto" w:before="0"/>
            </w:pPr>
            <w:r>
              <w:rPr>
                <w:color w:val="1A1A1A"/>
                <w:sz w:val="15"/>
              </w:rPr>
              <w:t>Legal entities, business units, locations, functions</w:t>
            </w:r>
          </w:p>
        </w:tc>
      </w:tr>
      <w:tr>
        <w:trPr>
          <w:cantSplit/>
        </w:trPr>
        <w:tc>
          <w:tcPr>
            <w:tcW w:type="dxa" w:w="2300"/>
            <w:shd w:fill="F7F9FB"/>
            <w:vAlign w:val="center"/>
          </w:tcPr>
          <w:p>
            <w:pPr>
              <w:spacing w:after="40" w:line="252" w:lineRule="auto" w:before="0"/>
            </w:pPr>
            <w:r>
              <w:rPr>
                <w:color w:val="1A1A1A"/>
                <w:sz w:val="15"/>
              </w:rPr>
              <w:t>AI role</w:t>
            </w:r>
          </w:p>
        </w:tc>
        <w:tc>
          <w:tcPr>
            <w:tcW w:type="dxa" w:w="7060"/>
            <w:shd w:fill="F7F9FB"/>
            <w:vAlign w:val="center"/>
          </w:tcPr>
          <w:p>
            <w:pPr>
              <w:spacing w:after="40" w:line="252" w:lineRule="auto" w:before="0"/>
            </w:pPr>
            <w:r>
              <w:rPr>
                <w:color w:val="1A1A1A"/>
                <w:sz w:val="15"/>
              </w:rPr>
              <w:t>Developer/provider, deployer/user, service/supplier, combination</w:t>
            </w:r>
          </w:p>
        </w:tc>
      </w:tr>
      <w:tr>
        <w:trPr>
          <w:cantSplit/>
        </w:trPr>
        <w:tc>
          <w:tcPr>
            <w:tcW w:type="dxa" w:w="2300"/>
            <w:vAlign w:val="center"/>
          </w:tcPr>
          <w:p>
            <w:pPr>
              <w:spacing w:after="40" w:line="252" w:lineRule="auto" w:before="0"/>
            </w:pPr>
            <w:r>
              <w:rPr>
                <w:color w:val="1A1A1A"/>
                <w:sz w:val="15"/>
              </w:rPr>
              <w:t>Products/services/processes</w:t>
            </w:r>
          </w:p>
        </w:tc>
        <w:tc>
          <w:tcPr>
            <w:tcW w:type="dxa" w:w="7060"/>
            <w:vAlign w:val="center"/>
          </w:tcPr>
          <w:p>
            <w:pPr>
              <w:spacing w:after="40" w:line="252" w:lineRule="auto" w:before="0"/>
            </w:pPr>
            <w:r>
              <w:rPr>
                <w:color w:val="1A1A1A"/>
                <w:sz w:val="15"/>
              </w:rPr>
              <w:t>AI-enabled offerings and internal uses</w:t>
            </w:r>
          </w:p>
        </w:tc>
      </w:tr>
      <w:tr>
        <w:trPr>
          <w:cantSplit/>
        </w:trPr>
        <w:tc>
          <w:tcPr>
            <w:tcW w:type="dxa" w:w="2300"/>
            <w:shd w:fill="F7F9FB"/>
            <w:vAlign w:val="center"/>
          </w:tcPr>
          <w:p>
            <w:pPr>
              <w:spacing w:after="40" w:line="252" w:lineRule="auto" w:before="0"/>
            </w:pPr>
            <w:r>
              <w:rPr>
                <w:color w:val="1A1A1A"/>
                <w:sz w:val="15"/>
              </w:rPr>
              <w:t>Technology and data</w:t>
            </w:r>
          </w:p>
        </w:tc>
        <w:tc>
          <w:tcPr>
            <w:tcW w:type="dxa" w:w="7060"/>
            <w:shd w:fill="F7F9FB"/>
            <w:vAlign w:val="center"/>
          </w:tcPr>
          <w:p>
            <w:pPr>
              <w:spacing w:after="40" w:line="252" w:lineRule="auto" w:before="0"/>
            </w:pPr>
            <w:r>
              <w:rPr>
                <w:color w:val="1A1A1A"/>
                <w:sz w:val="15"/>
              </w:rPr>
              <w:t>Systems, models, environments, interfaces, key datasets</w:t>
            </w:r>
          </w:p>
        </w:tc>
      </w:tr>
      <w:tr>
        <w:trPr>
          <w:cantSplit/>
        </w:trPr>
        <w:tc>
          <w:tcPr>
            <w:tcW w:type="dxa" w:w="2300"/>
            <w:vAlign w:val="center"/>
          </w:tcPr>
          <w:p>
            <w:pPr>
              <w:spacing w:after="40" w:line="252" w:lineRule="auto" w:before="0"/>
            </w:pPr>
            <w:r>
              <w:rPr>
                <w:color w:val="1A1A1A"/>
                <w:sz w:val="15"/>
              </w:rPr>
              <w:t>Boundaries/dependencies</w:t>
            </w:r>
          </w:p>
        </w:tc>
        <w:tc>
          <w:tcPr>
            <w:tcW w:type="dxa" w:w="7060"/>
            <w:vAlign w:val="center"/>
          </w:tcPr>
          <w:p>
            <w:pPr>
              <w:spacing w:after="40" w:line="252" w:lineRule="auto" w:before="0"/>
            </w:pPr>
            <w:r>
              <w:rPr>
                <w:color w:val="1A1A1A"/>
                <w:sz w:val="15"/>
              </w:rPr>
              <w:t>Shared services, suppliers, customers, exclusions</w:t>
            </w:r>
          </w:p>
        </w:tc>
      </w:tr>
      <w:tr>
        <w:trPr>
          <w:cantSplit/>
        </w:trPr>
        <w:tc>
          <w:tcPr>
            <w:tcW w:type="dxa" w:w="2300"/>
            <w:shd w:fill="F7F9FB"/>
            <w:vAlign w:val="center"/>
          </w:tcPr>
          <w:p>
            <w:pPr>
              <w:spacing w:after="40" w:line="252" w:lineRule="auto" w:before="0"/>
            </w:pPr>
            <w:r>
              <w:rPr>
                <w:color w:val="1A1A1A"/>
                <w:sz w:val="15"/>
              </w:rPr>
              <w:t>Justification</w:t>
            </w:r>
          </w:p>
        </w:tc>
        <w:tc>
          <w:tcPr>
            <w:tcW w:type="dxa" w:w="7060"/>
            <w:shd w:fill="F7F9FB"/>
            <w:vAlign w:val="center"/>
          </w:tcPr>
          <w:p>
            <w:pPr>
              <w:spacing w:after="40" w:line="252" w:lineRule="auto" w:before="0"/>
            </w:pPr>
            <w:r>
              <w:rPr>
                <w:color w:val="1A1A1A"/>
                <w:sz w:val="15"/>
              </w:rPr>
              <w:t>Why boundaries are valid and do not avoid applicable requirements</w:t>
            </w:r>
          </w:p>
        </w:tc>
      </w:tr>
    </w:tbl>
    <w:p>
      <w:pPr>
        <w:spacing w:after="0"/>
      </w:pPr>
    </w:p>
    <w:p>
      <w:pPr>
        <w:pStyle w:val="Heading2"/>
        <w:keepNext/>
        <w:jc w:val="left"/>
      </w:pPr>
      <w:r>
        <w:t>4.4 AIMS processes</w:t>
      </w:r>
    </w:p>
    <w:p>
      <w:pPr>
        <w:pStyle w:val="ListBullet"/>
        <w:spacing w:after="60"/>
      </w:pPr>
      <w:r>
        <w:t>Define process purpose, inputs, outputs, sequence, interaction, owner, criteria, controls, resources, records, measures, risks, and improvement.</w:t>
      </w:r>
    </w:p>
    <w:p>
      <w:pPr>
        <w:pStyle w:val="ListBullet"/>
        <w:spacing w:after="60"/>
      </w:pPr>
      <w:r>
        <w:t>A process map should connect inventory, risk, impact, treatment, objectives, lifecycle, data, supplier, use, monitoring, incidents, audit, review, and corrective action.</w:t>
      </w:r>
    </w:p>
    <w:p>
      <w:pPr>
        <w:pStyle w:val="Heading1"/>
        <w:pageBreakBefore/>
        <w:keepNext/>
        <w:jc w:val="left"/>
      </w:pPr>
      <w:r>
        <w:t>5. Clause 5: Leadership</w:t>
      </w:r>
    </w:p>
    <w:p>
      <w:pPr>
        <w:spacing w:after="200"/>
      </w:pPr>
      <w:r>
        <w:rPr>
          <w:rFonts w:ascii="Aptos" w:hAnsi="Aptos"/>
          <w:i/>
          <w:color w:val="5B6570"/>
          <w:sz w:val="22"/>
        </w:rPr>
        <w:t>Leadership must own the AIMS, policy, integration, resources, communication, performance, and accountable roles.</w:t>
      </w:r>
    </w:p>
    <w:p>
      <w:pPr>
        <w:pStyle w:val="Heading2"/>
        <w:keepNext/>
        <w:jc w:val="left"/>
      </w:pPr>
      <w:r>
        <w:t>5.1 Demonstrating leadership</w:t>
      </w:r>
    </w:p>
    <w:p>
      <w:pPr>
        <w:pStyle w:val="ListBullet"/>
        <w:spacing w:after="60"/>
      </w:pPr>
      <w:r>
        <w:t>Make AIMS objectives compatible with strategy and responsible-AI commitments.</w:t>
      </w:r>
    </w:p>
    <w:p>
      <w:pPr>
        <w:pStyle w:val="ListBullet"/>
        <w:spacing w:after="60"/>
      </w:pPr>
      <w:r>
        <w:t>Integrate AIMS requirements into business, product, procurement, data, technology, people, risk, and change processes.</w:t>
      </w:r>
    </w:p>
    <w:p>
      <w:pPr>
        <w:pStyle w:val="ListBullet"/>
        <w:spacing w:after="60"/>
      </w:pPr>
      <w:r>
        <w:t>Provide competent people, time, tools, data, infrastructure, budget, independent challenge, and authority.</w:t>
      </w:r>
    </w:p>
    <w:p>
      <w:pPr>
        <w:pStyle w:val="ListBullet"/>
        <w:spacing w:after="60"/>
      </w:pPr>
      <w:r>
        <w:t>Communicate that effective AI management and conformity matter, including when delivery pressure conflicts with controls.</w:t>
      </w:r>
    </w:p>
    <w:p>
      <w:pPr>
        <w:pStyle w:val="ListBullet"/>
        <w:spacing w:after="60"/>
      </w:pPr>
      <w:r>
        <w:t>Review performance and support people who contribute to improvement or raise concerns.</w:t>
      </w:r>
    </w:p>
    <w:p>
      <w:pPr>
        <w:pStyle w:val="ListBullet"/>
        <w:spacing w:after="60"/>
      </w:pPr>
      <w:r>
        <w:t>Ensure intended results are achieved rather than treating certification as the only outcome.</w:t>
      </w:r>
    </w:p>
    <w:p>
      <w:pPr>
        <w:pStyle w:val="Heading2"/>
        <w:keepNext/>
        <w:jc w:val="left"/>
      </w:pPr>
      <w:r>
        <w:t>5.2 AI policy</w:t>
      </w:r>
    </w:p>
    <w:p>
      <w:pPr>
        <w:pStyle w:val="ListBullet"/>
        <w:spacing w:after="60"/>
      </w:pPr>
      <w:r>
        <w:t>State purpose, principles, commitments to applicable requirements, risk-based responsible AI, objectives, and continual improvement.</w:t>
      </w:r>
    </w:p>
    <w:p>
      <w:pPr>
        <w:pStyle w:val="ListBullet"/>
        <w:spacing w:after="60"/>
      </w:pPr>
      <w:r>
        <w:t>Match the organization’s AI roles, context, culture, impact, law, products, and risk appetite.</w:t>
      </w:r>
    </w:p>
    <w:p>
      <w:pPr>
        <w:pStyle w:val="ListBullet"/>
        <w:spacing w:after="60"/>
      </w:pPr>
      <w:r>
        <w:t>Align security, privacy, quality, data, ethics, HR, procurement, product, records, safety, and incident policies.</w:t>
      </w:r>
    </w:p>
    <w:p>
      <w:pPr>
        <w:pStyle w:val="ListBullet"/>
        <w:spacing w:after="60"/>
      </w:pPr>
      <w:r>
        <w:t>Approve at the right level, communicate it to relevant people, make it available as appropriate, and review it after planned intervals and material change.</w:t>
      </w:r>
    </w:p>
    <w:p>
      <w:pPr>
        <w:pStyle w:val="Heading2"/>
        <w:keepNext/>
        <w:jc w:val="left"/>
      </w:pPr>
      <w:r>
        <w:t>5.3 Roles, responsibilities, authorities</w:t>
      </w:r>
    </w:p>
    <w:p>
      <w:pPr>
        <w:pStyle w:val="ListBullet"/>
        <w:spacing w:after="60"/>
      </w:pPr>
      <w:r>
        <w:t>Define accountability for the AIMS and for reporting performance to top management.</w:t>
      </w:r>
    </w:p>
    <w:p>
      <w:pPr>
        <w:pStyle w:val="ListBullet"/>
        <w:spacing w:after="60"/>
      </w:pPr>
      <w:r>
        <w:t>Assign owners for every AI system, risk, impact, data source, model, supplier, control, metric, incident, change, and corrective action.</w:t>
      </w:r>
    </w:p>
    <w:p>
      <w:pPr>
        <w:pStyle w:val="ListBullet"/>
        <w:spacing w:after="60"/>
      </w:pPr>
      <w:r>
        <w:t>Define approval and escalation authority; prevent conflicts where the same team creates, validates, accepts, and audits high-impact risk without adequate challenge.</w:t>
      </w:r>
    </w:p>
    <w:p>
      <w:pPr>
        <w:pStyle w:val="Heading1"/>
        <w:pageBreakBefore/>
        <w:keepNext/>
        <w:jc w:val="left"/>
      </w:pPr>
      <w:r>
        <w:t>6. Clause 6.1: Actions to Address Risks and Opportunities</w:t>
      </w:r>
    </w:p>
    <w:p>
      <w:pPr>
        <w:spacing w:after="200"/>
      </w:pPr>
      <w:r>
        <w:rPr>
          <w:rFonts w:ascii="Aptos" w:hAnsi="Aptos"/>
          <w:i/>
          <w:color w:val="5B6570"/>
          <w:sz w:val="22"/>
        </w:rPr>
        <w:t>Planning turns context into managed risks, opportunities, controls, objectives, and controlled change.</w:t>
      </w:r>
    </w:p>
    <w:p>
      <w:pPr>
        <w:pStyle w:val="Heading2"/>
        <w:keepNext/>
        <w:jc w:val="left"/>
      </w:pPr>
      <w:r>
        <w:t>6.1 Planning inputs</w:t>
      </w:r>
    </w:p>
    <w:p>
      <w:pPr>
        <w:pStyle w:val="ListBullet"/>
        <w:spacing w:after="60"/>
      </w:pPr>
      <w:r>
        <w:t>Context and interested-party requirements; AIMS scope and processes.</w:t>
      </w:r>
    </w:p>
    <w:p>
      <w:pPr>
        <w:pStyle w:val="ListBullet"/>
        <w:spacing w:after="60"/>
      </w:pPr>
      <w:r>
        <w:t>AI inventory, system roles, life-cycle stage, affected people, data, models, suppliers, integrations, and use conditions.</w:t>
      </w:r>
    </w:p>
    <w:p>
      <w:pPr>
        <w:pStyle w:val="ListBullet"/>
        <w:spacing w:after="60"/>
      </w:pPr>
      <w:r>
        <w:t>Strategic benefits and opportunities, along with threats, failures, harms, uncertainty, and reasonably foreseeable misuse.</w:t>
      </w:r>
    </w:p>
    <w:p>
      <w:pPr>
        <w:pStyle w:val="ListBullet"/>
        <w:spacing w:after="60"/>
      </w:pPr>
      <w:r>
        <w:t>Applicable legal, regulatory, contractual, security, privacy, safety, quality, records, accessibility, employment, IP, consumer, and sector obligations.</w:t>
      </w:r>
    </w:p>
    <w:p>
      <w:pPr>
        <w:pStyle w:val="Heading2"/>
        <w:keepNext/>
        <w:jc w:val="left"/>
      </w:pPr>
      <w:r>
        <w:t>6.1.1 Risk and opportunity actions</w:t>
      </w:r>
    </w:p>
    <w:p>
      <w:pPr>
        <w:pStyle w:val="ListBullet"/>
        <w:spacing w:after="60"/>
      </w:pPr>
      <w:r>
        <w:t>Plan actions proportionate to the effect on AIMS outcomes; integrate them into processes rather than keeping a separate register only.</w:t>
      </w:r>
    </w:p>
    <w:p>
      <w:pPr>
        <w:pStyle w:val="ListBullet"/>
        <w:spacing w:after="60"/>
      </w:pPr>
      <w:r>
        <w:t>Define action, owner, resource, date, measure, evidence, dependency, residual decision, and effectiveness evaluation.</w:t>
      </w:r>
    </w:p>
    <w:p>
      <w:pPr>
        <w:pStyle w:val="ListBullet"/>
        <w:spacing w:after="60"/>
      </w:pPr>
      <w:r>
        <w:t>Opportunities may include improved oversight, data quality, transparency, evaluation, competence, efficiency, stakeholder trust, and innovation.</w:t>
      </w:r>
    </w:p>
    <w:p>
      <w:pPr>
        <w:pStyle w:val="ListBullet"/>
        <w:spacing w:after="60"/>
      </w:pPr>
      <w:r>
        <w:t>Prevent intended controls from creating new risks, such as excessive monitoring, inaccessible notices, or review overload.</w:t>
      </w:r>
    </w:p>
    <w:p>
      <w:pPr>
        <w:pStyle w:val="Heading1"/>
        <w:pageBreakBefore/>
        <w:keepNext/>
        <w:jc w:val="left"/>
      </w:pPr>
      <w:r>
        <w:t>7. Clause 6.1.2: AI Risk Assessment</w:t>
      </w:r>
    </w:p>
    <w:p>
      <w:pPr>
        <w:spacing w:after="200"/>
      </w:pPr>
      <w:r>
        <w:rPr>
          <w:rFonts w:ascii="Aptos" w:hAnsi="Aptos"/>
          <w:i/>
          <w:color w:val="5B6570"/>
          <w:sz w:val="22"/>
        </w:rPr>
        <w:t>The AI risk-assessment process must use defined, repeatable criteria to identify, analyze, evaluate, and prioritize risk.</w:t>
      </w:r>
    </w:p>
    <w:p>
      <w:pPr>
        <w:keepNext/>
        <w:jc w:val="center"/>
      </w:pPr>
      <w:r>
        <w:drawing>
          <wp:inline xmlns:a="http://schemas.openxmlformats.org/drawingml/2006/main" xmlns:pic="http://schemas.openxmlformats.org/drawingml/2006/picture">
            <wp:extent cx="5623560" cy="2956017"/>
            <wp:docPr id="3" name="Manual 02 Figure 3" descr="Record evidence and uncertainty so different assessors can reach comparable conclusions." title="Figure 3"/>
            <wp:cNvGraphicFramePr>
              <a:graphicFrameLocks noChangeAspect="1"/>
            </wp:cNvGraphicFramePr>
            <a:graphic>
              <a:graphicData uri="http://schemas.openxmlformats.org/drawingml/2006/picture">
                <pic:pic>
                  <pic:nvPicPr>
                    <pic:cNvPr id="0" name="risk.png"/>
                    <pic:cNvPicPr/>
                  </pic:nvPicPr>
                  <pic:blipFill>
                    <a:blip r:embed="rId15"/>
                    <a:stretch>
                      <a:fillRect/>
                    </a:stretch>
                  </pic:blipFill>
                  <pic:spPr>
                    <a:xfrm>
                      <a:off x="0" y="0"/>
                      <a:ext cx="5623560" cy="2956017"/>
                    </a:xfrm>
                    <a:prstGeom prst="rect"/>
                  </pic:spPr>
                </pic:pic>
              </a:graphicData>
            </a:graphic>
          </wp:inline>
        </w:drawing>
      </w:r>
    </w:p>
    <w:p>
      <w:pPr>
        <w:pStyle w:val="Caption"/>
        <w:spacing w:after="180"/>
        <w:jc w:val="center"/>
        <w:keepNext/>
      </w:pPr>
      <w:r>
        <w:t>Figure 3. AI risk-assessment workflow</w:t>
      </w:r>
    </w:p>
    <w:p>
      <w:pPr>
        <w:pStyle w:val="Heading2"/>
        <w:keepNext/>
        <w:jc w:val="left"/>
      </w:pPr>
      <w:r>
        <w:t>7.1 Risk method</w:t>
      </w:r>
    </w:p>
    <w:p>
      <w:pPr>
        <w:pStyle w:val="ListBullet"/>
        <w:spacing w:after="60"/>
      </w:pPr>
      <w:r>
        <w:t>Define scope, unit of analysis, risk categories, impact dimensions, likelihood, severity, scale, duration, reversibility, affected groups, uncertainty, aggregation, tolerance, and decision authority.</w:t>
      </w:r>
    </w:p>
    <w:p>
      <w:pPr>
        <w:pStyle w:val="ListBullet"/>
        <w:spacing w:after="60"/>
      </w:pPr>
      <w:r>
        <w:t>Identify risk scenarios across intended use, foreseeable misuse, failure, attack, data, model, human behavior, suppliers, environment, law, and societal effect.</w:t>
      </w:r>
    </w:p>
    <w:p>
      <w:pPr>
        <w:pStyle w:val="ListBullet"/>
        <w:spacing w:after="60"/>
      </w:pPr>
      <w:r>
        <w:t>Analyze inherent risk and existing controls with evidence; distinguish current, target, and residual risk.</w:t>
      </w:r>
    </w:p>
    <w:p>
      <w:pPr>
        <w:pStyle w:val="ListBullet"/>
        <w:spacing w:after="60"/>
      </w:pPr>
      <w:r>
        <w:t>Evaluate against criteria; prioritize treatment based on people and business consequence, not a single technical score.</w:t>
      </w:r>
    </w:p>
    <w:p>
      <w:pPr>
        <w:pStyle w:val="ListBullet"/>
        <w:spacing w:after="60"/>
      </w:pPr>
      <w:r>
        <w:t>Ensure consistent, valid, and comparable results and preserve the assessment as documented information.</w:t>
      </w:r>
    </w:p>
    <w:p>
      <w:pPr>
        <w:pStyle w:val="ListBullet"/>
        <w:spacing w:after="60"/>
      </w:pPr>
      <w:r>
        <w:t>Reassess at planned intervals and after material changes, incidents, new affected groups, model/provider updates, drift, legal change, or control failure.</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F4E78"/>
          </w:tcPr>
          <w:p>
            <w:pPr>
              <w:spacing w:after="40" w:before="0"/>
              <w:jc w:val="left"/>
            </w:pPr>
            <w:r>
              <w:rPr>
                <w:b/>
                <w:sz w:val="14"/>
                <w:color w:val="FFFFFF"/>
              </w:rPr>
              <w:t>Risk record</w:t>
            </w:r>
          </w:p>
        </w:tc>
        <w:tc>
          <w:tcPr>
            <w:tcW w:type="dxa" w:w="7260"/>
            <w:tcMar>
              <w:top w:w="90" w:type="dxa"/>
              <w:start w:w="120" w:type="dxa"/>
              <w:bottom w:w="90" w:type="dxa"/>
              <w:end w:w="120" w:type="dxa"/>
            </w:tcMar>
            <w:vAlign w:val="center"/>
            <w:shd w:fill="1F4E78"/>
          </w:tcPr>
          <w:p>
            <w:pPr>
              <w:spacing w:after="40" w:before="0"/>
              <w:jc w:val="left"/>
            </w:pPr>
            <w:r>
              <w:rPr>
                <w:b/>
                <w:sz w:val="14"/>
                <w:color w:val="FFFFFF"/>
              </w:rPr>
              <w:t>Minimum detail</w:t>
            </w:r>
          </w:p>
        </w:tc>
      </w:tr>
      <w:tr>
        <w:trPr>
          <w:cantSplit/>
        </w:trPr>
        <w:tc>
          <w:tcPr>
            <w:tcW w:type="dxa" w:w="2100"/>
            <w:vAlign w:val="center"/>
          </w:tcPr>
          <w:p>
            <w:pPr>
              <w:spacing w:after="40" w:line="252" w:lineRule="auto" w:before="0"/>
            </w:pPr>
            <w:r>
              <w:rPr>
                <w:color w:val="1A1A1A"/>
                <w:sz w:val="14"/>
              </w:rPr>
              <w:t>Scenario</w:t>
            </w:r>
          </w:p>
        </w:tc>
        <w:tc>
          <w:tcPr>
            <w:tcW w:type="dxa" w:w="7260"/>
            <w:vAlign w:val="center"/>
          </w:tcPr>
          <w:p>
            <w:pPr>
              <w:spacing w:after="40" w:line="252" w:lineRule="auto" w:before="0"/>
            </w:pPr>
            <w:r>
              <w:rPr>
                <w:color w:val="1A1A1A"/>
                <w:sz w:val="14"/>
              </w:rPr>
              <w:t>Cause/actor, vulnerable condition, event/action, system behavior, affected party, consequence</w:t>
            </w:r>
          </w:p>
        </w:tc>
      </w:tr>
      <w:tr>
        <w:trPr>
          <w:cantSplit/>
        </w:trPr>
        <w:tc>
          <w:tcPr>
            <w:tcW w:type="dxa" w:w="2100"/>
            <w:shd w:fill="F7F9FB"/>
            <w:vAlign w:val="center"/>
          </w:tcPr>
          <w:p>
            <w:pPr>
              <w:spacing w:after="40" w:line="252" w:lineRule="auto" w:before="0"/>
            </w:pPr>
            <w:r>
              <w:rPr>
                <w:color w:val="1A1A1A"/>
                <w:sz w:val="14"/>
              </w:rPr>
              <w:t>Context</w:t>
            </w:r>
          </w:p>
        </w:tc>
        <w:tc>
          <w:tcPr>
            <w:tcW w:type="dxa" w:w="7260"/>
            <w:shd w:fill="F7F9FB"/>
            <w:vAlign w:val="center"/>
          </w:tcPr>
          <w:p>
            <w:pPr>
              <w:spacing w:after="40" w:line="252" w:lineRule="auto" w:before="0"/>
            </w:pPr>
            <w:r>
              <w:rPr>
                <w:color w:val="1A1A1A"/>
                <w:sz w:val="14"/>
              </w:rPr>
              <w:t>Use, people, geography, scale, data, model/version, tools, supplier, assumptions</w:t>
            </w:r>
          </w:p>
        </w:tc>
      </w:tr>
      <w:tr>
        <w:trPr>
          <w:cantSplit/>
        </w:trPr>
        <w:tc>
          <w:tcPr>
            <w:tcW w:type="dxa" w:w="2100"/>
            <w:vAlign w:val="center"/>
          </w:tcPr>
          <w:p>
            <w:pPr>
              <w:spacing w:after="40" w:line="252" w:lineRule="auto" w:before="0"/>
            </w:pPr>
            <w:r>
              <w:rPr>
                <w:color w:val="1A1A1A"/>
                <w:sz w:val="14"/>
              </w:rPr>
              <w:t>Analysis</w:t>
            </w:r>
          </w:p>
        </w:tc>
        <w:tc>
          <w:tcPr>
            <w:tcW w:type="dxa" w:w="7260"/>
            <w:vAlign w:val="center"/>
          </w:tcPr>
          <w:p>
            <w:pPr>
              <w:spacing w:after="40" w:line="252" w:lineRule="auto" w:before="0"/>
            </w:pPr>
            <w:r>
              <w:rPr>
                <w:color w:val="1A1A1A"/>
                <w:sz w:val="14"/>
              </w:rPr>
              <w:t>Likelihood, impact dimensions, uncertainty, evidence, existing control effectiveness</w:t>
            </w:r>
          </w:p>
        </w:tc>
      </w:tr>
      <w:tr>
        <w:trPr>
          <w:cantSplit/>
        </w:trPr>
        <w:tc>
          <w:tcPr>
            <w:tcW w:type="dxa" w:w="2100"/>
            <w:shd w:fill="F7F9FB"/>
            <w:vAlign w:val="center"/>
          </w:tcPr>
          <w:p>
            <w:pPr>
              <w:spacing w:after="40" w:line="252" w:lineRule="auto" w:before="0"/>
            </w:pPr>
            <w:r>
              <w:rPr>
                <w:color w:val="1A1A1A"/>
                <w:sz w:val="14"/>
              </w:rPr>
              <w:t>Treatment</w:t>
            </w:r>
          </w:p>
        </w:tc>
        <w:tc>
          <w:tcPr>
            <w:tcW w:type="dxa" w:w="7260"/>
            <w:shd w:fill="F7F9FB"/>
            <w:vAlign w:val="center"/>
          </w:tcPr>
          <w:p>
            <w:pPr>
              <w:spacing w:after="40" w:line="252" w:lineRule="auto" w:before="0"/>
            </w:pPr>
            <w:r>
              <w:rPr>
                <w:color w:val="1A1A1A"/>
                <w:sz w:val="14"/>
              </w:rPr>
              <w:t>Avoid/reduce/share/accept, controls, owner, date, measure, residual risk</w:t>
            </w:r>
          </w:p>
        </w:tc>
      </w:tr>
      <w:tr>
        <w:trPr>
          <w:cantSplit/>
        </w:trPr>
        <w:tc>
          <w:tcPr>
            <w:tcW w:type="dxa" w:w="2100"/>
            <w:vAlign w:val="center"/>
          </w:tcPr>
          <w:p>
            <w:pPr>
              <w:spacing w:after="40" w:line="252" w:lineRule="auto" w:before="0"/>
            </w:pPr>
            <w:r>
              <w:rPr>
                <w:color w:val="1A1A1A"/>
                <w:sz w:val="14"/>
              </w:rPr>
              <w:t>Decision</w:t>
            </w:r>
          </w:p>
        </w:tc>
        <w:tc>
          <w:tcPr>
            <w:tcW w:type="dxa" w:w="7260"/>
            <w:vAlign w:val="center"/>
          </w:tcPr>
          <w:p>
            <w:pPr>
              <w:spacing w:after="40" w:line="252" w:lineRule="auto" w:before="0"/>
            </w:pPr>
            <w:r>
              <w:rPr>
                <w:color w:val="1A1A1A"/>
                <w:sz w:val="14"/>
              </w:rPr>
              <w:t>Authorized approver, rationale, conditions, expiry, monitoring, review trigger</w:t>
            </w:r>
          </w:p>
        </w:tc>
      </w:tr>
    </w:tbl>
    <w:p>
      <w:pPr>
        <w:spacing w:after="0"/>
      </w:pPr>
    </w:p>
    <w:p>
      <w:pPr>
        <w:pStyle w:val="Heading1"/>
        <w:pageBreakBefore/>
        <w:keepNext/>
        <w:jc w:val="left"/>
      </w:pPr>
      <w:r>
        <w:t>8. Clause 6.1.3: AI Risk Treatment and the Statement of Applicability</w:t>
      </w:r>
    </w:p>
    <w:p>
      <w:pPr>
        <w:spacing w:after="200"/>
      </w:pPr>
      <w:r>
        <w:rPr>
          <w:rFonts w:ascii="Aptos" w:hAnsi="Aptos"/>
          <w:i/>
          <w:color w:val="5B6570"/>
          <w:sz w:val="22"/>
        </w:rPr>
        <w:t>Risk treatment selects controls, compares them to Annex A, produces the Statement of Applicability, and obtains residual-risk approval.</w:t>
      </w:r>
    </w:p>
    <w:p>
      <w:pPr>
        <w:pStyle w:val="Heading2"/>
        <w:keepNext/>
        <w:jc w:val="left"/>
      </w:pPr>
      <w:r>
        <w:t>8.1 Treatment process</w:t>
      </w:r>
    </w:p>
    <w:p>
      <w:pPr>
        <w:pStyle w:val="ListBullet"/>
        <w:spacing w:after="60"/>
      </w:pPr>
      <w:r>
        <w:t>Choose treatment options: avoid, change/reduce, share/transfer, accept within authority, or conduct a tightly limited pilot to reduce uncertainty.</w:t>
      </w:r>
    </w:p>
    <w:p>
      <w:pPr>
        <w:pStyle w:val="ListBullet"/>
        <w:spacing w:after="60"/>
      </w:pPr>
      <w:r>
        <w:t>Determine necessary controls from legal and contractual requirements, AI risk and impact results, architecture, stakeholders, and objectives.</w:t>
      </w:r>
    </w:p>
    <w:p>
      <w:pPr>
        <w:pStyle w:val="ListBullet"/>
        <w:spacing w:after="60"/>
      </w:pPr>
      <w:r>
        <w:t>Compare selected controls with Annex A to check that no relevant reference control was overlooked.</w:t>
      </w:r>
    </w:p>
    <w:p>
      <w:pPr>
        <w:pStyle w:val="ListBullet"/>
        <w:spacing w:after="60"/>
      </w:pPr>
      <w:r>
        <w:t>Add controls beyond Annex A when needed for security, privacy, safety, quality, technical evaluation, accessibility, resilience, or sector obligations.</w:t>
      </w:r>
    </w:p>
    <w:p>
      <w:pPr>
        <w:pStyle w:val="ListBullet"/>
        <w:spacing w:after="60"/>
      </w:pPr>
      <w:r>
        <w:t>Create and approve a treatment plan and obtain authorization for residual risk.</w:t>
      </w:r>
    </w:p>
    <w:p>
      <w:pPr>
        <w:pStyle w:val="ListBullet"/>
        <w:spacing w:after="60"/>
      </w:pPr>
      <w:r>
        <w:t>Preserve treatment results and changes as controlled documented information.</w:t>
      </w:r>
    </w:p>
    <w:p>
      <w:pPr>
        <w:pStyle w:val="Heading2"/>
        <w:keepNext/>
        <w:jc w:val="left"/>
      </w:pPr>
      <w:r>
        <w:t>8.2 Statement of Applicability fields</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F4E78"/>
          </w:tcPr>
          <w:p>
            <w:pPr>
              <w:spacing w:after="40" w:before="0"/>
              <w:jc w:val="left"/>
            </w:pPr>
            <w:r>
              <w:rPr>
                <w:b/>
                <w:sz w:val="14"/>
                <w:color w:val="FFFFFF"/>
              </w:rPr>
              <w:t>Field</w:t>
            </w:r>
          </w:p>
        </w:tc>
        <w:tc>
          <w:tcPr>
            <w:tcW w:type="dxa" w:w="7060"/>
            <w:tcMar>
              <w:top w:w="90" w:type="dxa"/>
              <w:start w:w="120" w:type="dxa"/>
              <w:bottom w:w="90" w:type="dxa"/>
              <w:end w:w="120" w:type="dxa"/>
            </w:tcMar>
            <w:vAlign w:val="center"/>
            <w:shd w:fill="1F4E78"/>
          </w:tcPr>
          <w:p>
            <w:pPr>
              <w:spacing w:after="40" w:before="0"/>
              <w:jc w:val="left"/>
            </w:pPr>
            <w:r>
              <w:rPr>
                <w:b/>
                <w:sz w:val="14"/>
                <w:color w:val="FFFFFF"/>
              </w:rPr>
              <w:t>Purpose</w:t>
            </w:r>
          </w:p>
        </w:tc>
      </w:tr>
      <w:tr>
        <w:trPr>
          <w:cantSplit/>
        </w:trPr>
        <w:tc>
          <w:tcPr>
            <w:tcW w:type="dxa" w:w="2300"/>
            <w:vAlign w:val="center"/>
          </w:tcPr>
          <w:p>
            <w:pPr>
              <w:spacing w:after="40" w:line="252" w:lineRule="auto" w:before="0"/>
            </w:pPr>
            <w:r>
              <w:rPr>
                <w:color w:val="1A1A1A"/>
                <w:sz w:val="14"/>
              </w:rPr>
              <w:t>Control reference/title</w:t>
            </w:r>
          </w:p>
        </w:tc>
        <w:tc>
          <w:tcPr>
            <w:tcW w:type="dxa" w:w="7060"/>
            <w:vAlign w:val="center"/>
          </w:tcPr>
          <w:p>
            <w:pPr>
              <w:spacing w:after="40" w:line="252" w:lineRule="auto" w:before="0"/>
            </w:pPr>
            <w:r>
              <w:rPr>
                <w:color w:val="1A1A1A"/>
                <w:sz w:val="14"/>
              </w:rPr>
              <w:t>Annex A or additional control identity</w:t>
            </w:r>
          </w:p>
        </w:tc>
      </w:tr>
      <w:tr>
        <w:trPr>
          <w:cantSplit/>
        </w:trPr>
        <w:tc>
          <w:tcPr>
            <w:tcW w:type="dxa" w:w="2300"/>
            <w:shd w:fill="F7F9FB"/>
            <w:vAlign w:val="center"/>
          </w:tcPr>
          <w:p>
            <w:pPr>
              <w:spacing w:after="40" w:line="252" w:lineRule="auto" w:before="0"/>
            </w:pPr>
            <w:r>
              <w:rPr>
                <w:color w:val="1A1A1A"/>
                <w:sz w:val="14"/>
              </w:rPr>
              <w:t>Applicable?</w:t>
            </w:r>
          </w:p>
        </w:tc>
        <w:tc>
          <w:tcPr>
            <w:tcW w:type="dxa" w:w="7060"/>
            <w:shd w:fill="F7F9FB"/>
            <w:vAlign w:val="center"/>
          </w:tcPr>
          <w:p>
            <w:pPr>
              <w:spacing w:after="40" w:line="252" w:lineRule="auto" w:before="0"/>
            </w:pPr>
            <w:r>
              <w:rPr>
                <w:color w:val="1A1A1A"/>
                <w:sz w:val="14"/>
              </w:rPr>
              <w:t>Included or excluded for the defined AIMS scope</w:t>
            </w:r>
          </w:p>
        </w:tc>
      </w:tr>
      <w:tr>
        <w:trPr>
          <w:cantSplit/>
        </w:trPr>
        <w:tc>
          <w:tcPr>
            <w:tcW w:type="dxa" w:w="2300"/>
            <w:vAlign w:val="center"/>
          </w:tcPr>
          <w:p>
            <w:pPr>
              <w:spacing w:after="40" w:line="252" w:lineRule="auto" w:before="0"/>
            </w:pPr>
            <w:r>
              <w:rPr>
                <w:color w:val="1A1A1A"/>
                <w:sz w:val="14"/>
              </w:rPr>
              <w:t>Justification</w:t>
            </w:r>
          </w:p>
        </w:tc>
        <w:tc>
          <w:tcPr>
            <w:tcW w:type="dxa" w:w="7060"/>
            <w:vAlign w:val="center"/>
          </w:tcPr>
          <w:p>
            <w:pPr>
              <w:spacing w:after="40" w:line="252" w:lineRule="auto" w:before="0"/>
            </w:pPr>
            <w:r>
              <w:rPr>
                <w:color w:val="1A1A1A"/>
                <w:sz w:val="14"/>
              </w:rPr>
              <w:t>Risk, obligation, objective, architecture, or reason for exclusion</w:t>
            </w:r>
          </w:p>
        </w:tc>
      </w:tr>
      <w:tr>
        <w:trPr>
          <w:cantSplit/>
        </w:trPr>
        <w:tc>
          <w:tcPr>
            <w:tcW w:type="dxa" w:w="2300"/>
            <w:shd w:fill="F7F9FB"/>
            <w:vAlign w:val="center"/>
          </w:tcPr>
          <w:p>
            <w:pPr>
              <w:spacing w:after="40" w:line="252" w:lineRule="auto" w:before="0"/>
            </w:pPr>
            <w:r>
              <w:rPr>
                <w:color w:val="1A1A1A"/>
                <w:sz w:val="14"/>
              </w:rPr>
              <w:t>Implementation</w:t>
            </w:r>
          </w:p>
        </w:tc>
        <w:tc>
          <w:tcPr>
            <w:tcW w:type="dxa" w:w="7060"/>
            <w:shd w:fill="F7F9FB"/>
            <w:vAlign w:val="center"/>
          </w:tcPr>
          <w:p>
            <w:pPr>
              <w:spacing w:after="40" w:line="252" w:lineRule="auto" w:before="0"/>
            </w:pPr>
            <w:r>
              <w:rPr>
                <w:color w:val="1A1A1A"/>
                <w:sz w:val="14"/>
              </w:rPr>
              <w:t>Policy/process/system and accountable owner</w:t>
            </w:r>
          </w:p>
        </w:tc>
      </w:tr>
      <w:tr>
        <w:trPr>
          <w:cantSplit/>
        </w:trPr>
        <w:tc>
          <w:tcPr>
            <w:tcW w:type="dxa" w:w="2300"/>
            <w:vAlign w:val="center"/>
          </w:tcPr>
          <w:p>
            <w:pPr>
              <w:spacing w:after="40" w:line="252" w:lineRule="auto" w:before="0"/>
            </w:pPr>
            <w:r>
              <w:rPr>
                <w:color w:val="1A1A1A"/>
                <w:sz w:val="14"/>
              </w:rPr>
              <w:t>Status</w:t>
            </w:r>
          </w:p>
        </w:tc>
        <w:tc>
          <w:tcPr>
            <w:tcW w:type="dxa" w:w="7060"/>
            <w:vAlign w:val="center"/>
          </w:tcPr>
          <w:p>
            <w:pPr>
              <w:spacing w:after="40" w:line="252" w:lineRule="auto" w:before="0"/>
            </w:pPr>
            <w:r>
              <w:rPr>
                <w:color w:val="1A1A1A"/>
                <w:sz w:val="14"/>
              </w:rPr>
              <w:t>Implemented, partial, planned, not applicable</w:t>
            </w:r>
          </w:p>
        </w:tc>
      </w:tr>
      <w:tr>
        <w:trPr>
          <w:cantSplit/>
        </w:trPr>
        <w:tc>
          <w:tcPr>
            <w:tcW w:type="dxa" w:w="2300"/>
            <w:shd w:fill="F7F9FB"/>
            <w:vAlign w:val="center"/>
          </w:tcPr>
          <w:p>
            <w:pPr>
              <w:spacing w:after="40" w:line="252" w:lineRule="auto" w:before="0"/>
            </w:pPr>
            <w:r>
              <w:rPr>
                <w:color w:val="1A1A1A"/>
                <w:sz w:val="14"/>
              </w:rPr>
              <w:t>Evidence/test</w:t>
            </w:r>
          </w:p>
        </w:tc>
        <w:tc>
          <w:tcPr>
            <w:tcW w:type="dxa" w:w="7060"/>
            <w:shd w:fill="F7F9FB"/>
            <w:vAlign w:val="center"/>
          </w:tcPr>
          <w:p>
            <w:pPr>
              <w:spacing w:after="40" w:line="252" w:lineRule="auto" w:before="0"/>
            </w:pPr>
            <w:r>
              <w:rPr>
                <w:color w:val="1A1A1A"/>
                <w:sz w:val="14"/>
              </w:rPr>
              <w:t>Current proof and operating-effectiveness result</w:t>
            </w:r>
          </w:p>
        </w:tc>
      </w:tr>
      <w:tr>
        <w:trPr>
          <w:cantSplit/>
        </w:trPr>
        <w:tc>
          <w:tcPr>
            <w:tcW w:type="dxa" w:w="2300"/>
            <w:vAlign w:val="center"/>
          </w:tcPr>
          <w:p>
            <w:pPr>
              <w:spacing w:after="40" w:line="252" w:lineRule="auto" w:before="0"/>
            </w:pPr>
            <w:r>
              <w:rPr>
                <w:color w:val="1A1A1A"/>
                <w:sz w:val="14"/>
              </w:rPr>
              <w:t>Dependencies/gaps</w:t>
            </w:r>
          </w:p>
        </w:tc>
        <w:tc>
          <w:tcPr>
            <w:tcW w:type="dxa" w:w="7060"/>
            <w:vAlign w:val="center"/>
          </w:tcPr>
          <w:p>
            <w:pPr>
              <w:spacing w:after="40" w:line="252" w:lineRule="auto" w:before="0"/>
            </w:pPr>
            <w:r>
              <w:rPr>
                <w:color w:val="1A1A1A"/>
                <w:sz w:val="14"/>
              </w:rPr>
              <w:t>Supplier/customer/shared controls and findings</w:t>
            </w:r>
          </w:p>
        </w:tc>
      </w:tr>
      <w:tr>
        <w:trPr>
          <w:cantSplit/>
        </w:trPr>
        <w:tc>
          <w:tcPr>
            <w:tcW w:type="dxa" w:w="2300"/>
            <w:shd w:fill="F7F9FB"/>
            <w:vAlign w:val="center"/>
          </w:tcPr>
          <w:p>
            <w:pPr>
              <w:spacing w:after="40" w:line="252" w:lineRule="auto" w:before="0"/>
            </w:pPr>
            <w:r>
              <w:rPr>
                <w:color w:val="1A1A1A"/>
                <w:sz w:val="14"/>
              </w:rPr>
              <w:t>Review</w:t>
            </w:r>
          </w:p>
        </w:tc>
        <w:tc>
          <w:tcPr>
            <w:tcW w:type="dxa" w:w="7060"/>
            <w:shd w:fill="F7F9FB"/>
            <w:vAlign w:val="center"/>
          </w:tcPr>
          <w:p>
            <w:pPr>
              <w:spacing w:after="40" w:line="252" w:lineRule="auto" w:before="0"/>
            </w:pPr>
            <w:r>
              <w:rPr>
                <w:color w:val="1A1A1A"/>
                <w:sz w:val="14"/>
              </w:rPr>
              <w:t>Last/next review and change triggers</w:t>
            </w:r>
          </w:p>
        </w:tc>
      </w:tr>
    </w:tbl>
    <w:p>
      <w:pPr>
        <w:spacing w:after="0"/>
      </w:pP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SoA warning: </w:t>
      </w:r>
      <w:r>
        <w:rPr>
          <w:rFonts w:ascii="Aptos" w:hAnsi="Aptos"/>
          <w:color w:val="1A1A1A"/>
        </w:rPr>
        <w:t>The Statement of Applicability is not a copied checklist. It must agree with the current scope, risk and impact assessments, treatment plan, real implementation, evidence, and risk decisions.</w:t>
      </w:r>
    </w:p>
    <w:p>
      <w:pPr>
        <w:spacing w:after="0"/>
      </w:pPr>
    </w:p>
    <w:p>
      <w:pPr>
        <w:pStyle w:val="Heading1"/>
        <w:pageBreakBefore/>
        <w:keepNext/>
        <w:jc w:val="left"/>
      </w:pPr>
      <w:r>
        <w:t>9. Clause 6.1.4: AI System Impact Assessment</w:t>
      </w:r>
    </w:p>
    <w:p>
      <w:pPr>
        <w:spacing w:after="200"/>
      </w:pPr>
      <w:r>
        <w:rPr>
          <w:rFonts w:ascii="Aptos" w:hAnsi="Aptos"/>
          <w:i/>
          <w:color w:val="5B6570"/>
          <w:sz w:val="22"/>
        </w:rPr>
        <w:t>AI system impact assessment examines how an AI system may affect individuals, groups, and society throughout its life cycle.</w:t>
      </w:r>
    </w:p>
    <w:p>
      <w:pPr>
        <w:keepNext/>
        <w:jc w:val="center"/>
      </w:pPr>
      <w:r>
        <w:drawing>
          <wp:inline xmlns:a="http://schemas.openxmlformats.org/drawingml/2006/main" xmlns:pic="http://schemas.openxmlformats.org/drawingml/2006/picture">
            <wp:extent cx="5623560" cy="2956017"/>
            <wp:docPr id="4" name="Manual 02 Figure 4" descr="ISO/IEC 42005:2025 provides current guidance that complements ISO/IEC 42001." title="Figure 4"/>
            <wp:cNvGraphicFramePr>
              <a:graphicFrameLocks noChangeAspect="1"/>
            </wp:cNvGraphicFramePr>
            <a:graphic>
              <a:graphicData uri="http://schemas.openxmlformats.org/drawingml/2006/picture">
                <pic:pic>
                  <pic:nvPicPr>
                    <pic:cNvPr id="0" name="impact.png"/>
                    <pic:cNvPicPr/>
                  </pic:nvPicPr>
                  <pic:blipFill>
                    <a:blip r:embed="rId16"/>
                    <a:stretch>
                      <a:fillRect/>
                    </a:stretch>
                  </pic:blipFill>
                  <pic:spPr>
                    <a:xfrm>
                      <a:off x="0" y="0"/>
                      <a:ext cx="5623560" cy="2956017"/>
                    </a:xfrm>
                    <a:prstGeom prst="rect"/>
                  </pic:spPr>
                </pic:pic>
              </a:graphicData>
            </a:graphic>
          </wp:inline>
        </w:drawing>
      </w:r>
    </w:p>
    <w:p>
      <w:pPr>
        <w:pStyle w:val="Caption"/>
        <w:spacing w:after="180"/>
        <w:jc w:val="center"/>
        <w:keepNext/>
      </w:pPr>
      <w:r>
        <w:t>Figure 4. AI system impact assessment</w:t>
      </w:r>
    </w:p>
    <w:p>
      <w:pPr>
        <w:pStyle w:val="Heading2"/>
        <w:keepNext/>
        <w:jc w:val="left"/>
      </w:pPr>
      <w:r>
        <w:t>9.1 Impact-assessment process</w:t>
      </w:r>
    </w:p>
    <w:p>
      <w:pPr>
        <w:pStyle w:val="ListBullet"/>
        <w:spacing w:after="60"/>
      </w:pPr>
      <w:r>
        <w:t>Define triggers, scope, roles, independence, methods, affected-party engagement, approval, retention, review, and relationship to risk treatment and decisions.</w:t>
      </w:r>
    </w:p>
    <w:p>
      <w:pPr>
        <w:pStyle w:val="ListBullet"/>
        <w:spacing w:after="60"/>
      </w:pPr>
      <w:r>
        <w:t>Describe purpose, users, affected people, decisions/content, degree of automation, alternatives, data, model, suppliers, geography, scale, duration, and prohibited/foreseeable uses.</w:t>
      </w:r>
    </w:p>
    <w:p>
      <w:pPr>
        <w:pStyle w:val="ListBullet"/>
        <w:spacing w:after="60"/>
      </w:pPr>
      <w:r>
        <w:t>Identify intended benefits and adverse impacts on rights, fairness, privacy, safety, security, health, accessibility, employment, finance, children/vulnerable groups, environment, culture, public services, democracy, and social/economic conditions as relevant.</w:t>
      </w:r>
    </w:p>
    <w:p>
      <w:pPr>
        <w:pStyle w:val="ListBullet"/>
        <w:spacing w:after="60"/>
      </w:pPr>
      <w:r>
        <w:t>Consider direct, indirect, cumulative, delayed, reversible/irreversible, individual, group, and societal impacts.</w:t>
      </w:r>
    </w:p>
    <w:p>
      <w:pPr>
        <w:pStyle w:val="ListBullet"/>
        <w:spacing w:after="60"/>
      </w:pPr>
      <w:r>
        <w:t>Evaluate likelihood, severity, scale, duration, reversibility, distribution, uncertainty, and affected-party views.</w:t>
      </w:r>
    </w:p>
    <w:p>
      <w:pPr>
        <w:pStyle w:val="ListBullet"/>
        <w:spacing w:after="60"/>
      </w:pPr>
      <w:r>
        <w:t>Select mitigations, human oversight, notices, choices, redress, monitoring, thresholds, and stop criteria; obtain accountable approval.</w:t>
      </w:r>
    </w:p>
    <w:p>
      <w:pPr>
        <w:pStyle w:val="ListBullet"/>
        <w:spacing w:after="60"/>
      </w:pPr>
      <w:r>
        <w:t>Update before major change and after incidents, complaints, new evidence, drift, or expansion of use.</w:t>
      </w:r>
    </w:p>
    <w:p>
      <w:pPr>
        <w:pStyle w:val="Heading2"/>
        <w:keepNext/>
        <w:jc w:val="left"/>
      </w:pPr>
      <w:r>
        <w:t>9.2 Risk assessment versus impact assessment</w:t>
      </w:r>
    </w:p>
    <w:tbl>
      <w:tblPr>
        <w:tblStyle w:val="TableGrid"/>
        <w:tblW w:type="dxa" w:w="9360"/>
        <w:tblLayout w:type="fixed"/>
        <w:tblLook w:firstColumn="1" w:firstRow="1" w:lastColumn="0" w:lastRow="0" w:noHBand="0" w:noVBand="1" w:val="04A0"/>
        <w:jc w:val="center"/>
        <w:tblInd w:w="120" w:type="dxa"/>
      </w:tblPr>
      <w:tblGrid>
        <w:gridCol w:w="4680"/>
        <w:gridCol w:w="4680"/>
      </w:tblGrid>
      <w:tr>
        <w:trPr>
          <w:tblHeader w:val="true"/>
          <w:cantSplit/>
        </w:trPr>
        <w:tc>
          <w:tcPr>
            <w:tcW w:type="dxa" w:w="4680"/>
            <w:tcMar>
              <w:top w:w="90" w:type="dxa"/>
              <w:start w:w="120" w:type="dxa"/>
              <w:bottom w:w="90" w:type="dxa"/>
              <w:end w:w="120" w:type="dxa"/>
            </w:tcMar>
            <w:vAlign w:val="center"/>
            <w:shd w:fill="1F4E78"/>
          </w:tcPr>
          <w:p>
            <w:pPr>
              <w:spacing w:after="40" w:before="0"/>
              <w:jc w:val="left"/>
            </w:pPr>
            <w:r>
              <w:rPr>
                <w:b/>
                <w:sz w:val="14"/>
                <w:color w:val="FFFFFF"/>
              </w:rPr>
              <w:t>Risk assessment</w:t>
            </w:r>
          </w:p>
        </w:tc>
        <w:tc>
          <w:tcPr>
            <w:tcW w:type="dxa" w:w="4680"/>
            <w:tcMar>
              <w:top w:w="90" w:type="dxa"/>
              <w:start w:w="120" w:type="dxa"/>
              <w:bottom w:w="90" w:type="dxa"/>
              <w:end w:w="120" w:type="dxa"/>
            </w:tcMar>
            <w:vAlign w:val="center"/>
            <w:shd w:fill="1F4E78"/>
          </w:tcPr>
          <w:p>
            <w:pPr>
              <w:spacing w:after="40" w:before="0"/>
              <w:jc w:val="left"/>
            </w:pPr>
            <w:r>
              <w:rPr>
                <w:b/>
                <w:sz w:val="14"/>
                <w:color w:val="FFFFFF"/>
              </w:rPr>
              <w:t>Impact assessment</w:t>
            </w:r>
          </w:p>
        </w:tc>
      </w:tr>
      <w:tr>
        <w:trPr>
          <w:cantSplit/>
        </w:trPr>
        <w:tc>
          <w:tcPr>
            <w:tcW w:type="dxa" w:w="4680"/>
            <w:vAlign w:val="center"/>
          </w:tcPr>
          <w:p>
            <w:pPr>
              <w:spacing w:after="40" w:line="252" w:lineRule="auto" w:before="0"/>
            </w:pPr>
            <w:r>
              <w:rPr>
                <w:color w:val="1A1A1A"/>
                <w:sz w:val="14"/>
              </w:rPr>
              <w:t>Manages uncertainty affecting objectives, including organization, people, and society</w:t>
            </w:r>
          </w:p>
        </w:tc>
        <w:tc>
          <w:tcPr>
            <w:tcW w:type="dxa" w:w="4680"/>
            <w:vAlign w:val="center"/>
          </w:tcPr>
          <w:p>
            <w:pPr>
              <w:spacing w:after="40" w:line="252" w:lineRule="auto" w:before="0"/>
            </w:pPr>
            <w:r>
              <w:rPr>
                <w:color w:val="1A1A1A"/>
                <w:sz w:val="14"/>
              </w:rPr>
              <w:t>Focuses specifically on potential effects of an AI system on individuals, groups, and society</w:t>
            </w:r>
          </w:p>
        </w:tc>
      </w:tr>
      <w:tr>
        <w:trPr>
          <w:cantSplit/>
        </w:trPr>
        <w:tc>
          <w:tcPr>
            <w:tcW w:type="dxa" w:w="4680"/>
            <w:shd w:fill="F7F9FB"/>
            <w:vAlign w:val="center"/>
          </w:tcPr>
          <w:p>
            <w:pPr>
              <w:spacing w:after="40" w:line="252" w:lineRule="auto" w:before="0"/>
            </w:pPr>
            <w:r>
              <w:rPr>
                <w:color w:val="1A1A1A"/>
                <w:sz w:val="14"/>
              </w:rPr>
              <w:t>Can aggregate portfolio and process risk</w:t>
            </w:r>
          </w:p>
        </w:tc>
        <w:tc>
          <w:tcPr>
            <w:tcW w:type="dxa" w:w="4680"/>
            <w:shd w:fill="F7F9FB"/>
            <w:vAlign w:val="center"/>
          </w:tcPr>
          <w:p>
            <w:pPr>
              <w:spacing w:after="40" w:line="252" w:lineRule="auto" w:before="0"/>
            </w:pPr>
            <w:r>
              <w:rPr>
                <w:color w:val="1A1A1A"/>
                <w:sz w:val="14"/>
              </w:rPr>
              <w:t>Must stay connected to the particular system/use and affected context</w:t>
            </w:r>
          </w:p>
        </w:tc>
      </w:tr>
      <w:tr>
        <w:trPr>
          <w:cantSplit/>
        </w:trPr>
        <w:tc>
          <w:tcPr>
            <w:tcW w:type="dxa" w:w="4680"/>
            <w:vAlign w:val="center"/>
          </w:tcPr>
          <w:p>
            <w:pPr>
              <w:spacing w:after="40" w:line="252" w:lineRule="auto" w:before="0"/>
            </w:pPr>
            <w:r>
              <w:rPr>
                <w:color w:val="1A1A1A"/>
                <w:sz w:val="14"/>
              </w:rPr>
              <w:t>Feeds treatment, controls, and residual acceptance</w:t>
            </w:r>
          </w:p>
        </w:tc>
        <w:tc>
          <w:tcPr>
            <w:tcW w:type="dxa" w:w="4680"/>
            <w:vAlign w:val="center"/>
          </w:tcPr>
          <w:p>
            <w:pPr>
              <w:spacing w:after="40" w:line="252" w:lineRule="auto" w:before="0"/>
            </w:pPr>
            <w:r>
              <w:rPr>
                <w:color w:val="1A1A1A"/>
                <w:sz w:val="14"/>
              </w:rPr>
              <w:t>Feeds design, deployment, use, transparency, oversight, redress, and monitoring</w:t>
            </w:r>
          </w:p>
        </w:tc>
      </w:tr>
      <w:tr>
        <w:trPr>
          <w:cantSplit/>
        </w:trPr>
        <w:tc>
          <w:tcPr>
            <w:tcW w:type="dxa" w:w="4680"/>
            <w:shd w:fill="F7F9FB"/>
            <w:vAlign w:val="center"/>
          </w:tcPr>
          <w:p>
            <w:pPr>
              <w:spacing w:after="40" w:line="252" w:lineRule="auto" w:before="0"/>
            </w:pPr>
            <w:r>
              <w:rPr>
                <w:color w:val="1A1A1A"/>
                <w:sz w:val="14"/>
              </w:rPr>
              <w:t>Both must exchange findings and remain consistent</w:t>
            </w:r>
          </w:p>
        </w:tc>
        <w:tc>
          <w:tcPr>
            <w:tcW w:type="dxa" w:w="4680"/>
            <w:shd w:fill="F7F9FB"/>
            <w:vAlign w:val="center"/>
          </w:tcPr>
          <w:p>
            <w:pPr>
              <w:spacing w:after="40" w:line="252" w:lineRule="auto" w:before="0"/>
            </w:pPr>
            <w:r>
              <w:rPr>
                <w:color w:val="1A1A1A"/>
                <w:sz w:val="14"/>
              </w:rPr>
              <w:t>Both require documented methods, evidence, decisions, and review</w:t>
            </w:r>
          </w:p>
        </w:tc>
      </w:tr>
    </w:tbl>
    <w:p>
      <w:pPr>
        <w:spacing w:after="0"/>
      </w:pPr>
    </w:p>
    <w:p>
      <w:pPr>
        <w:pStyle w:val="Heading1"/>
        <w:pageBreakBefore/>
        <w:keepNext/>
        <w:jc w:val="left"/>
      </w:pPr>
      <w:r>
        <w:t>10. Clause 6.2 and 6.3: Objectives and Planning Changes</w:t>
      </w:r>
    </w:p>
    <w:p>
      <w:pPr>
        <w:spacing w:after="200"/>
      </w:pPr>
      <w:r>
        <w:rPr>
          <w:rFonts w:ascii="Aptos" w:hAnsi="Aptos"/>
          <w:i/>
          <w:color w:val="5B6570"/>
          <w:sz w:val="22"/>
        </w:rPr>
        <w:t>Objectives translate policy and risk decisions into measurable results; changes must be planned and controlled.</w:t>
      </w:r>
    </w:p>
    <w:p>
      <w:pPr>
        <w:pStyle w:val="Heading2"/>
        <w:keepNext/>
        <w:jc w:val="left"/>
      </w:pPr>
      <w:r>
        <w:t>10.1 Objective record</w:t>
      </w:r>
    </w:p>
    <w:p>
      <w:pPr>
        <w:pStyle w:val="ListBullet"/>
        <w:spacing w:after="60"/>
      </w:pPr>
      <w:r>
        <w:t>Objective and intended result, connected policy/risk/requirement and scope.</w:t>
      </w:r>
    </w:p>
    <w:p>
      <w:pPr>
        <w:pStyle w:val="ListBullet"/>
        <w:spacing w:after="60"/>
      </w:pPr>
      <w:r>
        <w:t>Measure, calculation, data source, population, baseline, target, threshold, frequency, owner, reporting, and limitation.</w:t>
      </w:r>
    </w:p>
    <w:p>
      <w:pPr>
        <w:pStyle w:val="ListBullet"/>
        <w:spacing w:after="60"/>
      </w:pPr>
      <w:r>
        <w:t>Actions, resources, responsibilities, schedule, dependencies, evidence, and evaluation method.</w:t>
      </w:r>
    </w:p>
    <w:p>
      <w:pPr>
        <w:pStyle w:val="ListBullet"/>
        <w:spacing w:after="60"/>
      </w:pPr>
      <w:r>
        <w:t>Response when performance misses the target; reassessment when the metric creates harmful incentives.</w:t>
      </w:r>
    </w:p>
    <w:tbl>
      <w:tblPr>
        <w:tblStyle w:val="TableGrid"/>
        <w:tblW w:type="dxa" w:w="9360"/>
        <w:tblLayout w:type="fixed"/>
        <w:tblLook w:firstColumn="1" w:firstRow="1" w:lastColumn="0" w:lastRow="0" w:noHBand="0" w:noVBand="1" w:val="04A0"/>
        <w:jc w:val="center"/>
        <w:tblInd w:w="120" w:type="dxa"/>
      </w:tblPr>
      <w:tblGrid>
        <w:gridCol w:w="3300"/>
        <w:gridCol w:w="6060"/>
      </w:tblGrid>
      <w:tr>
        <w:trPr>
          <w:tblHeader w:val="true"/>
          <w:cantSplit/>
        </w:trPr>
        <w:tc>
          <w:tcPr>
            <w:tcW w:type="dxa" w:w="3300"/>
            <w:tcMar>
              <w:top w:w="90" w:type="dxa"/>
              <w:start w:w="120" w:type="dxa"/>
              <w:bottom w:w="90" w:type="dxa"/>
              <w:end w:w="120" w:type="dxa"/>
            </w:tcMar>
            <w:vAlign w:val="center"/>
            <w:shd w:fill="1F4E78"/>
          </w:tcPr>
          <w:p>
            <w:pPr>
              <w:spacing w:after="40" w:before="0"/>
              <w:jc w:val="left"/>
            </w:pPr>
            <w:r>
              <w:rPr>
                <w:b/>
                <w:sz w:val="14"/>
                <w:color w:val="FFFFFF"/>
              </w:rPr>
              <w:t>Objective example</w:t>
            </w:r>
          </w:p>
        </w:tc>
        <w:tc>
          <w:tcPr>
            <w:tcW w:type="dxa" w:w="6060"/>
            <w:tcMar>
              <w:top w:w="90" w:type="dxa"/>
              <w:start w:w="120" w:type="dxa"/>
              <w:bottom w:w="90" w:type="dxa"/>
              <w:end w:w="120" w:type="dxa"/>
            </w:tcMar>
            <w:vAlign w:val="center"/>
            <w:shd w:fill="1F4E78"/>
          </w:tcPr>
          <w:p>
            <w:pPr>
              <w:spacing w:after="40" w:before="0"/>
              <w:jc w:val="left"/>
            </w:pPr>
            <w:r>
              <w:rPr>
                <w:b/>
                <w:sz w:val="14"/>
                <w:color w:val="FFFFFF"/>
              </w:rPr>
              <w:t>Better measure</w:t>
            </w:r>
          </w:p>
        </w:tc>
      </w:tr>
      <w:tr>
        <w:trPr>
          <w:cantSplit/>
        </w:trPr>
        <w:tc>
          <w:tcPr>
            <w:tcW w:type="dxa" w:w="3300"/>
            <w:vAlign w:val="center"/>
          </w:tcPr>
          <w:p>
            <w:pPr>
              <w:spacing w:after="40" w:line="252" w:lineRule="auto" w:before="0"/>
            </w:pPr>
            <w:r>
              <w:rPr>
                <w:color w:val="1A1A1A"/>
                <w:sz w:val="14"/>
              </w:rPr>
              <w:t>Complete AI inventory</w:t>
            </w:r>
          </w:p>
        </w:tc>
        <w:tc>
          <w:tcPr>
            <w:tcW w:type="dxa" w:w="6060"/>
            <w:vAlign w:val="center"/>
          </w:tcPr>
          <w:p>
            <w:pPr>
              <w:spacing w:after="40" w:line="252" w:lineRule="auto" w:before="0"/>
            </w:pPr>
            <w:r>
              <w:rPr>
                <w:color w:val="1A1A1A"/>
                <w:sz w:val="14"/>
              </w:rPr>
              <w:t>Active systems with validated owner, use, data/model/provider, risk tier, assessment and status ÷ reconciled active systems</w:t>
            </w:r>
          </w:p>
        </w:tc>
      </w:tr>
      <w:tr>
        <w:trPr>
          <w:cantSplit/>
        </w:trPr>
        <w:tc>
          <w:tcPr>
            <w:tcW w:type="dxa" w:w="3300"/>
            <w:shd w:fill="F7F9FB"/>
            <w:vAlign w:val="center"/>
          </w:tcPr>
          <w:p>
            <w:pPr>
              <w:spacing w:after="40" w:line="252" w:lineRule="auto" w:before="0"/>
            </w:pPr>
            <w:r>
              <w:rPr>
                <w:color w:val="1A1A1A"/>
                <w:sz w:val="14"/>
              </w:rPr>
              <w:t>Improve assessment timeliness</w:t>
            </w:r>
          </w:p>
        </w:tc>
        <w:tc>
          <w:tcPr>
            <w:tcW w:type="dxa" w:w="6060"/>
            <w:shd w:fill="F7F9FB"/>
            <w:vAlign w:val="center"/>
          </w:tcPr>
          <w:p>
            <w:pPr>
              <w:spacing w:after="40" w:line="252" w:lineRule="auto" w:before="0"/>
            </w:pPr>
            <w:r>
              <w:rPr>
                <w:color w:val="1A1A1A"/>
                <w:sz w:val="14"/>
              </w:rPr>
              <w:t>Median and overdue days from intake/material change to approved risk and impact decision by tier</w:t>
            </w:r>
          </w:p>
        </w:tc>
      </w:tr>
      <w:tr>
        <w:trPr>
          <w:cantSplit/>
        </w:trPr>
        <w:tc>
          <w:tcPr>
            <w:tcW w:type="dxa" w:w="3300"/>
            <w:vAlign w:val="center"/>
          </w:tcPr>
          <w:p>
            <w:pPr>
              <w:spacing w:after="40" w:line="252" w:lineRule="auto" w:before="0"/>
            </w:pPr>
            <w:r>
              <w:rPr>
                <w:color w:val="1A1A1A"/>
                <w:sz w:val="14"/>
              </w:rPr>
              <w:t>Strengthen evaluation</w:t>
            </w:r>
          </w:p>
        </w:tc>
        <w:tc>
          <w:tcPr>
            <w:tcW w:type="dxa" w:w="6060"/>
            <w:vAlign w:val="center"/>
          </w:tcPr>
          <w:p>
            <w:pPr>
              <w:spacing w:after="40" w:line="252" w:lineRule="auto" w:before="0"/>
            </w:pPr>
            <w:r>
              <w:rPr>
                <w:color w:val="1A1A1A"/>
                <w:sz w:val="14"/>
              </w:rPr>
              <w:t>High-impact systems meeting defined production-like acceptance thresholds, including subgroup and severe-failure views</w:t>
            </w:r>
          </w:p>
        </w:tc>
      </w:tr>
      <w:tr>
        <w:trPr>
          <w:cantSplit/>
        </w:trPr>
        <w:tc>
          <w:tcPr>
            <w:tcW w:type="dxa" w:w="3300"/>
            <w:shd w:fill="F7F9FB"/>
            <w:vAlign w:val="center"/>
          </w:tcPr>
          <w:p>
            <w:pPr>
              <w:spacing w:after="40" w:line="252" w:lineRule="auto" w:before="0"/>
            </w:pPr>
            <w:r>
              <w:rPr>
                <w:color w:val="1A1A1A"/>
                <w:sz w:val="14"/>
              </w:rPr>
              <w:t>Improve supplier control</w:t>
            </w:r>
          </w:p>
        </w:tc>
        <w:tc>
          <w:tcPr>
            <w:tcW w:type="dxa" w:w="6060"/>
            <w:shd w:fill="F7F9FB"/>
            <w:vAlign w:val="center"/>
          </w:tcPr>
          <w:p>
            <w:pPr>
              <w:spacing w:after="40" w:line="252" w:lineRule="auto" w:before="0"/>
            </w:pPr>
            <w:r>
              <w:rPr>
                <w:color w:val="1A1A1A"/>
                <w:sz w:val="14"/>
              </w:rPr>
              <w:t>Critical AI suppliers with current scoped review, contract duties, evidence and closed material gaps ÷ critical suppliers</w:t>
            </w:r>
          </w:p>
        </w:tc>
      </w:tr>
      <w:tr>
        <w:trPr>
          <w:cantSplit/>
        </w:trPr>
        <w:tc>
          <w:tcPr>
            <w:tcW w:type="dxa" w:w="3300"/>
            <w:vAlign w:val="center"/>
          </w:tcPr>
          <w:p>
            <w:pPr>
              <w:spacing w:after="40" w:line="252" w:lineRule="auto" w:before="0"/>
            </w:pPr>
            <w:r>
              <w:rPr>
                <w:color w:val="1A1A1A"/>
                <w:sz w:val="14"/>
              </w:rPr>
              <w:t>Improve remediation</w:t>
            </w:r>
          </w:p>
        </w:tc>
        <w:tc>
          <w:tcPr>
            <w:tcW w:type="dxa" w:w="6060"/>
            <w:vAlign w:val="center"/>
          </w:tcPr>
          <w:p>
            <w:pPr>
              <w:spacing w:after="40" w:line="252" w:lineRule="auto" w:before="0"/>
            </w:pPr>
            <w:r>
              <w:rPr>
                <w:color w:val="1A1A1A"/>
                <w:sz w:val="14"/>
              </w:rPr>
              <w:t>Findings corrected and effectiveness-retested within risk-based target, with exception age and impact</w:t>
            </w:r>
          </w:p>
        </w:tc>
      </w:tr>
    </w:tbl>
    <w:p>
      <w:pPr>
        <w:spacing w:after="0"/>
      </w:pPr>
    </w:p>
    <w:p>
      <w:pPr>
        <w:pStyle w:val="Heading2"/>
        <w:keepNext/>
        <w:jc w:val="left"/>
      </w:pPr>
      <w:r>
        <w:t>10.2 Planning AIMS changes</w:t>
      </w:r>
    </w:p>
    <w:p>
      <w:pPr>
        <w:pStyle w:val="ListBullet"/>
        <w:spacing w:after="60"/>
      </w:pPr>
      <w:r>
        <w:t>Define purpose, consequences, integrity of the AIMS, resources, responsibilities, timeline, transition, communication, evidence, and rollback.</w:t>
      </w:r>
    </w:p>
    <w:p>
      <w:pPr>
        <w:pStyle w:val="ListBullet"/>
        <w:spacing w:after="60"/>
      </w:pPr>
      <w:r>
        <w:t>Triggers include scope, entity, product, use, model, data, supplier, law, certification, process, organization, tooling, audit method, and objectives.</w:t>
      </w:r>
    </w:p>
    <w:p>
      <w:pPr>
        <w:pStyle w:val="Heading1"/>
        <w:pageBreakBefore/>
        <w:keepNext/>
        <w:jc w:val="left"/>
      </w:pPr>
      <w:r>
        <w:t>11. Clause 7.1: Resources</w:t>
      </w:r>
    </w:p>
    <w:p>
      <w:pPr>
        <w:spacing w:after="200"/>
      </w:pPr>
      <w:r>
        <w:rPr>
          <w:rFonts w:ascii="Aptos" w:hAnsi="Aptos"/>
          <w:i/>
          <w:color w:val="5B6570"/>
          <w:sz w:val="22"/>
        </w:rPr>
        <w:t>The organization must determine and provide resources needed to establish, operate, evaluate, and improve the AIMS.</w:t>
      </w:r>
    </w:p>
    <w:tbl>
      <w:tblPr>
        <w:tblStyle w:val="TableGrid"/>
        <w:tblW w:type="dxa" w:w="9360"/>
        <w:tblLayout w:type="fixed"/>
        <w:tblLook w:firstColumn="1" w:firstRow="1" w:lastColumn="0" w:lastRow="0" w:noHBand="0" w:noVBand="1" w:val="04A0"/>
        <w:jc w:val="center"/>
        <w:tblInd w:w="120" w:type="dxa"/>
      </w:tblPr>
      <w:tblGrid>
        <w:gridCol w:w="1600"/>
        <w:gridCol w:w="3900"/>
        <w:gridCol w:w="3860"/>
      </w:tblGrid>
      <w:tr>
        <w:trPr>
          <w:tblHeader w:val="true"/>
          <w:cantSplit/>
        </w:trPr>
        <w:tc>
          <w:tcPr>
            <w:tcW w:type="dxa" w:w="1600"/>
            <w:tcMar>
              <w:top w:w="90" w:type="dxa"/>
              <w:start w:w="120" w:type="dxa"/>
              <w:bottom w:w="90" w:type="dxa"/>
              <w:end w:w="120" w:type="dxa"/>
            </w:tcMar>
            <w:vAlign w:val="center"/>
            <w:shd w:fill="1F4E78"/>
          </w:tcPr>
          <w:p>
            <w:pPr>
              <w:spacing w:after="40" w:before="0"/>
              <w:jc w:val="left"/>
            </w:pPr>
            <w:r>
              <w:rPr>
                <w:b/>
                <w:sz w:val="14"/>
                <w:color w:val="FFFFFF"/>
              </w:rPr>
              <w:t>Resource</w:t>
            </w:r>
          </w:p>
        </w:tc>
        <w:tc>
          <w:tcPr>
            <w:tcW w:type="dxa" w:w="3900"/>
            <w:tcMar>
              <w:top w:w="90" w:type="dxa"/>
              <w:start w:w="120" w:type="dxa"/>
              <w:bottom w:w="90" w:type="dxa"/>
              <w:end w:w="120" w:type="dxa"/>
            </w:tcMar>
            <w:vAlign w:val="center"/>
            <w:shd w:fill="1F4E78"/>
          </w:tcPr>
          <w:p>
            <w:pPr>
              <w:spacing w:after="40" w:before="0"/>
              <w:jc w:val="left"/>
            </w:pPr>
            <w:r>
              <w:rPr>
                <w:b/>
                <w:sz w:val="14"/>
                <w:color w:val="FFFFFF"/>
              </w:rPr>
              <w:t>Examples</w:t>
            </w:r>
          </w:p>
        </w:tc>
        <w:tc>
          <w:tcPr>
            <w:tcW w:type="dxa" w:w="3860"/>
            <w:tcMar>
              <w:top w:w="90" w:type="dxa"/>
              <w:start w:w="120" w:type="dxa"/>
              <w:bottom w:w="90" w:type="dxa"/>
              <w:end w:w="120" w:type="dxa"/>
            </w:tcMar>
            <w:vAlign w:val="center"/>
            <w:shd w:fill="1F4E78"/>
          </w:tcPr>
          <w:p>
            <w:pPr>
              <w:spacing w:after="40" w:before="0"/>
              <w:jc w:val="left"/>
            </w:pPr>
            <w:r>
              <w:rPr>
                <w:b/>
                <w:sz w:val="14"/>
                <w:color w:val="FFFFFF"/>
              </w:rPr>
              <w:t>Evidence</w:t>
            </w:r>
          </w:p>
        </w:tc>
      </w:tr>
      <w:tr>
        <w:trPr>
          <w:cantSplit/>
        </w:trPr>
        <w:tc>
          <w:tcPr>
            <w:tcW w:type="dxa" w:w="1600"/>
            <w:vAlign w:val="center"/>
          </w:tcPr>
          <w:p>
            <w:pPr>
              <w:spacing w:after="40" w:line="252" w:lineRule="auto" w:before="0"/>
            </w:pPr>
            <w:r>
              <w:rPr>
                <w:color w:val="1A1A1A"/>
                <w:sz w:val="14"/>
              </w:rPr>
              <w:t>People</w:t>
            </w:r>
          </w:p>
        </w:tc>
        <w:tc>
          <w:tcPr>
            <w:tcW w:type="dxa" w:w="3900"/>
            <w:vAlign w:val="center"/>
          </w:tcPr>
          <w:p>
            <w:pPr>
              <w:spacing w:after="40" w:line="252" w:lineRule="auto" w:before="0"/>
            </w:pPr>
            <w:r>
              <w:rPr>
                <w:color w:val="1A1A1A"/>
                <w:sz w:val="14"/>
              </w:rPr>
              <w:t>AIMS, domain, data, ML, product, security, privacy, legal, safety, audit, human factors</w:t>
            </w:r>
          </w:p>
        </w:tc>
        <w:tc>
          <w:tcPr>
            <w:tcW w:type="dxa" w:w="3860"/>
            <w:vAlign w:val="center"/>
          </w:tcPr>
          <w:p>
            <w:pPr>
              <w:spacing w:after="40" w:line="252" w:lineRule="auto" w:before="0"/>
            </w:pPr>
            <w:r>
              <w:rPr>
                <w:color w:val="1A1A1A"/>
                <w:sz w:val="14"/>
              </w:rPr>
              <w:t>Capacity plan, roles, competence, independence, workload</w:t>
            </w:r>
          </w:p>
        </w:tc>
      </w:tr>
      <w:tr>
        <w:trPr>
          <w:cantSplit/>
        </w:trPr>
        <w:tc>
          <w:tcPr>
            <w:tcW w:type="dxa" w:w="1600"/>
            <w:shd w:fill="F7F9FB"/>
            <w:vAlign w:val="center"/>
          </w:tcPr>
          <w:p>
            <w:pPr>
              <w:spacing w:after="40" w:line="252" w:lineRule="auto" w:before="0"/>
            </w:pPr>
            <w:r>
              <w:rPr>
                <w:color w:val="1A1A1A"/>
                <w:sz w:val="14"/>
              </w:rPr>
              <w:t>Data</w:t>
            </w:r>
          </w:p>
        </w:tc>
        <w:tc>
          <w:tcPr>
            <w:tcW w:type="dxa" w:w="3900"/>
            <w:shd w:fill="F7F9FB"/>
            <w:vAlign w:val="center"/>
          </w:tcPr>
          <w:p>
            <w:pPr>
              <w:spacing w:after="40" w:line="252" w:lineRule="auto" w:before="0"/>
            </w:pPr>
            <w:r>
              <w:rPr>
                <w:color w:val="1A1A1A"/>
                <w:sz w:val="14"/>
              </w:rPr>
              <w:t>Training/validation/test/production, labels, metadata, rights, reference sets</w:t>
            </w:r>
          </w:p>
        </w:tc>
        <w:tc>
          <w:tcPr>
            <w:tcW w:type="dxa" w:w="3860"/>
            <w:shd w:fill="F7F9FB"/>
            <w:vAlign w:val="center"/>
          </w:tcPr>
          <w:p>
            <w:pPr>
              <w:spacing w:after="40" w:line="252" w:lineRule="auto" w:before="0"/>
            </w:pPr>
            <w:r>
              <w:rPr>
                <w:color w:val="1A1A1A"/>
                <w:sz w:val="14"/>
              </w:rPr>
              <w:t>Inventory, lineage, quality, access, retention, provenance</w:t>
            </w:r>
          </w:p>
        </w:tc>
      </w:tr>
      <w:tr>
        <w:trPr>
          <w:cantSplit/>
        </w:trPr>
        <w:tc>
          <w:tcPr>
            <w:tcW w:type="dxa" w:w="1600"/>
            <w:vAlign w:val="center"/>
          </w:tcPr>
          <w:p>
            <w:pPr>
              <w:spacing w:after="40" w:line="252" w:lineRule="auto" w:before="0"/>
            </w:pPr>
            <w:r>
              <w:rPr>
                <w:color w:val="1A1A1A"/>
                <w:sz w:val="14"/>
              </w:rPr>
              <w:t>Tools</w:t>
            </w:r>
          </w:p>
        </w:tc>
        <w:tc>
          <w:tcPr>
            <w:tcW w:type="dxa" w:w="3900"/>
            <w:vAlign w:val="center"/>
          </w:tcPr>
          <w:p>
            <w:pPr>
              <w:spacing w:after="40" w:line="252" w:lineRule="auto" w:before="0"/>
            </w:pPr>
            <w:r>
              <w:rPr>
                <w:color w:val="1A1A1A"/>
                <w:sz w:val="14"/>
              </w:rPr>
              <w:t>Development, annotation, evaluation, monitoring, security, documentation</w:t>
            </w:r>
          </w:p>
        </w:tc>
        <w:tc>
          <w:tcPr>
            <w:tcW w:type="dxa" w:w="3860"/>
            <w:vAlign w:val="center"/>
          </w:tcPr>
          <w:p>
            <w:pPr>
              <w:spacing w:after="40" w:line="252" w:lineRule="auto" w:before="0"/>
            </w:pPr>
            <w:r>
              <w:rPr>
                <w:color w:val="1A1A1A"/>
                <w:sz w:val="14"/>
              </w:rPr>
              <w:t>Approved inventory, versions, validation, access, support</w:t>
            </w:r>
          </w:p>
        </w:tc>
      </w:tr>
      <w:tr>
        <w:trPr>
          <w:cantSplit/>
        </w:trPr>
        <w:tc>
          <w:tcPr>
            <w:tcW w:type="dxa" w:w="1600"/>
            <w:shd w:fill="F7F9FB"/>
            <w:vAlign w:val="center"/>
          </w:tcPr>
          <w:p>
            <w:pPr>
              <w:spacing w:after="40" w:line="252" w:lineRule="auto" w:before="0"/>
            </w:pPr>
            <w:r>
              <w:rPr>
                <w:color w:val="1A1A1A"/>
                <w:sz w:val="14"/>
              </w:rPr>
              <w:t>Compute/system</w:t>
            </w:r>
          </w:p>
        </w:tc>
        <w:tc>
          <w:tcPr>
            <w:tcW w:type="dxa" w:w="3900"/>
            <w:shd w:fill="F7F9FB"/>
            <w:vAlign w:val="center"/>
          </w:tcPr>
          <w:p>
            <w:pPr>
              <w:spacing w:after="40" w:line="252" w:lineRule="auto" w:before="0"/>
            </w:pPr>
            <w:r>
              <w:rPr>
                <w:color w:val="1A1A1A"/>
                <w:sz w:val="14"/>
              </w:rPr>
              <w:t>Cloud/on-prem/edge, storage, network, registry, logging, sandbox</w:t>
            </w:r>
          </w:p>
        </w:tc>
        <w:tc>
          <w:tcPr>
            <w:tcW w:type="dxa" w:w="3860"/>
            <w:shd w:fill="F7F9FB"/>
            <w:vAlign w:val="center"/>
          </w:tcPr>
          <w:p>
            <w:pPr>
              <w:spacing w:after="40" w:line="252" w:lineRule="auto" w:before="0"/>
            </w:pPr>
            <w:r>
              <w:rPr>
                <w:color w:val="1A1A1A"/>
                <w:sz w:val="14"/>
              </w:rPr>
              <w:t>Architecture, ownership, capacity, resilience, environmental impact</w:t>
            </w:r>
          </w:p>
        </w:tc>
      </w:tr>
      <w:tr>
        <w:trPr>
          <w:cantSplit/>
        </w:trPr>
        <w:tc>
          <w:tcPr>
            <w:tcW w:type="dxa" w:w="1600"/>
            <w:vAlign w:val="center"/>
          </w:tcPr>
          <w:p>
            <w:pPr>
              <w:spacing w:after="40" w:line="252" w:lineRule="auto" w:before="0"/>
            </w:pPr>
            <w:r>
              <w:rPr>
                <w:color w:val="1A1A1A"/>
                <w:sz w:val="14"/>
              </w:rPr>
              <w:t>Finance/time</w:t>
            </w:r>
          </w:p>
        </w:tc>
        <w:tc>
          <w:tcPr>
            <w:tcW w:type="dxa" w:w="3900"/>
            <w:vAlign w:val="center"/>
          </w:tcPr>
          <w:p>
            <w:pPr>
              <w:spacing w:after="40" w:line="252" w:lineRule="auto" w:before="0"/>
            </w:pPr>
            <w:r>
              <w:rPr>
                <w:color w:val="1A1A1A"/>
                <w:sz w:val="14"/>
              </w:rPr>
              <w:t>Budget, evaluation cost, supplier review, stakeholder engagement, remediation</w:t>
            </w:r>
          </w:p>
        </w:tc>
        <w:tc>
          <w:tcPr>
            <w:tcW w:type="dxa" w:w="3860"/>
            <w:vAlign w:val="center"/>
          </w:tcPr>
          <w:p>
            <w:pPr>
              <w:spacing w:after="40" w:line="252" w:lineRule="auto" w:before="0"/>
            </w:pPr>
            <w:r>
              <w:rPr>
                <w:color w:val="1A1A1A"/>
                <w:sz w:val="14"/>
              </w:rPr>
              <w:t>Plans, approvals, actuals, constraints, decisions</w:t>
            </w:r>
          </w:p>
        </w:tc>
      </w:tr>
    </w:tbl>
    <w:p>
      <w:pPr>
        <w:spacing w:after="0"/>
      </w:pPr>
    </w:p>
    <w:p>
      <w:pPr>
        <w:pStyle w:val="Heading2"/>
        <w:keepNext/>
        <w:jc w:val="left"/>
      </w:pPr>
      <w:r>
        <w:t>11.1 Resource decisions</w:t>
      </w:r>
    </w:p>
    <w:p>
      <w:pPr>
        <w:pStyle w:val="ListBullet"/>
        <w:spacing w:after="60"/>
      </w:pPr>
      <w:r>
        <w:t>Match resource depth to scope, risk, system complexity, scale, legal duties, and affected people.</w:t>
      </w:r>
    </w:p>
    <w:p>
      <w:pPr>
        <w:pStyle w:val="ListBullet"/>
        <w:spacing w:after="60"/>
      </w:pPr>
      <w:r>
        <w:t>Separate development, validation, approval, and audit enough to manage conflicts of interest.</w:t>
      </w:r>
    </w:p>
    <w:p>
      <w:pPr>
        <w:pStyle w:val="ListBullet"/>
        <w:spacing w:after="60"/>
      </w:pPr>
      <w:r>
        <w:t>Monitor reviewer overload, evaluation coverage, data gaps, supplier limits, expiring licenses, model deprecation, and technical debt.</w:t>
      </w:r>
    </w:p>
    <w:p>
      <w:pPr>
        <w:pStyle w:val="ListBullet"/>
        <w:spacing w:after="60"/>
      </w:pPr>
      <w:r>
        <w:t>Document accepted constraints and their effect on objectives and residual risk.</w:t>
      </w:r>
    </w:p>
    <w:p>
      <w:pPr>
        <w:pStyle w:val="Heading1"/>
        <w:pageBreakBefore/>
        <w:keepNext/>
        <w:jc w:val="left"/>
      </w:pPr>
      <w:r>
        <w:t>12. Clauses 7.2–7.4: Competence, Awareness, and Communication</w:t>
      </w:r>
    </w:p>
    <w:p>
      <w:pPr>
        <w:spacing w:after="200"/>
      </w:pPr>
      <w:r>
        <w:rPr>
          <w:rFonts w:ascii="Aptos" w:hAnsi="Aptos"/>
          <w:i/>
          <w:color w:val="5B6570"/>
          <w:sz w:val="22"/>
        </w:rPr>
        <w:t>Competence, awareness, and communication make policies and controls usable in real decisions.</w:t>
      </w:r>
    </w:p>
    <w:p>
      <w:pPr>
        <w:pStyle w:val="Heading2"/>
        <w:keepNext/>
        <w:jc w:val="left"/>
      </w:pPr>
      <w:r>
        <w:t>12.1 Competence</w:t>
      </w:r>
    </w:p>
    <w:p>
      <w:pPr>
        <w:pStyle w:val="ListBullet"/>
        <w:spacing w:after="60"/>
      </w:pPr>
      <w:r>
        <w:t>Define required education, training, skill, experience, independence, behavior, and authority by role and risk tier.</w:t>
      </w:r>
    </w:p>
    <w:p>
      <w:pPr>
        <w:pStyle w:val="ListBullet"/>
        <w:spacing w:after="60"/>
      </w:pPr>
      <w:r>
        <w:t>Evaluate current competence; provide training, mentoring, supervised practice, specialist support, or reassignment.</w:t>
      </w:r>
    </w:p>
    <w:p>
      <w:pPr>
        <w:pStyle w:val="ListBullet"/>
        <w:spacing w:after="60"/>
      </w:pPr>
      <w:r>
        <w:t>Assess effectiveness through observation, work-product review, scenario exercise, test, and outcomes—not attendance alone.</w:t>
      </w:r>
    </w:p>
    <w:p>
      <w:pPr>
        <w:pStyle w:val="ListBullet"/>
        <w:spacing w:after="60"/>
      </w:pPr>
      <w:r>
        <w:t>Retain evidence and reassess after role, system, risk, law, method, or incident change.</w:t>
      </w:r>
    </w:p>
    <w:p>
      <w:pPr>
        <w:pStyle w:val="Heading2"/>
        <w:keepNext/>
        <w:jc w:val="left"/>
      </w:pPr>
      <w:r>
        <w:t>12.2 Awareness</w:t>
      </w:r>
    </w:p>
    <w:p>
      <w:pPr>
        <w:pStyle w:val="ListBullet"/>
        <w:spacing w:after="60"/>
      </w:pPr>
      <w:r>
        <w:t>People understand policy, their contribution, benefits of improved performance, consequences of nonconformity, concerns channel, and escalation.</w:t>
      </w:r>
    </w:p>
    <w:p>
      <w:pPr>
        <w:pStyle w:val="ListBullet"/>
        <w:spacing w:after="60"/>
      </w:pPr>
      <w:r>
        <w:t>Users understand approved/prohibited use, data restrictions, verification, human oversight, limitations, incident/complaint handling, and stop conditions.</w:t>
      </w:r>
    </w:p>
    <w:p>
      <w:pPr>
        <w:pStyle w:val="Heading2"/>
        <w:keepNext/>
        <w:jc w:val="left"/>
      </w:pPr>
      <w:r>
        <w:t>12.3 Communication plan</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tblHeader w:val="true"/>
          <w:cantSplit/>
        </w:trPr>
        <w:tc>
          <w:tcPr>
            <w:tcW w:type="dxa" w:w="1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7460"/>
            <w:tcMar>
              <w:top w:w="90" w:type="dxa"/>
              <w:start w:w="120" w:type="dxa"/>
              <w:bottom w:w="90" w:type="dxa"/>
              <w:end w:w="120" w:type="dxa"/>
            </w:tcMar>
            <w:vAlign w:val="center"/>
            <w:shd w:fill="1F4E78"/>
          </w:tcPr>
          <w:p>
            <w:pPr>
              <w:spacing w:after="40" w:before="0"/>
              <w:jc w:val="left"/>
            </w:pPr>
            <w:r>
              <w:rPr>
                <w:b/>
                <w:sz w:val="15"/>
                <w:color w:val="FFFFFF"/>
              </w:rPr>
              <w:t>Question</w:t>
            </w:r>
          </w:p>
        </w:tc>
      </w:tr>
      <w:tr>
        <w:trPr>
          <w:cantSplit/>
        </w:trPr>
        <w:tc>
          <w:tcPr>
            <w:tcW w:type="dxa" w:w="1900"/>
            <w:vAlign w:val="center"/>
          </w:tcPr>
          <w:p>
            <w:pPr>
              <w:spacing w:after="40" w:line="252" w:lineRule="auto" w:before="0"/>
            </w:pPr>
            <w:r>
              <w:rPr>
                <w:color w:val="1A1A1A"/>
                <w:sz w:val="15"/>
              </w:rPr>
              <w:t>What</w:t>
            </w:r>
          </w:p>
        </w:tc>
        <w:tc>
          <w:tcPr>
            <w:tcW w:type="dxa" w:w="7460"/>
            <w:vAlign w:val="center"/>
          </w:tcPr>
          <w:p>
            <w:pPr>
              <w:spacing w:after="40" w:line="252" w:lineRule="auto" w:before="0"/>
            </w:pPr>
            <w:r>
              <w:rPr>
                <w:color w:val="1A1A1A"/>
                <w:sz w:val="15"/>
              </w:rPr>
              <w:t>Policy, system/use, limits, impacts, incidents, results, changes, duties</w:t>
            </w:r>
          </w:p>
        </w:tc>
      </w:tr>
      <w:tr>
        <w:trPr>
          <w:cantSplit/>
        </w:trPr>
        <w:tc>
          <w:tcPr>
            <w:tcW w:type="dxa" w:w="1900"/>
            <w:shd w:fill="F7F9FB"/>
            <w:vAlign w:val="center"/>
          </w:tcPr>
          <w:p>
            <w:pPr>
              <w:spacing w:after="40" w:line="252" w:lineRule="auto" w:before="0"/>
            </w:pPr>
            <w:r>
              <w:rPr>
                <w:color w:val="1A1A1A"/>
                <w:sz w:val="15"/>
              </w:rPr>
              <w:t>Why/audience</w:t>
            </w:r>
          </w:p>
        </w:tc>
        <w:tc>
          <w:tcPr>
            <w:tcW w:type="dxa" w:w="7460"/>
            <w:shd w:fill="F7F9FB"/>
            <w:vAlign w:val="center"/>
          </w:tcPr>
          <w:p>
            <w:pPr>
              <w:spacing w:after="40" w:line="252" w:lineRule="auto" w:before="0"/>
            </w:pPr>
            <w:r>
              <w:rPr>
                <w:color w:val="1A1A1A"/>
                <w:sz w:val="15"/>
              </w:rPr>
              <w:t>Decision maker, worker, user, affected person, customer, supplier, regulator, public</w:t>
            </w:r>
          </w:p>
        </w:tc>
      </w:tr>
      <w:tr>
        <w:trPr>
          <w:cantSplit/>
        </w:trPr>
        <w:tc>
          <w:tcPr>
            <w:tcW w:type="dxa" w:w="1900"/>
            <w:vAlign w:val="center"/>
          </w:tcPr>
          <w:p>
            <w:pPr>
              <w:spacing w:after="40" w:line="252" w:lineRule="auto" w:before="0"/>
            </w:pPr>
            <w:r>
              <w:rPr>
                <w:color w:val="1A1A1A"/>
                <w:sz w:val="15"/>
              </w:rPr>
              <w:t>When</w:t>
            </w:r>
          </w:p>
        </w:tc>
        <w:tc>
          <w:tcPr>
            <w:tcW w:type="dxa" w:w="7460"/>
            <w:vAlign w:val="center"/>
          </w:tcPr>
          <w:p>
            <w:pPr>
              <w:spacing w:after="40" w:line="252" w:lineRule="auto" w:before="0"/>
            </w:pPr>
            <w:r>
              <w:rPr>
                <w:color w:val="1A1A1A"/>
                <w:sz w:val="15"/>
              </w:rPr>
              <w:t>Lifecycle gate, planned interval, incident, complaint, change, legal trigger</w:t>
            </w:r>
          </w:p>
        </w:tc>
      </w:tr>
      <w:tr>
        <w:trPr>
          <w:cantSplit/>
        </w:trPr>
        <w:tc>
          <w:tcPr>
            <w:tcW w:type="dxa" w:w="1900"/>
            <w:shd w:fill="F7F9FB"/>
            <w:vAlign w:val="center"/>
          </w:tcPr>
          <w:p>
            <w:pPr>
              <w:spacing w:after="40" w:line="252" w:lineRule="auto" w:before="0"/>
            </w:pPr>
            <w:r>
              <w:rPr>
                <w:color w:val="1A1A1A"/>
                <w:sz w:val="15"/>
              </w:rPr>
              <w:t>How</w:t>
            </w:r>
          </w:p>
        </w:tc>
        <w:tc>
          <w:tcPr>
            <w:tcW w:type="dxa" w:w="7460"/>
            <w:shd w:fill="F7F9FB"/>
            <w:vAlign w:val="center"/>
          </w:tcPr>
          <w:p>
            <w:pPr>
              <w:spacing w:after="40" w:line="252" w:lineRule="auto" w:before="0"/>
            </w:pPr>
            <w:r>
              <w:rPr>
                <w:color w:val="1A1A1A"/>
                <w:sz w:val="15"/>
              </w:rPr>
              <w:t>Training, notice, system card, report, contract, dashboard, meeting, alert</w:t>
            </w:r>
          </w:p>
        </w:tc>
      </w:tr>
      <w:tr>
        <w:trPr>
          <w:cantSplit/>
        </w:trPr>
        <w:tc>
          <w:tcPr>
            <w:tcW w:type="dxa" w:w="1900"/>
            <w:vAlign w:val="center"/>
          </w:tcPr>
          <w:p>
            <w:pPr>
              <w:spacing w:after="40" w:line="252" w:lineRule="auto" w:before="0"/>
            </w:pPr>
            <w:r>
              <w:rPr>
                <w:color w:val="1A1A1A"/>
                <w:sz w:val="15"/>
              </w:rPr>
              <w:t>Owner/approval</w:t>
            </w:r>
          </w:p>
        </w:tc>
        <w:tc>
          <w:tcPr>
            <w:tcW w:type="dxa" w:w="7460"/>
            <w:vAlign w:val="center"/>
          </w:tcPr>
          <w:p>
            <w:pPr>
              <w:spacing w:after="40" w:line="252" w:lineRule="auto" w:before="0"/>
            </w:pPr>
            <w:r>
              <w:rPr>
                <w:color w:val="1A1A1A"/>
                <w:sz w:val="15"/>
              </w:rPr>
              <w:t>Who prepares, validates, approves, delivers, and records?</w:t>
            </w:r>
          </w:p>
        </w:tc>
      </w:tr>
      <w:tr>
        <w:trPr>
          <w:cantSplit/>
        </w:trPr>
        <w:tc>
          <w:tcPr>
            <w:tcW w:type="dxa" w:w="1900"/>
            <w:shd w:fill="F7F9FB"/>
            <w:vAlign w:val="center"/>
          </w:tcPr>
          <w:p>
            <w:pPr>
              <w:spacing w:after="40" w:line="252" w:lineRule="auto" w:before="0"/>
            </w:pPr>
            <w:r>
              <w:rPr>
                <w:color w:val="1A1A1A"/>
                <w:sz w:val="15"/>
              </w:rPr>
              <w:t>Feedback</w:t>
            </w:r>
          </w:p>
        </w:tc>
        <w:tc>
          <w:tcPr>
            <w:tcW w:type="dxa" w:w="7460"/>
            <w:shd w:fill="F7F9FB"/>
            <w:vAlign w:val="center"/>
          </w:tcPr>
          <w:p>
            <w:pPr>
              <w:spacing w:after="40" w:line="252" w:lineRule="auto" w:before="0"/>
            </w:pPr>
            <w:r>
              <w:rPr>
                <w:color w:val="1A1A1A"/>
                <w:sz w:val="15"/>
              </w:rPr>
              <w:t>How are questions, accessibility, understanding, concerns, and correction handled?</w:t>
            </w:r>
          </w:p>
        </w:tc>
      </w:tr>
    </w:tbl>
    <w:p>
      <w:pPr>
        <w:spacing w:after="0"/>
      </w:pPr>
    </w:p>
    <w:p>
      <w:pPr>
        <w:pStyle w:val="Heading1"/>
        <w:pageBreakBefore/>
        <w:keepNext/>
        <w:jc w:val="left"/>
      </w:pPr>
      <w:r>
        <w:t>13. Clause 7.5: Documented Information</w:t>
      </w:r>
    </w:p>
    <w:p>
      <w:pPr>
        <w:spacing w:after="200"/>
      </w:pPr>
      <w:r>
        <w:rPr>
          <w:rFonts w:ascii="Aptos" w:hAnsi="Aptos"/>
          <w:i/>
          <w:color w:val="5B6570"/>
          <w:sz w:val="22"/>
        </w:rPr>
        <w:t>Documented information must be controlled enough to be trustworthy, findable, protected, current, retained, and usable.</w:t>
      </w:r>
    </w:p>
    <w:p>
      <w:pPr>
        <w:pStyle w:val="Heading2"/>
        <w:keepNext/>
        <w:jc w:val="left"/>
      </w:pPr>
      <w:r>
        <w:t>13.1 Document-control lifecycle</w:t>
      </w:r>
    </w:p>
    <w:p>
      <w:pPr>
        <w:pStyle w:val="ListBullet"/>
        <w:spacing w:after="60"/>
      </w:pPr>
      <w:r>
        <w:t>Create/identify: title, owner, ID, version, date, format, classification, scope, related system/model/data, and approval.</w:t>
      </w:r>
    </w:p>
    <w:p>
      <w:pPr>
        <w:pStyle w:val="ListBullet"/>
        <w:spacing w:after="60"/>
      </w:pPr>
      <w:r>
        <w:t>Review/approve: competent reviewer, conflicts, criteria, comments, disposition, and authorization.</w:t>
      </w:r>
    </w:p>
    <w:p>
      <w:pPr>
        <w:pStyle w:val="ListBullet"/>
        <w:spacing w:after="60"/>
      </w:pPr>
      <w:r>
        <w:t>Publish/use: correct audience, access, training, effective date, point-of-use availability, and withdrawal of obsolete versions.</w:t>
      </w:r>
    </w:p>
    <w:p>
      <w:pPr>
        <w:pStyle w:val="ListBullet"/>
        <w:spacing w:after="60"/>
      </w:pPr>
      <w:r>
        <w:t>Change: reason, affected requirements/processes/systems, approvals, version history, transition, and rollback.</w:t>
      </w:r>
    </w:p>
    <w:p>
      <w:pPr>
        <w:pStyle w:val="ListBullet"/>
        <w:spacing w:after="60"/>
      </w:pPr>
      <w:r>
        <w:t>Protect: confidentiality, integrity, availability, privacy, security, backup, recovery, and evidence preservation.</w:t>
      </w:r>
    </w:p>
    <w:p>
      <w:pPr>
        <w:pStyle w:val="ListBullet"/>
        <w:spacing w:after="60"/>
      </w:pPr>
      <w:r>
        <w:t>Retain/dispose: legal/business period, holds, archive, deletion, supplier copies, derived data, and verification.</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F4E78"/>
          </w:tcPr>
          <w:p>
            <w:pPr>
              <w:spacing w:after="40" w:before="0"/>
              <w:jc w:val="left"/>
            </w:pPr>
            <w:r>
              <w:rPr>
                <w:b/>
                <w:sz w:val="14"/>
                <w:color w:val="FFFFFF"/>
              </w:rPr>
              <w:t>Required/important records</w:t>
            </w:r>
          </w:p>
        </w:tc>
        <w:tc>
          <w:tcPr>
            <w:tcW w:type="dxa" w:w="7160"/>
            <w:tcMar>
              <w:top w:w="90" w:type="dxa"/>
              <w:start w:w="120" w:type="dxa"/>
              <w:bottom w:w="90" w:type="dxa"/>
              <w:end w:w="120" w:type="dxa"/>
            </w:tcMar>
            <w:vAlign w:val="center"/>
            <w:shd w:fill="1F4E78"/>
          </w:tcPr>
          <w:p>
            <w:pPr>
              <w:spacing w:after="40" w:before="0"/>
              <w:jc w:val="left"/>
            </w:pPr>
            <w:r>
              <w:rPr>
                <w:b/>
                <w:sz w:val="14"/>
                <w:color w:val="FFFFFF"/>
              </w:rPr>
              <w:t>Example</w:t>
            </w:r>
          </w:p>
        </w:tc>
      </w:tr>
      <w:tr>
        <w:trPr>
          <w:cantSplit/>
        </w:trPr>
        <w:tc>
          <w:tcPr>
            <w:tcW w:type="dxa" w:w="2200"/>
            <w:vAlign w:val="center"/>
          </w:tcPr>
          <w:p>
            <w:pPr>
              <w:spacing w:after="40" w:line="252" w:lineRule="auto" w:before="0"/>
            </w:pPr>
            <w:r>
              <w:rPr>
                <w:color w:val="1A1A1A"/>
                <w:sz w:val="14"/>
              </w:rPr>
              <w:t>AIMS foundation</w:t>
            </w:r>
          </w:p>
        </w:tc>
        <w:tc>
          <w:tcPr>
            <w:tcW w:type="dxa" w:w="7160"/>
            <w:vAlign w:val="center"/>
          </w:tcPr>
          <w:p>
            <w:pPr>
              <w:spacing w:after="40" w:line="252" w:lineRule="auto" w:before="0"/>
            </w:pPr>
            <w:r>
              <w:rPr>
                <w:color w:val="1A1A1A"/>
                <w:sz w:val="14"/>
              </w:rPr>
              <w:t>Context, interested parties, scope, policy, process map, roles</w:t>
            </w:r>
          </w:p>
        </w:tc>
      </w:tr>
      <w:tr>
        <w:trPr>
          <w:cantSplit/>
        </w:trPr>
        <w:tc>
          <w:tcPr>
            <w:tcW w:type="dxa" w:w="2200"/>
            <w:shd w:fill="F7F9FB"/>
            <w:vAlign w:val="center"/>
          </w:tcPr>
          <w:p>
            <w:pPr>
              <w:spacing w:after="40" w:line="252" w:lineRule="auto" w:before="0"/>
            </w:pPr>
            <w:r>
              <w:rPr>
                <w:color w:val="1A1A1A"/>
                <w:sz w:val="14"/>
              </w:rPr>
              <w:t>Planning</w:t>
            </w:r>
          </w:p>
        </w:tc>
        <w:tc>
          <w:tcPr>
            <w:tcW w:type="dxa" w:w="7160"/>
            <w:shd w:fill="F7F9FB"/>
            <w:vAlign w:val="center"/>
          </w:tcPr>
          <w:p>
            <w:pPr>
              <w:spacing w:after="40" w:line="252" w:lineRule="auto" w:before="0"/>
            </w:pPr>
            <w:r>
              <w:rPr>
                <w:color w:val="1A1A1A"/>
                <w:sz w:val="14"/>
              </w:rPr>
              <w:t>Risk method/assessment, treatment, SoA, impact process/records, objectives, changes</w:t>
            </w:r>
          </w:p>
        </w:tc>
      </w:tr>
      <w:tr>
        <w:trPr>
          <w:cantSplit/>
        </w:trPr>
        <w:tc>
          <w:tcPr>
            <w:tcW w:type="dxa" w:w="2200"/>
            <w:vAlign w:val="center"/>
          </w:tcPr>
          <w:p>
            <w:pPr>
              <w:spacing w:after="40" w:line="252" w:lineRule="auto" w:before="0"/>
            </w:pPr>
            <w:r>
              <w:rPr>
                <w:color w:val="1A1A1A"/>
                <w:sz w:val="14"/>
              </w:rPr>
              <w:t>Operations</w:t>
            </w:r>
          </w:p>
        </w:tc>
        <w:tc>
          <w:tcPr>
            <w:tcW w:type="dxa" w:w="7160"/>
            <w:vAlign w:val="center"/>
          </w:tcPr>
          <w:p>
            <w:pPr>
              <w:spacing w:after="40" w:line="252" w:lineRule="auto" w:before="0"/>
            </w:pPr>
            <w:r>
              <w:rPr>
                <w:color w:val="1A1A1A"/>
                <w:sz w:val="14"/>
              </w:rPr>
              <w:t>AI inventory, resources, lifecycle, data, supplier/use, communication, incidents</w:t>
            </w:r>
          </w:p>
        </w:tc>
      </w:tr>
      <w:tr>
        <w:trPr>
          <w:cantSplit/>
        </w:trPr>
        <w:tc>
          <w:tcPr>
            <w:tcW w:type="dxa" w:w="2200"/>
            <w:shd w:fill="F7F9FB"/>
            <w:vAlign w:val="center"/>
          </w:tcPr>
          <w:p>
            <w:pPr>
              <w:spacing w:after="40" w:line="252" w:lineRule="auto" w:before="0"/>
            </w:pPr>
            <w:r>
              <w:rPr>
                <w:color w:val="1A1A1A"/>
                <w:sz w:val="14"/>
              </w:rPr>
              <w:t>Evaluation</w:t>
            </w:r>
          </w:p>
        </w:tc>
        <w:tc>
          <w:tcPr>
            <w:tcW w:type="dxa" w:w="7160"/>
            <w:shd w:fill="F7F9FB"/>
            <w:vAlign w:val="center"/>
          </w:tcPr>
          <w:p>
            <w:pPr>
              <w:spacing w:after="40" w:line="252" w:lineRule="auto" w:before="0"/>
            </w:pPr>
            <w:r>
              <w:rPr>
                <w:color w:val="1A1A1A"/>
                <w:sz w:val="14"/>
              </w:rPr>
              <w:t>Metrics, analysis, internal audit, management review</w:t>
            </w:r>
          </w:p>
        </w:tc>
      </w:tr>
      <w:tr>
        <w:trPr>
          <w:cantSplit/>
        </w:trPr>
        <w:tc>
          <w:tcPr>
            <w:tcW w:type="dxa" w:w="2200"/>
            <w:vAlign w:val="center"/>
          </w:tcPr>
          <w:p>
            <w:pPr>
              <w:spacing w:after="40" w:line="252" w:lineRule="auto" w:before="0"/>
            </w:pPr>
            <w:r>
              <w:rPr>
                <w:color w:val="1A1A1A"/>
                <w:sz w:val="14"/>
              </w:rPr>
              <w:t>Improvement</w:t>
            </w:r>
          </w:p>
        </w:tc>
        <w:tc>
          <w:tcPr>
            <w:tcW w:type="dxa" w:w="7160"/>
            <w:vAlign w:val="center"/>
          </w:tcPr>
          <w:p>
            <w:pPr>
              <w:spacing w:after="40" w:line="252" w:lineRule="auto" w:before="0"/>
            </w:pPr>
            <w:r>
              <w:rPr>
                <w:color w:val="1A1A1A"/>
                <w:sz w:val="14"/>
              </w:rPr>
              <w:t>Nonconformity, correction, root cause, corrective action, effectiveness</w:t>
            </w:r>
          </w:p>
        </w:tc>
      </w:tr>
      <w:tr>
        <w:trPr>
          <w:cantSplit/>
        </w:trPr>
        <w:tc>
          <w:tcPr>
            <w:tcW w:type="dxa" w:w="2200"/>
            <w:shd w:fill="F7F9FB"/>
            <w:vAlign w:val="center"/>
          </w:tcPr>
          <w:p>
            <w:pPr>
              <w:spacing w:after="40" w:line="252" w:lineRule="auto" w:before="0"/>
            </w:pPr>
            <w:r>
              <w:rPr>
                <w:color w:val="1A1A1A"/>
                <w:sz w:val="14"/>
              </w:rPr>
              <w:t>System traceability</w:t>
            </w:r>
          </w:p>
        </w:tc>
        <w:tc>
          <w:tcPr>
            <w:tcW w:type="dxa" w:w="7160"/>
            <w:shd w:fill="F7F9FB"/>
            <w:vAlign w:val="center"/>
          </w:tcPr>
          <w:p>
            <w:pPr>
              <w:spacing w:after="40" w:line="252" w:lineRule="auto" w:before="0"/>
            </w:pPr>
            <w:r>
              <w:rPr>
                <w:color w:val="1A1A1A"/>
                <w:sz w:val="14"/>
              </w:rPr>
              <w:t>Model/data/prompt/tool/configuration versions, approvals, evaluations, logs, decisions</w:t>
            </w:r>
          </w:p>
        </w:tc>
      </w:tr>
    </w:tbl>
    <w:p>
      <w:pPr>
        <w:spacing w:after="0"/>
      </w:pPr>
    </w:p>
    <w:p>
      <w:pPr>
        <w:pStyle w:val="Heading1"/>
        <w:pageBreakBefore/>
        <w:keepNext/>
        <w:jc w:val="left"/>
      </w:pPr>
      <w:r>
        <w:t>14. Clause 8.1: Operational Planning and Control</w:t>
      </w:r>
    </w:p>
    <w:p>
      <w:pPr>
        <w:spacing w:after="200"/>
      </w:pPr>
      <w:r>
        <w:rPr>
          <w:rFonts w:ascii="Aptos" w:hAnsi="Aptos"/>
          <w:i/>
          <w:color w:val="5B6570"/>
          <w:sz w:val="22"/>
        </w:rPr>
        <w:t>Operational planning turns AIMS requirements into repeatable controls for AI intake, design, acquisition, deployment, use, change, incident, and retirement.</w:t>
      </w:r>
    </w:p>
    <w:p>
      <w:pPr>
        <w:pStyle w:val="Heading2"/>
        <w:keepNext/>
        <w:jc w:val="left"/>
      </w:pPr>
      <w:r>
        <w:t>14.1 Operational control</w:t>
      </w:r>
    </w:p>
    <w:p>
      <w:pPr>
        <w:pStyle w:val="ListBullet"/>
        <w:spacing w:after="60"/>
      </w:pPr>
      <w:r>
        <w:t>Define criteria and controls for processes; operate them as planned; retain enough evidence to prove performance.</w:t>
      </w:r>
    </w:p>
    <w:p>
      <w:pPr>
        <w:pStyle w:val="ListBullet"/>
        <w:spacing w:after="60"/>
      </w:pPr>
      <w:r>
        <w:t>Control planned changes and review unintended changes; reduce adverse effects.</w:t>
      </w:r>
    </w:p>
    <w:p>
      <w:pPr>
        <w:pStyle w:val="ListBullet"/>
        <w:spacing w:after="60"/>
      </w:pPr>
      <w:r>
        <w:t>Control externally provided processes, products, and services according to risk and responsibility.</w:t>
      </w:r>
    </w:p>
    <w:p>
      <w:pPr>
        <w:pStyle w:val="ListBullet"/>
        <w:spacing w:after="60"/>
      </w:pPr>
      <w:r>
        <w:t>Use risk tiers and lifecycle gates to match review, independence, testing, approval, monitoring, and escalation to impact.</w:t>
      </w:r>
    </w:p>
    <w:tbl>
      <w:tblPr>
        <w:tblStyle w:val="TableGrid"/>
        <w:tblW w:type="dxa" w:w="9360"/>
        <w:tblLayout w:type="fixed"/>
        <w:tblLook w:firstColumn="1" w:firstRow="1" w:lastColumn="0" w:lastRow="0" w:noHBand="0" w:noVBand="1" w:val="04A0"/>
        <w:jc w:val="center"/>
        <w:tblInd w:w="120" w:type="dxa"/>
      </w:tblPr>
      <w:tblGrid>
        <w:gridCol w:w="1500"/>
        <w:gridCol w:w="7860"/>
      </w:tblGrid>
      <w:tr>
        <w:trPr>
          <w:tblHeader w:val="true"/>
          <w:cantSplit/>
        </w:trPr>
        <w:tc>
          <w:tcPr>
            <w:tcW w:type="dxa" w:w="1500"/>
            <w:tcMar>
              <w:top w:w="90" w:type="dxa"/>
              <w:start w:w="120" w:type="dxa"/>
              <w:bottom w:w="90" w:type="dxa"/>
              <w:end w:w="120" w:type="dxa"/>
            </w:tcMar>
            <w:vAlign w:val="center"/>
            <w:shd w:fill="1F4E78"/>
          </w:tcPr>
          <w:p>
            <w:pPr>
              <w:spacing w:after="40" w:before="0"/>
              <w:jc w:val="left"/>
            </w:pPr>
            <w:r>
              <w:rPr>
                <w:b/>
                <w:sz w:val="14"/>
                <w:color w:val="FFFFFF"/>
              </w:rPr>
              <w:t>Gate</w:t>
            </w:r>
          </w:p>
        </w:tc>
        <w:tc>
          <w:tcPr>
            <w:tcW w:type="dxa" w:w="7860"/>
            <w:tcMar>
              <w:top w:w="90" w:type="dxa"/>
              <w:start w:w="120" w:type="dxa"/>
              <w:bottom w:w="90" w:type="dxa"/>
              <w:end w:w="120" w:type="dxa"/>
            </w:tcMar>
            <w:vAlign w:val="center"/>
            <w:shd w:fill="1F4E78"/>
          </w:tcPr>
          <w:p>
            <w:pPr>
              <w:spacing w:after="40" w:before="0"/>
              <w:jc w:val="left"/>
            </w:pPr>
            <w:r>
              <w:rPr>
                <w:b/>
                <w:sz w:val="14"/>
                <w:color w:val="FFFFFF"/>
              </w:rPr>
              <w:t>Required decision evidence</w:t>
            </w:r>
          </w:p>
        </w:tc>
      </w:tr>
      <w:tr>
        <w:trPr>
          <w:cantSplit/>
        </w:trPr>
        <w:tc>
          <w:tcPr>
            <w:tcW w:type="dxa" w:w="1500"/>
            <w:vAlign w:val="center"/>
          </w:tcPr>
          <w:p>
            <w:pPr>
              <w:spacing w:after="40" w:line="252" w:lineRule="auto" w:before="0"/>
            </w:pPr>
            <w:r>
              <w:rPr>
                <w:color w:val="1A1A1A"/>
                <w:sz w:val="14"/>
              </w:rPr>
              <w:t>Intake</w:t>
            </w:r>
          </w:p>
        </w:tc>
        <w:tc>
          <w:tcPr>
            <w:tcW w:type="dxa" w:w="7860"/>
            <w:vAlign w:val="center"/>
          </w:tcPr>
          <w:p>
            <w:pPr>
              <w:spacing w:after="40" w:line="252" w:lineRule="auto" w:before="0"/>
            </w:pPr>
            <w:r>
              <w:rPr>
                <w:color w:val="1A1A1A"/>
                <w:sz w:val="14"/>
              </w:rPr>
              <w:t>Purpose, owner, AI role, affected people, data, supplier, preliminary risk, prohibited-use check</w:t>
            </w:r>
          </w:p>
        </w:tc>
      </w:tr>
      <w:tr>
        <w:trPr>
          <w:cantSplit/>
        </w:trPr>
        <w:tc>
          <w:tcPr>
            <w:tcW w:type="dxa" w:w="1500"/>
            <w:shd w:fill="F7F9FB"/>
            <w:vAlign w:val="center"/>
          </w:tcPr>
          <w:p>
            <w:pPr>
              <w:spacing w:after="40" w:line="252" w:lineRule="auto" w:before="0"/>
            </w:pPr>
            <w:r>
              <w:rPr>
                <w:color w:val="1A1A1A"/>
                <w:sz w:val="14"/>
              </w:rPr>
              <w:t>Design/acquire</w:t>
            </w:r>
          </w:p>
        </w:tc>
        <w:tc>
          <w:tcPr>
            <w:tcW w:type="dxa" w:w="7860"/>
            <w:shd w:fill="F7F9FB"/>
            <w:vAlign w:val="center"/>
          </w:tcPr>
          <w:p>
            <w:pPr>
              <w:spacing w:after="40" w:line="252" w:lineRule="auto" w:before="0"/>
            </w:pPr>
            <w:r>
              <w:rPr>
                <w:color w:val="1A1A1A"/>
                <w:sz w:val="14"/>
              </w:rPr>
              <w:t>Requirements, risk/impact, architecture, resources, data, supplier duties, controls, tests</w:t>
            </w:r>
          </w:p>
        </w:tc>
      </w:tr>
      <w:tr>
        <w:trPr>
          <w:cantSplit/>
        </w:trPr>
        <w:tc>
          <w:tcPr>
            <w:tcW w:type="dxa" w:w="1500"/>
            <w:vAlign w:val="center"/>
          </w:tcPr>
          <w:p>
            <w:pPr>
              <w:spacing w:after="40" w:line="252" w:lineRule="auto" w:before="0"/>
            </w:pPr>
            <w:r>
              <w:rPr>
                <w:color w:val="1A1A1A"/>
                <w:sz w:val="14"/>
              </w:rPr>
              <w:t>Build/configure</w:t>
            </w:r>
          </w:p>
        </w:tc>
        <w:tc>
          <w:tcPr>
            <w:tcW w:type="dxa" w:w="7860"/>
            <w:vAlign w:val="center"/>
          </w:tcPr>
          <w:p>
            <w:pPr>
              <w:spacing w:after="40" w:line="252" w:lineRule="auto" w:before="0"/>
            </w:pPr>
            <w:r>
              <w:rPr>
                <w:color w:val="1A1A1A"/>
                <w:sz w:val="14"/>
              </w:rPr>
              <w:t>Versions, lineage, secure development, documentation, evaluation readiness</w:t>
            </w:r>
          </w:p>
        </w:tc>
      </w:tr>
      <w:tr>
        <w:trPr>
          <w:cantSplit/>
        </w:trPr>
        <w:tc>
          <w:tcPr>
            <w:tcW w:type="dxa" w:w="1500"/>
            <w:shd w:fill="F7F9FB"/>
            <w:vAlign w:val="center"/>
          </w:tcPr>
          <w:p>
            <w:pPr>
              <w:spacing w:after="40" w:line="252" w:lineRule="auto" w:before="0"/>
            </w:pPr>
            <w:r>
              <w:rPr>
                <w:color w:val="1A1A1A"/>
                <w:sz w:val="14"/>
              </w:rPr>
              <w:t>Validate</w:t>
            </w:r>
          </w:p>
        </w:tc>
        <w:tc>
          <w:tcPr>
            <w:tcW w:type="dxa" w:w="7860"/>
            <w:shd w:fill="F7F9FB"/>
            <w:vAlign w:val="center"/>
          </w:tcPr>
          <w:p>
            <w:pPr>
              <w:spacing w:after="40" w:line="252" w:lineRule="auto" w:before="0"/>
            </w:pPr>
            <w:r>
              <w:rPr>
                <w:color w:val="1A1A1A"/>
                <w:sz w:val="14"/>
              </w:rPr>
              <w:t>Representative tests, thresholds, failures, independent challenge, limitations, corrective action</w:t>
            </w:r>
          </w:p>
        </w:tc>
      </w:tr>
      <w:tr>
        <w:trPr>
          <w:cantSplit/>
        </w:trPr>
        <w:tc>
          <w:tcPr>
            <w:tcW w:type="dxa" w:w="1500"/>
            <w:vAlign w:val="center"/>
          </w:tcPr>
          <w:p>
            <w:pPr>
              <w:spacing w:after="40" w:line="252" w:lineRule="auto" w:before="0"/>
            </w:pPr>
            <w:r>
              <w:rPr>
                <w:color w:val="1A1A1A"/>
                <w:sz w:val="14"/>
              </w:rPr>
              <w:t>Deploy</w:t>
            </w:r>
          </w:p>
        </w:tc>
        <w:tc>
          <w:tcPr>
            <w:tcW w:type="dxa" w:w="7860"/>
            <w:vAlign w:val="center"/>
          </w:tcPr>
          <w:p>
            <w:pPr>
              <w:spacing w:after="40" w:line="252" w:lineRule="auto" w:before="0"/>
            </w:pPr>
            <w:r>
              <w:rPr>
                <w:color w:val="1A1A1A"/>
                <w:sz w:val="14"/>
              </w:rPr>
              <w:t>Approval, conditions, user information, oversight, monitoring, incident, rollback, support</w:t>
            </w:r>
          </w:p>
        </w:tc>
      </w:tr>
      <w:tr>
        <w:trPr>
          <w:cantSplit/>
        </w:trPr>
        <w:tc>
          <w:tcPr>
            <w:tcW w:type="dxa" w:w="1500"/>
            <w:shd w:fill="F7F9FB"/>
            <w:vAlign w:val="center"/>
          </w:tcPr>
          <w:p>
            <w:pPr>
              <w:spacing w:after="40" w:line="252" w:lineRule="auto" w:before="0"/>
            </w:pPr>
            <w:r>
              <w:rPr>
                <w:color w:val="1A1A1A"/>
                <w:sz w:val="14"/>
              </w:rPr>
              <w:t>Operate/change</w:t>
            </w:r>
          </w:p>
        </w:tc>
        <w:tc>
          <w:tcPr>
            <w:tcW w:type="dxa" w:w="7860"/>
            <w:shd w:fill="F7F9FB"/>
            <w:vAlign w:val="center"/>
          </w:tcPr>
          <w:p>
            <w:pPr>
              <w:spacing w:after="40" w:line="252" w:lineRule="auto" w:before="0"/>
            </w:pPr>
            <w:r>
              <w:rPr>
                <w:color w:val="1A1A1A"/>
                <w:sz w:val="14"/>
              </w:rPr>
              <w:t>Performance, drift, complaints, incidents, provider changes, regression, reassessment</w:t>
            </w:r>
          </w:p>
        </w:tc>
      </w:tr>
      <w:tr>
        <w:trPr>
          <w:cantSplit/>
        </w:trPr>
        <w:tc>
          <w:tcPr>
            <w:tcW w:type="dxa" w:w="1500"/>
            <w:vAlign w:val="center"/>
          </w:tcPr>
          <w:p>
            <w:pPr>
              <w:spacing w:after="40" w:line="252" w:lineRule="auto" w:before="0"/>
            </w:pPr>
            <w:r>
              <w:rPr>
                <w:color w:val="1A1A1A"/>
                <w:sz w:val="14"/>
              </w:rPr>
              <w:t>Retire</w:t>
            </w:r>
          </w:p>
        </w:tc>
        <w:tc>
          <w:tcPr>
            <w:tcW w:type="dxa" w:w="7860"/>
            <w:vAlign w:val="center"/>
          </w:tcPr>
          <w:p>
            <w:pPr>
              <w:spacing w:after="40" w:line="252" w:lineRule="auto" w:before="0"/>
            </w:pPr>
            <w:r>
              <w:rPr>
                <w:color w:val="1A1A1A"/>
                <w:sz w:val="14"/>
              </w:rPr>
              <w:t>Replacement, user/party communication, access, integrations, data, models, records, deletion</w:t>
            </w:r>
          </w:p>
        </w:tc>
      </w:tr>
    </w:tbl>
    <w:p>
      <w:pPr>
        <w:spacing w:after="0"/>
      </w:pPr>
    </w:p>
    <w:p>
      <w:pPr>
        <w:pStyle w:val="Heading1"/>
        <w:pageBreakBefore/>
        <w:keepNext/>
        <w:jc w:val="left"/>
      </w:pPr>
      <w:r>
        <w:t>15. Clauses 8.2–8.4: Operational Risk, Treatment, and Impact Assessment</w:t>
      </w:r>
    </w:p>
    <w:p>
      <w:pPr>
        <w:spacing w:after="200"/>
      </w:pPr>
      <w:r>
        <w:rPr>
          <w:rFonts w:ascii="Aptos" w:hAnsi="Aptos"/>
          <w:i/>
          <w:color w:val="5B6570"/>
          <w:sz w:val="22"/>
        </w:rPr>
        <w:t>The organization must execute risk assessment, risk treatment, and impact assessment at planned intervals and when significant change occurs.</w:t>
      </w:r>
    </w:p>
    <w:p>
      <w:pPr>
        <w:pStyle w:val="Heading2"/>
        <w:keepNext/>
        <w:jc w:val="left"/>
      </w:pPr>
      <w:r>
        <w:t>15.1 Operational triggers</w:t>
      </w:r>
    </w:p>
    <w:p>
      <w:pPr>
        <w:pStyle w:val="ListBullet"/>
        <w:spacing w:after="60"/>
      </w:pPr>
      <w:r>
        <w:t>New or changed AI system, intended use, affected population, geography, scale, automation, decision authority, model, data, prompt, tool, integration, supplier, or infrastructure.</w:t>
      </w:r>
    </w:p>
    <w:p>
      <w:pPr>
        <w:pStyle w:val="ListBullet"/>
        <w:spacing w:after="60"/>
      </w:pPr>
      <w:r>
        <w:t>New law, contract, incident, complaint, audit finding, vulnerability, threat intelligence, safety concern, drift, evaluation failure, unexpected impact, or supplier notice.</w:t>
      </w:r>
    </w:p>
    <w:p>
      <w:pPr>
        <w:pStyle w:val="ListBullet"/>
        <w:spacing w:after="60"/>
      </w:pPr>
      <w:r>
        <w:t>Changes to risk criteria, objectives, controls, monitoring, organizational ownership, certification scope, or resource capacity.</w:t>
      </w:r>
    </w:p>
    <w:p>
      <w:pPr>
        <w:pStyle w:val="Heading2"/>
        <w:keepNext/>
        <w:jc w:val="left"/>
      </w:pPr>
      <w:r>
        <w:t>15.2 Operational evidence</w:t>
      </w:r>
    </w:p>
    <w:p>
      <w:pPr>
        <w:pStyle w:val="ListBullet"/>
        <w:spacing w:after="60"/>
      </w:pPr>
      <w:r>
        <w:t>Current approved assessment linked to exact system/model/data/configuration/use version.</w:t>
      </w:r>
    </w:p>
    <w:p>
      <w:pPr>
        <w:pStyle w:val="ListBullet"/>
        <w:spacing w:after="60"/>
      </w:pPr>
      <w:r>
        <w:t>Treatment plan and SoA agree with implemented controls, gaps, exceptions, residual approval, and monitoring.</w:t>
      </w:r>
    </w:p>
    <w:p>
      <w:pPr>
        <w:pStyle w:val="ListBullet"/>
        <w:spacing w:after="60"/>
      </w:pPr>
      <w:r>
        <w:t>Impact assessment includes affected parties, direct/indirect and societal effects, mitigations, redress, and review triggers.</w:t>
      </w:r>
    </w:p>
    <w:p>
      <w:pPr>
        <w:pStyle w:val="ListBullet"/>
        <w:spacing w:after="60"/>
      </w:pPr>
      <w:r>
        <w:t>Actions are integrated into product, data, security, privacy, supplier, user, incident, and change workflows.</w:t>
      </w:r>
    </w:p>
    <w:p>
      <w:pPr>
        <w:pStyle w:val="ListBullet"/>
        <w:spacing w:after="60"/>
      </w:pPr>
      <w:r>
        <w:t>Results and changes are retained as controlled documented information.</w:t>
      </w:r>
    </w:p>
    <w:p>
      <w:pPr>
        <w:pStyle w:val="Heading1"/>
        <w:pageBreakBefore/>
        <w:keepNext/>
        <w:jc w:val="left"/>
      </w:pPr>
      <w:r>
        <w:t>16. Clause 9.1: Monitoring, Measurement, Analysis, and Evaluation</w:t>
      </w:r>
    </w:p>
    <w:p>
      <w:pPr>
        <w:spacing w:after="200"/>
      </w:pPr>
      <w:r>
        <w:rPr>
          <w:rFonts w:ascii="Aptos" w:hAnsi="Aptos"/>
          <w:i/>
          <w:color w:val="5B6570"/>
          <w:sz w:val="22"/>
        </w:rPr>
        <w:t>Performance evaluation determines whether the AIMS and its controls achieve intended results.</w:t>
      </w:r>
    </w:p>
    <w:p>
      <w:pPr>
        <w:pStyle w:val="Heading2"/>
        <w:keepNext/>
        <w:jc w:val="left"/>
      </w:pPr>
      <w:r>
        <w:t>16.1 Measurement design</w:t>
      </w:r>
    </w:p>
    <w:p>
      <w:pPr>
        <w:pStyle w:val="ListBullet"/>
        <w:spacing w:after="60"/>
      </w:pPr>
      <w:r>
        <w:t>Decide what to monitor/measure, methods, timing, responsibility, acceptance criteria, analysis, evaluation, reporting, and retention.</w:t>
      </w:r>
    </w:p>
    <w:p>
      <w:pPr>
        <w:pStyle w:val="ListBullet"/>
        <w:spacing w:after="60"/>
      </w:pPr>
      <w:r>
        <w:t>Verify data sources, definitions, populations, completeness, accuracy, time, access, transformations, and limitations.</w:t>
      </w:r>
    </w:p>
    <w:p>
      <w:pPr>
        <w:pStyle w:val="ListBullet"/>
        <w:spacing w:after="60"/>
      </w:pPr>
      <w:r>
        <w:t>Use leading and lagging indicators across governance, risk, impact, lifecycle, data, supplier, use, complaints, incidents, audit, and improvement.</w:t>
      </w:r>
    </w:p>
    <w:p>
      <w:pPr>
        <w:pStyle w:val="ListBullet"/>
        <w:spacing w:after="60"/>
      </w:pPr>
      <w:r>
        <w:t>Avoid averages that hide severe failures or subgroup effects; combine quantitative and qualitative evidence.</w:t>
      </w:r>
    </w:p>
    <w:p>
      <w:pPr>
        <w:pStyle w:val="ListBullet"/>
        <w:spacing w:after="60"/>
      </w:pPr>
      <w:r>
        <w:t>Evaluate trends and causes, compare to objectives, and create decisions/actions when thresholds are missed.</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F4E78"/>
          </w:tcPr>
          <w:p>
            <w:pPr>
              <w:spacing w:after="40" w:before="0"/>
              <w:jc w:val="left"/>
            </w:pPr>
            <w:r>
              <w:rPr>
                <w:b/>
                <w:sz w:val="14"/>
                <w:color w:val="FFFFFF"/>
              </w:rPr>
              <w:t>AIMS measure</w:t>
            </w:r>
          </w:p>
        </w:tc>
        <w:tc>
          <w:tcPr>
            <w:tcW w:type="dxa" w:w="7060"/>
            <w:tcMar>
              <w:top w:w="90" w:type="dxa"/>
              <w:start w:w="120" w:type="dxa"/>
              <w:bottom w:w="90" w:type="dxa"/>
              <w:end w:w="120" w:type="dxa"/>
            </w:tcMar>
            <w:vAlign w:val="center"/>
            <w:shd w:fill="1F4E78"/>
          </w:tcPr>
          <w:p>
            <w:pPr>
              <w:spacing w:after="40" w:before="0"/>
              <w:jc w:val="left"/>
            </w:pPr>
            <w:r>
              <w:rPr>
                <w:b/>
                <w:sz w:val="14"/>
                <w:color w:val="FFFFFF"/>
              </w:rPr>
              <w:t>Decision enabled</w:t>
            </w:r>
          </w:p>
        </w:tc>
      </w:tr>
      <w:tr>
        <w:trPr>
          <w:cantSplit/>
        </w:trPr>
        <w:tc>
          <w:tcPr>
            <w:tcW w:type="dxa" w:w="2300"/>
            <w:vAlign w:val="center"/>
          </w:tcPr>
          <w:p>
            <w:pPr>
              <w:spacing w:after="40" w:line="252" w:lineRule="auto" w:before="0"/>
            </w:pPr>
            <w:r>
              <w:rPr>
                <w:color w:val="1A1A1A"/>
                <w:sz w:val="14"/>
              </w:rPr>
              <w:t>Inventory/control coverage</w:t>
            </w:r>
          </w:p>
        </w:tc>
        <w:tc>
          <w:tcPr>
            <w:tcW w:type="dxa" w:w="7060"/>
            <w:vAlign w:val="center"/>
          </w:tcPr>
          <w:p>
            <w:pPr>
              <w:spacing w:after="40" w:line="252" w:lineRule="auto" w:before="0"/>
            </w:pPr>
            <w:r>
              <w:rPr>
                <w:color w:val="1A1A1A"/>
                <w:sz w:val="14"/>
              </w:rPr>
              <w:t>Unknown or unowned AI use and assessment gaps</w:t>
            </w:r>
          </w:p>
        </w:tc>
      </w:tr>
      <w:tr>
        <w:trPr>
          <w:cantSplit/>
        </w:trPr>
        <w:tc>
          <w:tcPr>
            <w:tcW w:type="dxa" w:w="2300"/>
            <w:shd w:fill="F7F9FB"/>
            <w:vAlign w:val="center"/>
          </w:tcPr>
          <w:p>
            <w:pPr>
              <w:spacing w:after="40" w:line="252" w:lineRule="auto" w:before="0"/>
            </w:pPr>
            <w:r>
              <w:rPr>
                <w:color w:val="1A1A1A"/>
                <w:sz w:val="14"/>
              </w:rPr>
              <w:t>Risk/impact age and change coverage</w:t>
            </w:r>
          </w:p>
        </w:tc>
        <w:tc>
          <w:tcPr>
            <w:tcW w:type="dxa" w:w="7060"/>
            <w:shd w:fill="F7F9FB"/>
            <w:vAlign w:val="center"/>
          </w:tcPr>
          <w:p>
            <w:pPr>
              <w:spacing w:after="40" w:line="252" w:lineRule="auto" w:before="0"/>
            </w:pPr>
            <w:r>
              <w:rPr>
                <w:color w:val="1A1A1A"/>
                <w:sz w:val="14"/>
              </w:rPr>
              <w:t>Whether decisions remain current after system/context change</w:t>
            </w:r>
          </w:p>
        </w:tc>
      </w:tr>
      <w:tr>
        <w:trPr>
          <w:cantSplit/>
        </w:trPr>
        <w:tc>
          <w:tcPr>
            <w:tcW w:type="dxa" w:w="2300"/>
            <w:vAlign w:val="center"/>
          </w:tcPr>
          <w:p>
            <w:pPr>
              <w:spacing w:after="40" w:line="252" w:lineRule="auto" w:before="0"/>
            </w:pPr>
            <w:r>
              <w:rPr>
                <w:color w:val="1A1A1A"/>
                <w:sz w:val="14"/>
              </w:rPr>
              <w:t>Evaluation results</w:t>
            </w:r>
          </w:p>
        </w:tc>
        <w:tc>
          <w:tcPr>
            <w:tcW w:type="dxa" w:w="7060"/>
            <w:vAlign w:val="center"/>
          </w:tcPr>
          <w:p>
            <w:pPr>
              <w:spacing w:after="40" w:line="252" w:lineRule="auto" w:before="0"/>
            </w:pPr>
            <w:r>
              <w:rPr>
                <w:color w:val="1A1A1A"/>
                <w:sz w:val="14"/>
              </w:rPr>
              <w:t>Release, restriction, redesign, rollback, or added oversight</w:t>
            </w:r>
          </w:p>
        </w:tc>
      </w:tr>
      <w:tr>
        <w:trPr>
          <w:cantSplit/>
        </w:trPr>
        <w:tc>
          <w:tcPr>
            <w:tcW w:type="dxa" w:w="2300"/>
            <w:shd w:fill="F7F9FB"/>
            <w:vAlign w:val="center"/>
          </w:tcPr>
          <w:p>
            <w:pPr>
              <w:spacing w:after="40" w:line="252" w:lineRule="auto" w:before="0"/>
            </w:pPr>
            <w:r>
              <w:rPr>
                <w:color w:val="1A1A1A"/>
                <w:sz w:val="14"/>
              </w:rPr>
              <w:t>Complaints/incidents/redress</w:t>
            </w:r>
          </w:p>
        </w:tc>
        <w:tc>
          <w:tcPr>
            <w:tcW w:type="dxa" w:w="7060"/>
            <w:shd w:fill="F7F9FB"/>
            <w:vAlign w:val="center"/>
          </w:tcPr>
          <w:p>
            <w:pPr>
              <w:spacing w:after="40" w:line="252" w:lineRule="auto" w:before="0"/>
            </w:pPr>
            <w:r>
              <w:rPr>
                <w:color w:val="1A1A1A"/>
                <w:sz w:val="14"/>
              </w:rPr>
              <w:t>People impacts, recurrence, communication and corrective action</w:t>
            </w:r>
          </w:p>
        </w:tc>
      </w:tr>
      <w:tr>
        <w:trPr>
          <w:cantSplit/>
        </w:trPr>
        <w:tc>
          <w:tcPr>
            <w:tcW w:type="dxa" w:w="2300"/>
            <w:vAlign w:val="center"/>
          </w:tcPr>
          <w:p>
            <w:pPr>
              <w:spacing w:after="40" w:line="252" w:lineRule="auto" w:before="0"/>
            </w:pPr>
            <w:r>
              <w:rPr>
                <w:color w:val="1A1A1A"/>
                <w:sz w:val="14"/>
              </w:rPr>
              <w:t>Supplier changes/evidence</w:t>
            </w:r>
          </w:p>
        </w:tc>
        <w:tc>
          <w:tcPr>
            <w:tcW w:type="dxa" w:w="7060"/>
            <w:vAlign w:val="center"/>
          </w:tcPr>
          <w:p>
            <w:pPr>
              <w:spacing w:after="40" w:line="252" w:lineRule="auto" w:before="0"/>
            </w:pPr>
            <w:r>
              <w:rPr>
                <w:color w:val="1A1A1A"/>
                <w:sz w:val="14"/>
              </w:rPr>
              <w:t>Reassessment, contract action, alternative, or exit</w:t>
            </w:r>
          </w:p>
        </w:tc>
      </w:tr>
      <w:tr>
        <w:trPr>
          <w:cantSplit/>
        </w:trPr>
        <w:tc>
          <w:tcPr>
            <w:tcW w:type="dxa" w:w="2300"/>
            <w:shd w:fill="F7F9FB"/>
            <w:vAlign w:val="center"/>
          </w:tcPr>
          <w:p>
            <w:pPr>
              <w:spacing w:after="40" w:line="252" w:lineRule="auto" w:before="0"/>
            </w:pPr>
            <w:r>
              <w:rPr>
                <w:color w:val="1A1A1A"/>
                <w:sz w:val="14"/>
              </w:rPr>
              <w:t>Audit/nonconformity aging</w:t>
            </w:r>
          </w:p>
        </w:tc>
        <w:tc>
          <w:tcPr>
            <w:tcW w:type="dxa" w:w="7060"/>
            <w:shd w:fill="F7F9FB"/>
            <w:vAlign w:val="center"/>
          </w:tcPr>
          <w:p>
            <w:pPr>
              <w:spacing w:after="40" w:line="252" w:lineRule="auto" w:before="0"/>
            </w:pPr>
            <w:r>
              <w:rPr>
                <w:color w:val="1A1A1A"/>
                <w:sz w:val="14"/>
              </w:rPr>
              <w:t>Control weakness, root cause, resource and management attention</w:t>
            </w:r>
          </w:p>
        </w:tc>
      </w:tr>
    </w:tbl>
    <w:p>
      <w:pPr>
        <w:spacing w:after="0"/>
      </w:pPr>
    </w:p>
    <w:p>
      <w:pPr>
        <w:pStyle w:val="Heading1"/>
        <w:pageBreakBefore/>
        <w:keepNext/>
        <w:jc w:val="left"/>
      </w:pPr>
      <w:r>
        <w:t>17. Clause 9.2: Internal Audit</w:t>
      </w:r>
    </w:p>
    <w:p>
      <w:pPr>
        <w:spacing w:after="200"/>
      </w:pPr>
      <w:r>
        <w:rPr>
          <w:rFonts w:ascii="Aptos" w:hAnsi="Aptos"/>
          <w:i/>
          <w:color w:val="5B6570"/>
          <w:sz w:val="22"/>
        </w:rPr>
        <w:t>Internal audit provides independent, risk-based evidence that the AIMS conforms and operates effectively.</w:t>
      </w:r>
    </w:p>
    <w:p>
      <w:pPr>
        <w:keepNext/>
        <w:jc w:val="center"/>
      </w:pPr>
      <w:r>
        <w:drawing>
          <wp:inline xmlns:a="http://schemas.openxmlformats.org/drawingml/2006/main" xmlns:pic="http://schemas.openxmlformats.org/drawingml/2006/picture">
            <wp:extent cx="5623560" cy="2956017"/>
            <wp:docPr id="5" name="Manual 02 Figure 5" descr="ISO 19011:2026 supplies current audit-program guidance; ISO/IEC 42001 supplies audit criteria." title="Figure 5"/>
            <wp:cNvGraphicFramePr>
              <a:graphicFrameLocks noChangeAspect="1"/>
            </wp:cNvGraphicFramePr>
            <a:graphic>
              <a:graphicData uri="http://schemas.openxmlformats.org/drawingml/2006/picture">
                <pic:pic>
                  <pic:nvPicPr>
                    <pic:cNvPr id="0" name="audit.png"/>
                    <pic:cNvPicPr/>
                  </pic:nvPicPr>
                  <pic:blipFill>
                    <a:blip r:embed="rId17"/>
                    <a:stretch>
                      <a:fillRect/>
                    </a:stretch>
                  </pic:blipFill>
                  <pic:spPr>
                    <a:xfrm>
                      <a:off x="0" y="0"/>
                      <a:ext cx="5623560" cy="2956017"/>
                    </a:xfrm>
                    <a:prstGeom prst="rect"/>
                  </pic:spPr>
                </pic:pic>
              </a:graphicData>
            </a:graphic>
          </wp:inline>
        </w:drawing>
      </w:r>
    </w:p>
    <w:p>
      <w:pPr>
        <w:pStyle w:val="Caption"/>
        <w:spacing w:after="180"/>
        <w:jc w:val="center"/>
        <w:keepNext/>
      </w:pPr>
      <w:r>
        <w:t>Figure 5. AIMS audit chain</w:t>
      </w:r>
    </w:p>
    <w:p>
      <w:pPr>
        <w:pStyle w:val="Heading2"/>
        <w:keepNext/>
        <w:jc w:val="left"/>
      </w:pPr>
      <w:r>
        <w:t>17.1 Audit program</w:t>
      </w:r>
    </w:p>
    <w:p>
      <w:pPr>
        <w:pStyle w:val="ListBullet"/>
        <w:spacing w:after="60"/>
      </w:pPr>
      <w:r>
        <w:t>Define objectives, scope, frequency, methods, responsibilities, planning, criteria, reporting, follow-up, resources, risks, and records.</w:t>
      </w:r>
    </w:p>
    <w:p>
      <w:pPr>
        <w:pStyle w:val="ListBullet"/>
        <w:spacing w:after="60"/>
      </w:pPr>
      <w:r>
        <w:t>Prioritize high-impact systems, new models/use, weak controls, incidents, complaints, changes, suppliers, prior findings, and stale evidence.</w:t>
      </w:r>
    </w:p>
    <w:p>
      <w:pPr>
        <w:pStyle w:val="ListBullet"/>
        <w:spacing w:after="60"/>
      </w:pPr>
      <w:r>
        <w:t>Select auditors for management-system and AI-domain competence, objectivity, confidentiality, communication, and independence.</w:t>
      </w:r>
    </w:p>
    <w:p>
      <w:pPr>
        <w:pStyle w:val="ListBullet"/>
        <w:spacing w:after="60"/>
      </w:pPr>
      <w:r>
        <w:t>Use interviews, document review, observation, trace-through, data analysis, sampling, reperformance, and safe technical demonstration.</w:t>
      </w:r>
    </w:p>
    <w:p>
      <w:pPr>
        <w:pStyle w:val="ListBullet"/>
        <w:spacing w:after="60"/>
      </w:pPr>
      <w:r>
        <w:t>Report results to relevant management and ensure correction/corrective action and effectiveness follow-up.</w:t>
      </w:r>
    </w:p>
    <w:p>
      <w:pPr>
        <w:pStyle w:val="Heading2"/>
        <w:keepNext/>
        <w:jc w:val="left"/>
      </w:pPr>
      <w:r>
        <w:t>17.2 Audit workpaper</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tblHeader w:val="true"/>
          <w:cantSplit/>
        </w:trPr>
        <w:tc>
          <w:tcPr>
            <w:tcW w:type="dxa" w:w="1900"/>
            <w:tcMar>
              <w:top w:w="90" w:type="dxa"/>
              <w:start w:w="120" w:type="dxa"/>
              <w:bottom w:w="90" w:type="dxa"/>
              <w:end w:w="120" w:type="dxa"/>
            </w:tcMar>
            <w:vAlign w:val="center"/>
            <w:shd w:fill="1F4E78"/>
          </w:tcPr>
          <w:p>
            <w:pPr>
              <w:spacing w:after="40" w:before="0"/>
              <w:jc w:val="left"/>
            </w:pPr>
            <w:r>
              <w:rPr>
                <w:b/>
                <w:sz w:val="14"/>
                <w:color w:val="FFFFFF"/>
              </w:rPr>
              <w:t>Field</w:t>
            </w:r>
          </w:p>
        </w:tc>
        <w:tc>
          <w:tcPr>
            <w:tcW w:type="dxa" w:w="7460"/>
            <w:tcMar>
              <w:top w:w="90" w:type="dxa"/>
              <w:start w:w="120" w:type="dxa"/>
              <w:bottom w:w="90" w:type="dxa"/>
              <w:end w:w="120" w:type="dxa"/>
            </w:tcMar>
            <w:vAlign w:val="center"/>
            <w:shd w:fill="1F4E78"/>
          </w:tcPr>
          <w:p>
            <w:pPr>
              <w:spacing w:after="40" w:before="0"/>
              <w:jc w:val="left"/>
            </w:pPr>
            <w:r>
              <w:rPr>
                <w:b/>
                <w:sz w:val="14"/>
                <w:color w:val="FFFFFF"/>
              </w:rPr>
              <w:t>Example</w:t>
            </w:r>
          </w:p>
        </w:tc>
      </w:tr>
      <w:tr>
        <w:trPr>
          <w:cantSplit/>
        </w:trPr>
        <w:tc>
          <w:tcPr>
            <w:tcW w:type="dxa" w:w="1900"/>
            <w:vAlign w:val="center"/>
          </w:tcPr>
          <w:p>
            <w:pPr>
              <w:spacing w:after="40" w:line="252" w:lineRule="auto" w:before="0"/>
            </w:pPr>
            <w:r>
              <w:rPr>
                <w:color w:val="1A1A1A"/>
                <w:sz w:val="14"/>
              </w:rPr>
              <w:t>Criteria</w:t>
            </w:r>
          </w:p>
        </w:tc>
        <w:tc>
          <w:tcPr>
            <w:tcW w:type="dxa" w:w="7460"/>
            <w:vAlign w:val="center"/>
          </w:tcPr>
          <w:p>
            <w:pPr>
              <w:spacing w:after="40" w:line="252" w:lineRule="auto" w:before="0"/>
            </w:pPr>
            <w:r>
              <w:rPr>
                <w:color w:val="1A1A1A"/>
                <w:sz w:val="14"/>
              </w:rPr>
              <w:t>Exact clause/control, internal procedure, law/contract as applicable</w:t>
            </w:r>
          </w:p>
        </w:tc>
      </w:tr>
      <w:tr>
        <w:trPr>
          <w:cantSplit/>
        </w:trPr>
        <w:tc>
          <w:tcPr>
            <w:tcW w:type="dxa" w:w="1900"/>
            <w:shd w:fill="F7F9FB"/>
            <w:vAlign w:val="center"/>
          </w:tcPr>
          <w:p>
            <w:pPr>
              <w:spacing w:after="40" w:line="252" w:lineRule="auto" w:before="0"/>
            </w:pPr>
            <w:r>
              <w:rPr>
                <w:color w:val="1A1A1A"/>
                <w:sz w:val="14"/>
              </w:rPr>
              <w:t>Scope/sample</w:t>
            </w:r>
          </w:p>
        </w:tc>
        <w:tc>
          <w:tcPr>
            <w:tcW w:type="dxa" w:w="7460"/>
            <w:shd w:fill="F7F9FB"/>
            <w:vAlign w:val="center"/>
          </w:tcPr>
          <w:p>
            <w:pPr>
              <w:spacing w:after="40" w:line="252" w:lineRule="auto" w:before="0"/>
            </w:pPr>
            <w:r>
              <w:rPr>
                <w:color w:val="1A1A1A"/>
                <w:sz w:val="14"/>
              </w:rPr>
              <w:t>Process, AI system/version, period, population, selection rationale</w:t>
            </w:r>
          </w:p>
        </w:tc>
      </w:tr>
      <w:tr>
        <w:trPr>
          <w:cantSplit/>
        </w:trPr>
        <w:tc>
          <w:tcPr>
            <w:tcW w:type="dxa" w:w="1900"/>
            <w:vAlign w:val="center"/>
          </w:tcPr>
          <w:p>
            <w:pPr>
              <w:spacing w:after="40" w:line="252" w:lineRule="auto" w:before="0"/>
            </w:pPr>
            <w:r>
              <w:rPr>
                <w:color w:val="1A1A1A"/>
                <w:sz w:val="14"/>
              </w:rPr>
              <w:t>Evidence</w:t>
            </w:r>
          </w:p>
        </w:tc>
        <w:tc>
          <w:tcPr>
            <w:tcW w:type="dxa" w:w="7460"/>
            <w:vAlign w:val="center"/>
          </w:tcPr>
          <w:p>
            <w:pPr>
              <w:spacing w:after="40" w:line="252" w:lineRule="auto" w:before="0"/>
            </w:pPr>
            <w:r>
              <w:rPr>
                <w:color w:val="1A1A1A"/>
                <w:sz w:val="14"/>
              </w:rPr>
              <w:t>Source, owner, date, version, query, observation, reliability</w:t>
            </w:r>
          </w:p>
        </w:tc>
      </w:tr>
      <w:tr>
        <w:trPr>
          <w:cantSplit/>
        </w:trPr>
        <w:tc>
          <w:tcPr>
            <w:tcW w:type="dxa" w:w="1900"/>
            <w:shd w:fill="F7F9FB"/>
            <w:vAlign w:val="center"/>
          </w:tcPr>
          <w:p>
            <w:pPr>
              <w:spacing w:after="40" w:line="252" w:lineRule="auto" w:before="0"/>
            </w:pPr>
            <w:r>
              <w:rPr>
                <w:color w:val="1A1A1A"/>
                <w:sz w:val="14"/>
              </w:rPr>
              <w:t>Test/result</w:t>
            </w:r>
          </w:p>
        </w:tc>
        <w:tc>
          <w:tcPr>
            <w:tcW w:type="dxa" w:w="7460"/>
            <w:shd w:fill="F7F9FB"/>
            <w:vAlign w:val="center"/>
          </w:tcPr>
          <w:p>
            <w:pPr>
              <w:spacing w:after="40" w:line="252" w:lineRule="auto" w:before="0"/>
            </w:pPr>
            <w:r>
              <w:rPr>
                <w:color w:val="1A1A1A"/>
                <w:sz w:val="14"/>
              </w:rPr>
              <w:t>Design and operation, expected versus observed, exceptions</w:t>
            </w:r>
          </w:p>
        </w:tc>
      </w:tr>
      <w:tr>
        <w:trPr>
          <w:cantSplit/>
        </w:trPr>
        <w:tc>
          <w:tcPr>
            <w:tcW w:type="dxa" w:w="1900"/>
            <w:vAlign w:val="center"/>
          </w:tcPr>
          <w:p>
            <w:pPr>
              <w:spacing w:after="40" w:line="252" w:lineRule="auto" w:before="0"/>
            </w:pPr>
            <w:r>
              <w:rPr>
                <w:color w:val="1A1A1A"/>
                <w:sz w:val="14"/>
              </w:rPr>
              <w:t>Conclusion</w:t>
            </w:r>
          </w:p>
        </w:tc>
        <w:tc>
          <w:tcPr>
            <w:tcW w:type="dxa" w:w="7460"/>
            <w:vAlign w:val="center"/>
          </w:tcPr>
          <w:p>
            <w:pPr>
              <w:spacing w:after="40" w:line="252" w:lineRule="auto" w:before="0"/>
            </w:pPr>
            <w:r>
              <w:rPr>
                <w:color w:val="1A1A1A"/>
                <w:sz w:val="14"/>
              </w:rPr>
              <w:t>Conforms, opportunity, observation, or nonconformity with objective basis</w:t>
            </w:r>
          </w:p>
        </w:tc>
      </w:tr>
      <w:tr>
        <w:trPr>
          <w:cantSplit/>
        </w:trPr>
        <w:tc>
          <w:tcPr>
            <w:tcW w:type="dxa" w:w="1900"/>
            <w:shd w:fill="F7F9FB"/>
            <w:vAlign w:val="center"/>
          </w:tcPr>
          <w:p>
            <w:pPr>
              <w:spacing w:after="40" w:line="252" w:lineRule="auto" w:before="0"/>
            </w:pPr>
            <w:r>
              <w:rPr>
                <w:color w:val="1A1A1A"/>
                <w:sz w:val="14"/>
              </w:rPr>
              <w:t>Follow-up</w:t>
            </w:r>
          </w:p>
        </w:tc>
        <w:tc>
          <w:tcPr>
            <w:tcW w:type="dxa" w:w="7460"/>
            <w:shd w:fill="F7F9FB"/>
            <w:vAlign w:val="center"/>
          </w:tcPr>
          <w:p>
            <w:pPr>
              <w:spacing w:after="40" w:line="252" w:lineRule="auto" w:before="0"/>
            </w:pPr>
            <w:r>
              <w:rPr>
                <w:color w:val="1A1A1A"/>
                <w:sz w:val="14"/>
              </w:rPr>
              <w:t>Correction, root cause, corrective action, owner/date, effectiveness</w:t>
            </w:r>
          </w:p>
        </w:tc>
      </w:tr>
    </w:tbl>
    <w:p>
      <w:pPr>
        <w:spacing w:after="0"/>
      </w:pPr>
    </w:p>
    <w:p>
      <w:pPr>
        <w:pStyle w:val="Heading1"/>
        <w:pageBreakBefore/>
        <w:keepNext/>
        <w:jc w:val="left"/>
      </w:pPr>
      <w:r>
        <w:t>18. Clause 9.3: Management Review</w:t>
      </w:r>
    </w:p>
    <w:p>
      <w:pPr>
        <w:spacing w:after="200"/>
      </w:pPr>
      <w:r>
        <w:rPr>
          <w:rFonts w:ascii="Aptos" w:hAnsi="Aptos"/>
          <w:i/>
          <w:color w:val="5B6570"/>
          <w:sz w:val="22"/>
        </w:rPr>
        <w:t>Management review ensures top management evaluates suitability, adequacy, effectiveness, direction, resources, and improvement.</w:t>
      </w:r>
    </w:p>
    <w:p>
      <w:pPr>
        <w:pStyle w:val="Heading2"/>
        <w:keepNext/>
        <w:jc w:val="left"/>
      </w:pPr>
      <w:r>
        <w:t>18.1 Inputs</w:t>
      </w:r>
    </w:p>
    <w:p>
      <w:pPr>
        <w:pStyle w:val="ListBullet"/>
        <w:spacing w:after="60"/>
      </w:pPr>
      <w:r>
        <w:t>Status of actions from prior reviews and changes in internal/external issues or interested-party requirements.</w:t>
      </w:r>
    </w:p>
    <w:p>
      <w:pPr>
        <w:pStyle w:val="ListBullet"/>
        <w:spacing w:after="60"/>
      </w:pPr>
      <w:r>
        <w:t>AIMS performance and trends: objectives, nonconformities/corrective actions, monitoring/measurement, internal audits, and relevant external assurance.</w:t>
      </w:r>
    </w:p>
    <w:p>
      <w:pPr>
        <w:pStyle w:val="ListBullet"/>
        <w:spacing w:after="60"/>
      </w:pPr>
      <w:r>
        <w:t>Risk and impact assessment results, treatment status, SoA changes, incidents, complaints, concerns, redress, supplier and legal changes.</w:t>
      </w:r>
    </w:p>
    <w:p>
      <w:pPr>
        <w:pStyle w:val="ListBullet"/>
        <w:spacing w:after="60"/>
      </w:pPr>
      <w:r>
        <w:t>Adequacy of resources, competence, independence, infrastructure, data, tools, and budget.</w:t>
      </w:r>
    </w:p>
    <w:p>
      <w:pPr>
        <w:pStyle w:val="ListBullet"/>
        <w:spacing w:after="60"/>
      </w:pPr>
      <w:r>
        <w:t>Opportunities for continual improvement and strategic alignment.</w:t>
      </w:r>
    </w:p>
    <w:p>
      <w:pPr>
        <w:pStyle w:val="Heading2"/>
        <w:keepNext/>
        <w:jc w:val="left"/>
      </w:pPr>
      <w:r>
        <w:t>18.2 Outputs</w:t>
      </w:r>
    </w:p>
    <w:p>
      <w:pPr>
        <w:pStyle w:val="ListBullet"/>
        <w:spacing w:after="60"/>
      </w:pPr>
      <w:r>
        <w:t>Decisions and actions about improvement, changes to AIMS scope/policy/objectives/processes/controls, resource needs, risk decisions, and strategic direction.</w:t>
      </w:r>
    </w:p>
    <w:p>
      <w:pPr>
        <w:pStyle w:val="ListBullet"/>
        <w:spacing w:after="60"/>
      </w:pPr>
      <w:r>
        <w:t>For each action: rationale, owner, due date, resources, expected result, measure, dependency, escalation, and follow-up.</w:t>
      </w:r>
    </w:p>
    <w:p>
      <w:pPr>
        <w:pStyle w:val="ListBullet"/>
        <w:spacing w:after="60"/>
      </w:pPr>
      <w:r>
        <w:t>Retain agenda, materials, attendees/authority, discussion, decisions, dissent/concerns, actions, and closure evidence.</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Avoid the slide-deck review: </w:t>
      </w:r>
      <w:r>
        <w:rPr>
          <w:rFonts w:ascii="Aptos" w:hAnsi="Aptos"/>
          <w:color w:val="1A1A1A"/>
        </w:rPr>
        <w:t>Management review is a decision process. A dashboard presentation without challenges, risk decisions, resource commitments, actions, and follow-up is weak evidence.</w:t>
      </w:r>
    </w:p>
    <w:p>
      <w:pPr>
        <w:spacing w:after="0"/>
      </w:pPr>
    </w:p>
    <w:p>
      <w:pPr>
        <w:pStyle w:val="Heading1"/>
        <w:pageBreakBefore/>
        <w:keepNext/>
        <w:jc w:val="left"/>
      </w:pPr>
      <w:r>
        <w:t>19. Clause 10: Nonconformity, Corrective Action, and Continual Improvement</w:t>
      </w:r>
    </w:p>
    <w:p>
      <w:pPr>
        <w:spacing w:after="200"/>
      </w:pPr>
      <w:r>
        <w:rPr>
          <w:rFonts w:ascii="Aptos" w:hAnsi="Aptos"/>
          <w:i/>
          <w:color w:val="5B6570"/>
          <w:sz w:val="22"/>
        </w:rPr>
        <w:t>Improvement corrects problems, removes causes, checks effectiveness, and strengthens the AIMS as risk and technology change.</w:t>
      </w:r>
    </w:p>
    <w:p>
      <w:pPr>
        <w:pStyle w:val="Heading2"/>
        <w:keepNext/>
        <w:jc w:val="left"/>
      </w:pPr>
      <w:r>
        <w:t>19.1 Corrective-action method</w:t>
      </w:r>
    </w:p>
    <w:p>
      <w:pPr>
        <w:pStyle w:val="ListBullet"/>
        <w:spacing w:after="60"/>
      </w:pPr>
      <w:r>
        <w:t>React to nonconformity; control/correct it; address consequences, affected people, decisions, data, systems, and communications.</w:t>
      </w:r>
    </w:p>
    <w:p>
      <w:pPr>
        <w:pStyle w:val="ListBullet"/>
        <w:spacing w:after="60"/>
      </w:pPr>
      <w:r>
        <w:t>Evaluate cause and recurrence: review evidence, determine why controls failed or were bypassed, and find similar conditions elsewhere.</w:t>
      </w:r>
    </w:p>
    <w:p>
      <w:pPr>
        <w:pStyle w:val="ListBullet"/>
        <w:spacing w:after="60"/>
      </w:pPr>
      <w:r>
        <w:t>Implement proportionate action with owner, date, resources, interim protection, change control, and risk/impact reassessment.</w:t>
      </w:r>
    </w:p>
    <w:p>
      <w:pPr>
        <w:pStyle w:val="ListBullet"/>
        <w:spacing w:after="60"/>
      </w:pPr>
      <w:r>
        <w:t>Review effectiveness using defined evidence after enough operation; do not close based only on a new document.</w:t>
      </w:r>
    </w:p>
    <w:p>
      <w:pPr>
        <w:pStyle w:val="ListBullet"/>
        <w:spacing w:after="60"/>
      </w:pPr>
      <w:r>
        <w:t>Update risks, impacts, controls, objectives, competence, supplier terms, monitoring, audit program, and documented information as needed.</w:t>
      </w:r>
    </w:p>
    <w:p>
      <w:pPr>
        <w:pStyle w:val="ListBullet"/>
        <w:spacing w:after="60"/>
      </w:pPr>
      <w:r>
        <w:t>Retain nature of nonconformity, actions, and effectiveness results.</w:t>
      </w:r>
    </w:p>
    <w:tbl>
      <w:tblPr>
        <w:tblStyle w:val="TableGrid"/>
        <w:tblW w:type="dxa" w:w="9360"/>
        <w:tblLayout w:type="fixed"/>
        <w:tblLook w:firstColumn="1" w:firstRow="1" w:lastColumn="0" w:lastRow="0" w:noHBand="0" w:noVBand="1" w:val="04A0"/>
        <w:jc w:val="center"/>
        <w:tblInd w:w="120" w:type="dxa"/>
      </w:tblPr>
      <w:tblGrid>
        <w:gridCol w:w="2500"/>
        <w:gridCol w:w="6860"/>
      </w:tblGrid>
      <w:tr>
        <w:trPr>
          <w:tblHeader w:val="true"/>
          <w:cantSplit/>
        </w:trPr>
        <w:tc>
          <w:tcPr>
            <w:tcW w:type="dxa" w:w="2500"/>
            <w:tcMar>
              <w:top w:w="90" w:type="dxa"/>
              <w:start w:w="120" w:type="dxa"/>
              <w:bottom w:w="90" w:type="dxa"/>
              <w:end w:w="120" w:type="dxa"/>
            </w:tcMar>
            <w:vAlign w:val="center"/>
            <w:shd w:fill="1F4E78"/>
          </w:tcPr>
          <w:p>
            <w:pPr>
              <w:spacing w:after="40" w:before="0"/>
              <w:jc w:val="left"/>
            </w:pPr>
            <w:r>
              <w:rPr>
                <w:b/>
                <w:sz w:val="14"/>
                <w:color w:val="FFFFFF"/>
              </w:rPr>
              <w:t>Weak response</w:t>
            </w:r>
          </w:p>
        </w:tc>
        <w:tc>
          <w:tcPr>
            <w:tcW w:type="dxa" w:w="6860"/>
            <w:tcMar>
              <w:top w:w="90" w:type="dxa"/>
              <w:start w:w="120" w:type="dxa"/>
              <w:bottom w:w="90" w:type="dxa"/>
              <w:end w:w="120" w:type="dxa"/>
            </w:tcMar>
            <w:vAlign w:val="center"/>
            <w:shd w:fill="1F4E78"/>
          </w:tcPr>
          <w:p>
            <w:pPr>
              <w:spacing w:after="40" w:before="0"/>
              <w:jc w:val="left"/>
            </w:pPr>
            <w:r>
              <w:rPr>
                <w:b/>
                <w:sz w:val="14"/>
                <w:color w:val="FFFFFF"/>
              </w:rPr>
              <w:t>Stronger response</w:t>
            </w:r>
          </w:p>
        </w:tc>
      </w:tr>
      <w:tr>
        <w:trPr>
          <w:cantSplit/>
        </w:trPr>
        <w:tc>
          <w:tcPr>
            <w:tcW w:type="dxa" w:w="2500"/>
            <w:vAlign w:val="center"/>
          </w:tcPr>
          <w:p>
            <w:pPr>
              <w:spacing w:after="40" w:line="252" w:lineRule="auto" w:before="0"/>
            </w:pPr>
            <w:r>
              <w:rPr>
                <w:color w:val="1A1A1A"/>
                <w:sz w:val="14"/>
              </w:rPr>
              <w:t>Retrain the employee</w:t>
            </w:r>
          </w:p>
        </w:tc>
        <w:tc>
          <w:tcPr>
            <w:tcW w:type="dxa" w:w="6860"/>
            <w:vAlign w:val="center"/>
          </w:tcPr>
          <w:p>
            <w:pPr>
              <w:spacing w:after="40" w:line="252" w:lineRule="auto" w:before="0"/>
            </w:pPr>
            <w:r>
              <w:rPr>
                <w:color w:val="1A1A1A"/>
                <w:sz w:val="14"/>
              </w:rPr>
              <w:t>Examine unclear process, workload, incentives, interface, access, approval and monitoring; fix system causes</w:t>
            </w:r>
          </w:p>
        </w:tc>
      </w:tr>
      <w:tr>
        <w:trPr>
          <w:cantSplit/>
        </w:trPr>
        <w:tc>
          <w:tcPr>
            <w:tcW w:type="dxa" w:w="2500"/>
            <w:shd w:fill="F7F9FB"/>
            <w:vAlign w:val="center"/>
          </w:tcPr>
          <w:p>
            <w:pPr>
              <w:spacing w:after="40" w:line="252" w:lineRule="auto" w:before="0"/>
            </w:pPr>
            <w:r>
              <w:rPr>
                <w:color w:val="1A1A1A"/>
                <w:sz w:val="14"/>
              </w:rPr>
              <w:t>Update policy</w:t>
            </w:r>
          </w:p>
        </w:tc>
        <w:tc>
          <w:tcPr>
            <w:tcW w:type="dxa" w:w="6860"/>
            <w:shd w:fill="F7F9FB"/>
            <w:vAlign w:val="center"/>
          </w:tcPr>
          <w:p>
            <w:pPr>
              <w:spacing w:after="40" w:line="252" w:lineRule="auto" w:before="0"/>
            </w:pPr>
            <w:r>
              <w:rPr>
                <w:color w:val="1A1A1A"/>
                <w:sz w:val="14"/>
              </w:rPr>
              <w:t>Change workflow/control, communicate, train, test operation, monitor recurrence</w:t>
            </w:r>
          </w:p>
        </w:tc>
      </w:tr>
      <w:tr>
        <w:trPr>
          <w:cantSplit/>
        </w:trPr>
        <w:tc>
          <w:tcPr>
            <w:tcW w:type="dxa" w:w="2500"/>
            <w:vAlign w:val="center"/>
          </w:tcPr>
          <w:p>
            <w:pPr>
              <w:spacing w:after="40" w:line="252" w:lineRule="auto" w:before="0"/>
            </w:pPr>
            <w:r>
              <w:rPr>
                <w:color w:val="1A1A1A"/>
                <w:sz w:val="14"/>
              </w:rPr>
              <w:t>Supplier will fix</w:t>
            </w:r>
          </w:p>
        </w:tc>
        <w:tc>
          <w:tcPr>
            <w:tcW w:type="dxa" w:w="6860"/>
            <w:vAlign w:val="center"/>
          </w:tcPr>
          <w:p>
            <w:pPr>
              <w:spacing w:after="40" w:line="252" w:lineRule="auto" w:before="0"/>
            </w:pPr>
            <w:r>
              <w:rPr>
                <w:color w:val="1A1A1A"/>
                <w:sz w:val="14"/>
              </w:rPr>
              <w:t>Track contract, mitigation, customer control, deadline, test, residual risk, alternative/exit</w:t>
            </w:r>
          </w:p>
        </w:tc>
      </w:tr>
      <w:tr>
        <w:trPr>
          <w:cantSplit/>
        </w:trPr>
        <w:tc>
          <w:tcPr>
            <w:tcW w:type="dxa" w:w="2500"/>
            <w:shd w:fill="F7F9FB"/>
            <w:vAlign w:val="center"/>
          </w:tcPr>
          <w:p>
            <w:pPr>
              <w:spacing w:after="40" w:line="252" w:lineRule="auto" w:before="0"/>
            </w:pPr>
            <w:r>
              <w:rPr>
                <w:color w:val="1A1A1A"/>
                <w:sz w:val="14"/>
              </w:rPr>
              <w:t>Finding closed</w:t>
            </w:r>
          </w:p>
        </w:tc>
        <w:tc>
          <w:tcPr>
            <w:tcW w:type="dxa" w:w="6860"/>
            <w:shd w:fill="F7F9FB"/>
            <w:vAlign w:val="center"/>
          </w:tcPr>
          <w:p>
            <w:pPr>
              <w:spacing w:after="40" w:line="252" w:lineRule="auto" w:before="0"/>
            </w:pPr>
            <w:r>
              <w:rPr>
                <w:color w:val="1A1A1A"/>
                <w:sz w:val="14"/>
              </w:rPr>
              <w:t>Evidence correction plus root-cause action and effectiveness review across similar scope</w:t>
            </w:r>
          </w:p>
        </w:tc>
      </w:tr>
    </w:tbl>
    <w:p>
      <w:pPr>
        <w:spacing w:after="0"/>
      </w:pPr>
    </w:p>
    <w:p>
      <w:pPr>
        <w:pStyle w:val="Heading1"/>
        <w:pageBreakBefore/>
        <w:keepNext/>
        <w:jc w:val="left"/>
      </w:pPr>
      <w:r>
        <w:t>20. Annexes A–D and the Statement of Applicability</w:t>
      </w:r>
    </w:p>
    <w:p>
      <w:pPr>
        <w:spacing w:after="200"/>
      </w:pPr>
      <w:r>
        <w:rPr>
          <w:rFonts w:ascii="Aptos" w:hAnsi="Aptos"/>
          <w:i/>
          <w:color w:val="5B6570"/>
          <w:sz w:val="22"/>
        </w:rPr>
        <w:t>Annex A is a reference set of 38 controls in nine groups; Annex B gives guidance, Annex C provides AI objective/risk-source ideas, and Annex D supports sector/domain use.</w:t>
      </w:r>
    </w:p>
    <w:tbl>
      <w:tblPr>
        <w:tblStyle w:val="TableGrid"/>
        <w:tblW w:type="dxa" w:w="9360"/>
        <w:tblLayout w:type="fixed"/>
        <w:tblLook w:firstColumn="1" w:firstRow="1" w:lastColumn="0" w:lastRow="0" w:noHBand="0" w:noVBand="1" w:val="04A0"/>
        <w:jc w:val="center"/>
        <w:tblInd w:w="120" w:type="dxa"/>
      </w:tblPr>
      <w:tblGrid>
        <w:gridCol w:w="900"/>
        <w:gridCol w:w="2400"/>
        <w:gridCol w:w="900"/>
        <w:gridCol w:w="5160"/>
      </w:tblGrid>
      <w:tr>
        <w:trPr>
          <w:tblHeader w:val="true"/>
          <w:cantSplit/>
        </w:trPr>
        <w:tc>
          <w:tcPr>
            <w:tcW w:type="dxa" w:w="900"/>
            <w:tcMar>
              <w:top w:w="90" w:type="dxa"/>
              <w:start w:w="120" w:type="dxa"/>
              <w:bottom w:w="90" w:type="dxa"/>
              <w:end w:w="120" w:type="dxa"/>
            </w:tcMar>
            <w:vAlign w:val="center"/>
            <w:shd w:fill="1F4E78"/>
          </w:tcPr>
          <w:p>
            <w:pPr>
              <w:spacing w:after="40" w:before="0"/>
              <w:jc w:val="left"/>
            </w:pPr>
            <w:r>
              <w:rPr>
                <w:b/>
                <w:sz w:val="13"/>
                <w:color w:val="FFFFFF"/>
              </w:rPr>
              <w:t>Group</w:t>
            </w:r>
          </w:p>
        </w:tc>
        <w:tc>
          <w:tcPr>
            <w:tcW w:type="dxa" w:w="2400"/>
            <w:tcMar>
              <w:top w:w="90" w:type="dxa"/>
              <w:start w:w="120" w:type="dxa"/>
              <w:bottom w:w="90" w:type="dxa"/>
              <w:end w:w="120" w:type="dxa"/>
            </w:tcMar>
            <w:vAlign w:val="center"/>
            <w:shd w:fill="1F4E78"/>
          </w:tcPr>
          <w:p>
            <w:pPr>
              <w:spacing w:after="40" w:before="0"/>
              <w:jc w:val="left"/>
            </w:pPr>
            <w:r>
              <w:rPr>
                <w:b/>
                <w:sz w:val="13"/>
                <w:color w:val="FFFFFF"/>
              </w:rPr>
              <w:t>Theme</w:t>
            </w:r>
          </w:p>
        </w:tc>
        <w:tc>
          <w:tcPr>
            <w:tcW w:type="dxa" w:w="900"/>
            <w:tcMar>
              <w:top w:w="90" w:type="dxa"/>
              <w:start w:w="120" w:type="dxa"/>
              <w:bottom w:w="90" w:type="dxa"/>
              <w:end w:w="120" w:type="dxa"/>
            </w:tcMar>
            <w:vAlign w:val="center"/>
            <w:shd w:fill="1F4E78"/>
          </w:tcPr>
          <w:p>
            <w:pPr>
              <w:spacing w:after="40" w:before="0"/>
              <w:jc w:val="left"/>
            </w:pPr>
            <w:r>
              <w:rPr>
                <w:b/>
                <w:sz w:val="13"/>
                <w:color w:val="FFFFFF"/>
              </w:rPr>
              <w:t>Controls</w:t>
            </w:r>
          </w:p>
        </w:tc>
        <w:tc>
          <w:tcPr>
            <w:tcW w:type="dxa" w:w="5160"/>
            <w:tcMar>
              <w:top w:w="90" w:type="dxa"/>
              <w:start w:w="120" w:type="dxa"/>
              <w:bottom w:w="90" w:type="dxa"/>
              <w:end w:w="120" w:type="dxa"/>
            </w:tcMar>
            <w:vAlign w:val="center"/>
            <w:shd w:fill="1F4E78"/>
          </w:tcPr>
          <w:p>
            <w:pPr>
              <w:spacing w:after="40" w:before="0"/>
              <w:jc w:val="left"/>
            </w:pPr>
            <w:r>
              <w:rPr>
                <w:b/>
                <w:sz w:val="13"/>
                <w:color w:val="FFFFFF"/>
              </w:rPr>
              <w:t>Implementation focus</w:t>
            </w:r>
          </w:p>
        </w:tc>
      </w:tr>
      <w:tr>
        <w:trPr>
          <w:cantSplit/>
        </w:trPr>
        <w:tc>
          <w:tcPr>
            <w:tcW w:type="dxa" w:w="900"/>
            <w:vAlign w:val="center"/>
          </w:tcPr>
          <w:p>
            <w:pPr>
              <w:spacing w:after="40" w:line="252" w:lineRule="auto" w:before="0"/>
            </w:pPr>
            <w:r>
              <w:rPr>
                <w:color w:val="1A1A1A"/>
                <w:sz w:val="13"/>
              </w:rPr>
              <w:t>A.2</w:t>
            </w:r>
          </w:p>
        </w:tc>
        <w:tc>
          <w:tcPr>
            <w:tcW w:type="dxa" w:w="2400"/>
            <w:vAlign w:val="center"/>
          </w:tcPr>
          <w:p>
            <w:pPr>
              <w:spacing w:after="40" w:line="252" w:lineRule="auto" w:before="0"/>
            </w:pPr>
            <w:r>
              <w:rPr>
                <w:color w:val="1A1A1A"/>
                <w:sz w:val="13"/>
              </w:rPr>
              <w:t>Policies related to AI</w:t>
            </w:r>
          </w:p>
        </w:tc>
        <w:tc>
          <w:tcPr>
            <w:tcW w:type="dxa" w:w="900"/>
            <w:vAlign w:val="center"/>
          </w:tcPr>
          <w:p>
            <w:pPr>
              <w:spacing w:after="40" w:line="252" w:lineRule="auto" w:before="0"/>
            </w:pPr>
            <w:r>
              <w:rPr>
                <w:color w:val="1A1A1A"/>
                <w:sz w:val="13"/>
              </w:rPr>
              <w:t>3</w:t>
            </w:r>
          </w:p>
        </w:tc>
        <w:tc>
          <w:tcPr>
            <w:tcW w:type="dxa" w:w="5160"/>
            <w:vAlign w:val="center"/>
          </w:tcPr>
          <w:p>
            <w:pPr>
              <w:spacing w:after="40" w:line="252" w:lineRule="auto" w:before="0"/>
            </w:pPr>
            <w:r>
              <w:rPr>
                <w:color w:val="1A1A1A"/>
                <w:sz w:val="13"/>
              </w:rPr>
              <w:t>Policy, alignment with other policies, and planned/event-driven review.</w:t>
            </w:r>
          </w:p>
        </w:tc>
      </w:tr>
      <w:tr>
        <w:trPr>
          <w:cantSplit/>
        </w:trPr>
        <w:tc>
          <w:tcPr>
            <w:tcW w:type="dxa" w:w="900"/>
            <w:shd w:fill="F7F9FB"/>
            <w:vAlign w:val="center"/>
          </w:tcPr>
          <w:p>
            <w:pPr>
              <w:spacing w:after="40" w:line="252" w:lineRule="auto" w:before="0"/>
            </w:pPr>
            <w:r>
              <w:rPr>
                <w:color w:val="1A1A1A"/>
                <w:sz w:val="13"/>
              </w:rPr>
              <w:t>A.3</w:t>
            </w:r>
          </w:p>
        </w:tc>
        <w:tc>
          <w:tcPr>
            <w:tcW w:type="dxa" w:w="2400"/>
            <w:shd w:fill="F7F9FB"/>
            <w:vAlign w:val="center"/>
          </w:tcPr>
          <w:p>
            <w:pPr>
              <w:spacing w:after="40" w:line="252" w:lineRule="auto" w:before="0"/>
            </w:pPr>
            <w:r>
              <w:rPr>
                <w:color w:val="1A1A1A"/>
                <w:sz w:val="13"/>
              </w:rPr>
              <w:t>Internal organization</w:t>
            </w:r>
          </w:p>
        </w:tc>
        <w:tc>
          <w:tcPr>
            <w:tcW w:type="dxa" w:w="900"/>
            <w:shd w:fill="F7F9FB"/>
            <w:vAlign w:val="center"/>
          </w:tcPr>
          <w:p>
            <w:pPr>
              <w:spacing w:after="40" w:line="252" w:lineRule="auto" w:before="0"/>
            </w:pPr>
            <w:r>
              <w:rPr>
                <w:color w:val="1A1A1A"/>
                <w:sz w:val="13"/>
              </w:rPr>
              <w:t>2</w:t>
            </w:r>
          </w:p>
        </w:tc>
        <w:tc>
          <w:tcPr>
            <w:tcW w:type="dxa" w:w="5160"/>
            <w:shd w:fill="F7F9FB"/>
            <w:vAlign w:val="center"/>
          </w:tcPr>
          <w:p>
            <w:pPr>
              <w:spacing w:after="40" w:line="252" w:lineRule="auto" w:before="0"/>
            </w:pPr>
            <w:r>
              <w:rPr>
                <w:color w:val="1A1A1A"/>
                <w:sz w:val="13"/>
              </w:rPr>
              <w:t>AI roles and responsibilities plus a protected concern-reporting process.</w:t>
            </w:r>
          </w:p>
        </w:tc>
      </w:tr>
      <w:tr>
        <w:trPr>
          <w:cantSplit/>
        </w:trPr>
        <w:tc>
          <w:tcPr>
            <w:tcW w:type="dxa" w:w="900"/>
            <w:vAlign w:val="center"/>
          </w:tcPr>
          <w:p>
            <w:pPr>
              <w:spacing w:after="40" w:line="252" w:lineRule="auto" w:before="0"/>
            </w:pPr>
            <w:r>
              <w:rPr>
                <w:color w:val="1A1A1A"/>
                <w:sz w:val="13"/>
              </w:rPr>
              <w:t>A.4</w:t>
            </w:r>
          </w:p>
        </w:tc>
        <w:tc>
          <w:tcPr>
            <w:tcW w:type="dxa" w:w="2400"/>
            <w:vAlign w:val="center"/>
          </w:tcPr>
          <w:p>
            <w:pPr>
              <w:spacing w:after="40" w:line="252" w:lineRule="auto" w:before="0"/>
            </w:pPr>
            <w:r>
              <w:rPr>
                <w:color w:val="1A1A1A"/>
                <w:sz w:val="13"/>
              </w:rPr>
              <w:t>Resources for AI systems</w:t>
            </w:r>
          </w:p>
        </w:tc>
        <w:tc>
          <w:tcPr>
            <w:tcW w:type="dxa" w:w="900"/>
            <w:vAlign w:val="center"/>
          </w:tcPr>
          <w:p>
            <w:pPr>
              <w:spacing w:after="40" w:line="252" w:lineRule="auto" w:before="0"/>
            </w:pPr>
            <w:r>
              <w:rPr>
                <w:color w:val="1A1A1A"/>
                <w:sz w:val="13"/>
              </w:rPr>
              <w:t>5</w:t>
            </w:r>
          </w:p>
        </w:tc>
        <w:tc>
          <w:tcPr>
            <w:tcW w:type="dxa" w:w="5160"/>
            <w:vAlign w:val="center"/>
          </w:tcPr>
          <w:p>
            <w:pPr>
              <w:spacing w:after="40" w:line="252" w:lineRule="auto" w:before="0"/>
            </w:pPr>
            <w:r>
              <w:rPr>
                <w:color w:val="1A1A1A"/>
                <w:sz w:val="13"/>
              </w:rPr>
              <w:t>Document data, tools, system/compute, and human resources across the life cycle.</w:t>
            </w:r>
          </w:p>
        </w:tc>
      </w:tr>
      <w:tr>
        <w:trPr>
          <w:cantSplit/>
        </w:trPr>
        <w:tc>
          <w:tcPr>
            <w:tcW w:type="dxa" w:w="900"/>
            <w:shd w:fill="F7F9FB"/>
            <w:vAlign w:val="center"/>
          </w:tcPr>
          <w:p>
            <w:pPr>
              <w:spacing w:after="40" w:line="252" w:lineRule="auto" w:before="0"/>
            </w:pPr>
            <w:r>
              <w:rPr>
                <w:color w:val="1A1A1A"/>
                <w:sz w:val="13"/>
              </w:rPr>
              <w:t>A.5</w:t>
            </w:r>
          </w:p>
        </w:tc>
        <w:tc>
          <w:tcPr>
            <w:tcW w:type="dxa" w:w="2400"/>
            <w:shd w:fill="F7F9FB"/>
            <w:vAlign w:val="center"/>
          </w:tcPr>
          <w:p>
            <w:pPr>
              <w:spacing w:after="40" w:line="252" w:lineRule="auto" w:before="0"/>
            </w:pPr>
            <w:r>
              <w:rPr>
                <w:color w:val="1A1A1A"/>
                <w:sz w:val="13"/>
              </w:rPr>
              <w:t>Assessing impacts of AI systems</w:t>
            </w:r>
          </w:p>
        </w:tc>
        <w:tc>
          <w:tcPr>
            <w:tcW w:type="dxa" w:w="900"/>
            <w:shd w:fill="F7F9FB"/>
            <w:vAlign w:val="center"/>
          </w:tcPr>
          <w:p>
            <w:pPr>
              <w:spacing w:after="40" w:line="252" w:lineRule="auto" w:before="0"/>
            </w:pPr>
            <w:r>
              <w:rPr>
                <w:color w:val="1A1A1A"/>
                <w:sz w:val="13"/>
              </w:rPr>
              <w:t>4</w:t>
            </w:r>
          </w:p>
        </w:tc>
        <w:tc>
          <w:tcPr>
            <w:tcW w:type="dxa" w:w="5160"/>
            <w:shd w:fill="F7F9FB"/>
            <w:vAlign w:val="center"/>
          </w:tcPr>
          <w:p>
            <w:pPr>
              <w:spacing w:after="40" w:line="252" w:lineRule="auto" w:before="0"/>
            </w:pPr>
            <w:r>
              <w:rPr>
                <w:color w:val="1A1A1A"/>
                <w:sz w:val="13"/>
              </w:rPr>
              <w:t>A repeatable process, records, impacts on people/groups, and societal impacts.</w:t>
            </w:r>
          </w:p>
        </w:tc>
      </w:tr>
      <w:tr>
        <w:trPr>
          <w:cantSplit/>
        </w:trPr>
        <w:tc>
          <w:tcPr>
            <w:tcW w:type="dxa" w:w="900"/>
            <w:vAlign w:val="center"/>
          </w:tcPr>
          <w:p>
            <w:pPr>
              <w:spacing w:after="40" w:line="252" w:lineRule="auto" w:before="0"/>
            </w:pPr>
            <w:r>
              <w:rPr>
                <w:color w:val="1A1A1A"/>
                <w:sz w:val="13"/>
              </w:rPr>
              <w:t>A.6</w:t>
            </w:r>
          </w:p>
        </w:tc>
        <w:tc>
          <w:tcPr>
            <w:tcW w:type="dxa" w:w="2400"/>
            <w:vAlign w:val="center"/>
          </w:tcPr>
          <w:p>
            <w:pPr>
              <w:spacing w:after="40" w:line="252" w:lineRule="auto" w:before="0"/>
            </w:pPr>
            <w:r>
              <w:rPr>
                <w:color w:val="1A1A1A"/>
                <w:sz w:val="13"/>
              </w:rPr>
              <w:t>AI system life cycle</w:t>
            </w:r>
          </w:p>
        </w:tc>
        <w:tc>
          <w:tcPr>
            <w:tcW w:type="dxa" w:w="900"/>
            <w:vAlign w:val="center"/>
          </w:tcPr>
          <w:p>
            <w:pPr>
              <w:spacing w:after="40" w:line="252" w:lineRule="auto" w:before="0"/>
            </w:pPr>
            <w:r>
              <w:rPr>
                <w:color w:val="1A1A1A"/>
                <w:sz w:val="13"/>
              </w:rPr>
              <w:t>9</w:t>
            </w:r>
          </w:p>
        </w:tc>
        <w:tc>
          <w:tcPr>
            <w:tcW w:type="dxa" w:w="5160"/>
            <w:vAlign w:val="center"/>
          </w:tcPr>
          <w:p>
            <w:pPr>
              <w:spacing w:after="40" w:line="252" w:lineRule="auto" w:before="0"/>
            </w:pPr>
            <w:r>
              <w:rPr>
                <w:color w:val="1A1A1A"/>
                <w:sz w:val="13"/>
              </w:rPr>
              <w:t>Responsible-development objectives and processes, requirements, design records, V&amp;V, deployment, operation, technical documentation, and logs.</w:t>
            </w:r>
          </w:p>
        </w:tc>
      </w:tr>
      <w:tr>
        <w:trPr>
          <w:cantSplit/>
        </w:trPr>
        <w:tc>
          <w:tcPr>
            <w:tcW w:type="dxa" w:w="900"/>
            <w:shd w:fill="F7F9FB"/>
            <w:vAlign w:val="center"/>
          </w:tcPr>
          <w:p>
            <w:pPr>
              <w:spacing w:after="40" w:line="252" w:lineRule="auto" w:before="0"/>
            </w:pPr>
            <w:r>
              <w:rPr>
                <w:color w:val="1A1A1A"/>
                <w:sz w:val="13"/>
              </w:rPr>
              <w:t>A.7</w:t>
            </w:r>
          </w:p>
        </w:tc>
        <w:tc>
          <w:tcPr>
            <w:tcW w:type="dxa" w:w="2400"/>
            <w:shd w:fill="F7F9FB"/>
            <w:vAlign w:val="center"/>
          </w:tcPr>
          <w:p>
            <w:pPr>
              <w:spacing w:after="40" w:line="252" w:lineRule="auto" w:before="0"/>
            </w:pPr>
            <w:r>
              <w:rPr>
                <w:color w:val="1A1A1A"/>
                <w:sz w:val="13"/>
              </w:rPr>
              <w:t>Data for AI systems</w:t>
            </w:r>
          </w:p>
        </w:tc>
        <w:tc>
          <w:tcPr>
            <w:tcW w:type="dxa" w:w="900"/>
            <w:shd w:fill="F7F9FB"/>
            <w:vAlign w:val="center"/>
          </w:tcPr>
          <w:p>
            <w:pPr>
              <w:spacing w:after="40" w:line="252" w:lineRule="auto" w:before="0"/>
            </w:pPr>
            <w:r>
              <w:rPr>
                <w:color w:val="1A1A1A"/>
                <w:sz w:val="13"/>
              </w:rPr>
              <w:t>5</w:t>
            </w:r>
          </w:p>
        </w:tc>
        <w:tc>
          <w:tcPr>
            <w:tcW w:type="dxa" w:w="5160"/>
            <w:shd w:fill="F7F9FB"/>
            <w:vAlign w:val="center"/>
          </w:tcPr>
          <w:p>
            <w:pPr>
              <w:spacing w:after="40" w:line="252" w:lineRule="auto" w:before="0"/>
            </w:pPr>
            <w:r>
              <w:rPr>
                <w:color w:val="1A1A1A"/>
                <w:sz w:val="13"/>
              </w:rPr>
              <w:t>Data management, acquisition, quality, provenance, and preparation.</w:t>
            </w:r>
          </w:p>
        </w:tc>
      </w:tr>
      <w:tr>
        <w:trPr>
          <w:cantSplit/>
        </w:trPr>
        <w:tc>
          <w:tcPr>
            <w:tcW w:type="dxa" w:w="900"/>
            <w:vAlign w:val="center"/>
          </w:tcPr>
          <w:p>
            <w:pPr>
              <w:spacing w:after="40" w:line="252" w:lineRule="auto" w:before="0"/>
            </w:pPr>
            <w:r>
              <w:rPr>
                <w:color w:val="1A1A1A"/>
                <w:sz w:val="13"/>
              </w:rPr>
              <w:t>A.8</w:t>
            </w:r>
          </w:p>
        </w:tc>
        <w:tc>
          <w:tcPr>
            <w:tcW w:type="dxa" w:w="2400"/>
            <w:vAlign w:val="center"/>
          </w:tcPr>
          <w:p>
            <w:pPr>
              <w:spacing w:after="40" w:line="252" w:lineRule="auto" w:before="0"/>
            </w:pPr>
            <w:r>
              <w:rPr>
                <w:color w:val="1A1A1A"/>
                <w:sz w:val="13"/>
              </w:rPr>
              <w:t>Information for interested parties</w:t>
            </w:r>
          </w:p>
        </w:tc>
        <w:tc>
          <w:tcPr>
            <w:tcW w:type="dxa" w:w="900"/>
            <w:vAlign w:val="center"/>
          </w:tcPr>
          <w:p>
            <w:pPr>
              <w:spacing w:after="40" w:line="252" w:lineRule="auto" w:before="0"/>
            </w:pPr>
            <w:r>
              <w:rPr>
                <w:color w:val="1A1A1A"/>
                <w:sz w:val="13"/>
              </w:rPr>
              <w:t>4</w:t>
            </w:r>
          </w:p>
        </w:tc>
        <w:tc>
          <w:tcPr>
            <w:tcW w:type="dxa" w:w="5160"/>
            <w:vAlign w:val="center"/>
          </w:tcPr>
          <w:p>
            <w:pPr>
              <w:spacing w:after="40" w:line="252" w:lineRule="auto" w:before="0"/>
            </w:pPr>
            <w:r>
              <w:rPr>
                <w:color w:val="1A1A1A"/>
                <w:sz w:val="13"/>
              </w:rPr>
              <w:t>User information, external reporting, incident communication, and other stakeholder information.</w:t>
            </w:r>
          </w:p>
        </w:tc>
      </w:tr>
      <w:tr>
        <w:trPr>
          <w:cantSplit/>
        </w:trPr>
        <w:tc>
          <w:tcPr>
            <w:tcW w:type="dxa" w:w="900"/>
            <w:shd w:fill="F7F9FB"/>
            <w:vAlign w:val="center"/>
          </w:tcPr>
          <w:p>
            <w:pPr>
              <w:spacing w:after="40" w:line="252" w:lineRule="auto" w:before="0"/>
            </w:pPr>
            <w:r>
              <w:rPr>
                <w:color w:val="1A1A1A"/>
                <w:sz w:val="13"/>
              </w:rPr>
              <w:t>A.9</w:t>
            </w:r>
          </w:p>
        </w:tc>
        <w:tc>
          <w:tcPr>
            <w:tcW w:type="dxa" w:w="2400"/>
            <w:shd w:fill="F7F9FB"/>
            <w:vAlign w:val="center"/>
          </w:tcPr>
          <w:p>
            <w:pPr>
              <w:spacing w:after="40" w:line="252" w:lineRule="auto" w:before="0"/>
            </w:pPr>
            <w:r>
              <w:rPr>
                <w:color w:val="1A1A1A"/>
                <w:sz w:val="13"/>
              </w:rPr>
              <w:t>Use of AI systems</w:t>
            </w:r>
          </w:p>
        </w:tc>
        <w:tc>
          <w:tcPr>
            <w:tcW w:type="dxa" w:w="900"/>
            <w:shd w:fill="F7F9FB"/>
            <w:vAlign w:val="center"/>
          </w:tcPr>
          <w:p>
            <w:pPr>
              <w:spacing w:after="40" w:line="252" w:lineRule="auto" w:before="0"/>
            </w:pPr>
            <w:r>
              <w:rPr>
                <w:color w:val="1A1A1A"/>
                <w:sz w:val="13"/>
              </w:rPr>
              <w:t>3</w:t>
            </w:r>
          </w:p>
        </w:tc>
        <w:tc>
          <w:tcPr>
            <w:tcW w:type="dxa" w:w="5160"/>
            <w:shd w:fill="F7F9FB"/>
            <w:vAlign w:val="center"/>
          </w:tcPr>
          <w:p>
            <w:pPr>
              <w:spacing w:after="40" w:line="252" w:lineRule="auto" w:before="0"/>
            </w:pPr>
            <w:r>
              <w:rPr>
                <w:color w:val="1A1A1A"/>
                <w:sz w:val="13"/>
              </w:rPr>
              <w:t>Responsible-use process and objectives plus adherence to intended use.</w:t>
            </w:r>
          </w:p>
        </w:tc>
      </w:tr>
      <w:tr>
        <w:trPr>
          <w:cantSplit/>
        </w:trPr>
        <w:tc>
          <w:tcPr>
            <w:tcW w:type="dxa" w:w="900"/>
            <w:vAlign w:val="center"/>
          </w:tcPr>
          <w:p>
            <w:pPr>
              <w:spacing w:after="40" w:line="252" w:lineRule="auto" w:before="0"/>
            </w:pPr>
            <w:r>
              <w:rPr>
                <w:color w:val="1A1A1A"/>
                <w:sz w:val="13"/>
              </w:rPr>
              <w:t>A.10</w:t>
            </w:r>
          </w:p>
        </w:tc>
        <w:tc>
          <w:tcPr>
            <w:tcW w:type="dxa" w:w="2400"/>
            <w:vAlign w:val="center"/>
          </w:tcPr>
          <w:p>
            <w:pPr>
              <w:spacing w:after="40" w:line="252" w:lineRule="auto" w:before="0"/>
            </w:pPr>
            <w:r>
              <w:rPr>
                <w:color w:val="1A1A1A"/>
                <w:sz w:val="13"/>
              </w:rPr>
              <w:t>Third-party and customer relationships</w:t>
            </w:r>
          </w:p>
        </w:tc>
        <w:tc>
          <w:tcPr>
            <w:tcW w:type="dxa" w:w="900"/>
            <w:vAlign w:val="center"/>
          </w:tcPr>
          <w:p>
            <w:pPr>
              <w:spacing w:after="40" w:line="252" w:lineRule="auto" w:before="0"/>
            </w:pPr>
            <w:r>
              <w:rPr>
                <w:color w:val="1A1A1A"/>
                <w:sz w:val="13"/>
              </w:rPr>
              <w:t>3</w:t>
            </w:r>
          </w:p>
        </w:tc>
        <w:tc>
          <w:tcPr>
            <w:tcW w:type="dxa" w:w="5160"/>
            <w:vAlign w:val="center"/>
          </w:tcPr>
          <w:p>
            <w:pPr>
              <w:spacing w:after="40" w:line="252" w:lineRule="auto" w:before="0"/>
            </w:pPr>
            <w:r>
              <w:rPr>
                <w:color w:val="1A1A1A"/>
                <w:sz w:val="13"/>
              </w:rPr>
              <w:t>Responsibility allocation, supplier governance, and customer obligations.</w:t>
            </w:r>
          </w:p>
        </w:tc>
      </w:tr>
    </w:tbl>
    <w:p>
      <w:pPr>
        <w:spacing w:after="0"/>
      </w:pPr>
    </w:p>
    <w:p>
      <w:pPr>
        <w:pStyle w:val="Heading2"/>
        <w:keepNext/>
        <w:jc w:val="left"/>
      </w:pPr>
      <w:r>
        <w:t>20.1 How the annexes work</w:t>
      </w:r>
    </w:p>
    <w:p>
      <w:pPr>
        <w:pStyle w:val="ListBullet"/>
        <w:spacing w:after="60"/>
      </w:pPr>
      <w:r>
        <w:t>Clauses 4–10 contain the certifiable management-system requirements.</w:t>
      </w:r>
    </w:p>
    <w:p>
      <w:pPr>
        <w:pStyle w:val="ListBullet"/>
        <w:spacing w:after="60"/>
      </w:pPr>
      <w:r>
        <w:t>Annex A supplies reference control objectives and controls to consider during risk treatment; it is not a universal checklist.</w:t>
      </w:r>
    </w:p>
    <w:p>
      <w:pPr>
        <w:pStyle w:val="ListBullet"/>
        <w:spacing w:after="60"/>
      </w:pPr>
      <w:r>
        <w:t>Annex B provides implementation guidance for the Annex A controls without adding requirements.</w:t>
      </w:r>
    </w:p>
    <w:p>
      <w:pPr>
        <w:pStyle w:val="ListBullet"/>
        <w:spacing w:after="60"/>
      </w:pPr>
      <w:r>
        <w:t>Annex C offers examples of AI objectives and risk sources that can support planning and assessment.</w:t>
      </w:r>
    </w:p>
    <w:p>
      <w:pPr>
        <w:pStyle w:val="ListBullet"/>
        <w:spacing w:after="60"/>
      </w:pPr>
      <w:r>
        <w:t>Annex D explains how the AIMS can be used across domains and sectors.</w:t>
      </w:r>
    </w:p>
    <w:p>
      <w:pPr>
        <w:pStyle w:val="ListBullet"/>
        <w:spacing w:after="60"/>
      </w:pPr>
      <w:r>
        <w:t>The organization may select additional controls; the SoA explains applicability and implementation.</w:t>
      </w:r>
    </w:p>
    <w:p>
      <w:pPr>
        <w:pStyle w:val="Heading1"/>
        <w:pageBreakBefore/>
        <w:keepNext/>
        <w:jc w:val="left"/>
      </w:pPr>
      <w:r>
        <w:t>21. Annex A.2: Policies Related to AI</w:t>
      </w:r>
    </w:p>
    <w:p>
      <w:pPr>
        <w:spacing w:after="200"/>
      </w:pPr>
      <w:r>
        <w:rPr>
          <w:rFonts w:ascii="Aptos" w:hAnsi="Aptos"/>
          <w:i/>
          <w:color w:val="5B6570"/>
          <w:sz w:val="22"/>
        </w:rPr>
        <w:t>Annex A.2 establishes a coherent AI policy framework that is aligned, approved, communicated, and reviewed.</w:t>
      </w:r>
    </w:p>
    <w:p>
      <w:pPr>
        <w:pStyle w:val="Heading2"/>
        <w:keepNext/>
        <w:jc w:val="left"/>
      </w:pPr>
      <w:r>
        <w:t>21.1 Control implementation</w:t>
      </w:r>
    </w:p>
    <w:p>
      <w:pPr>
        <w:pStyle w:val="ListBullet"/>
        <w:spacing w:after="60"/>
      </w:pPr>
      <w:r>
        <w:t>Create an AI policy appropriate to the organization’s roles, purpose, context, risk, impact, and responsible-AI commitments.</w:t>
      </w:r>
    </w:p>
    <w:p>
      <w:pPr>
        <w:pStyle w:val="ListBullet"/>
        <w:spacing w:after="60"/>
      </w:pPr>
      <w:r>
        <w:t>Align it with security, privacy, data, quality, product, HR, procurement, legal, records, safety, accessibility, incident, and communication policies.</w:t>
      </w:r>
    </w:p>
    <w:p>
      <w:pPr>
        <w:pStyle w:val="ListBullet"/>
        <w:spacing w:after="60"/>
      </w:pPr>
      <w:r>
        <w:t>Resolve contradictions such as an innovation goal that encourages unapproved tools or a retention policy that conflicts with traceability.</w:t>
      </w:r>
    </w:p>
    <w:p>
      <w:pPr>
        <w:pStyle w:val="ListBullet"/>
        <w:spacing w:after="60"/>
      </w:pPr>
      <w:r>
        <w:t>Approve at appropriate management level; communicate to relevant people and parties; connect to objectives, procedures, controls, training, and enforcement.</w:t>
      </w:r>
    </w:p>
    <w:p>
      <w:pPr>
        <w:pStyle w:val="ListBullet"/>
        <w:spacing w:after="60"/>
      </w:pPr>
      <w:r>
        <w:t>Review on schedule and after law, technology, business, scope, incident, audit, complaint, supplier, or material system change.</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F4E78"/>
          </w:tcPr>
          <w:p>
            <w:pPr>
              <w:spacing w:after="40" w:before="0"/>
              <w:jc w:val="left"/>
            </w:pPr>
            <w:r>
              <w:rPr>
                <w:b/>
                <w:sz w:val="15"/>
                <w:color w:val="FFFFFF"/>
              </w:rPr>
              <w:t>Evidence</w:t>
            </w:r>
          </w:p>
        </w:tc>
        <w:tc>
          <w:tcPr>
            <w:tcW w:type="dxa" w:w="7060"/>
            <w:tcMar>
              <w:top w:w="90" w:type="dxa"/>
              <w:start w:w="120" w:type="dxa"/>
              <w:bottom w:w="90" w:type="dxa"/>
              <w:end w:w="120" w:type="dxa"/>
            </w:tcMar>
            <w:vAlign w:val="center"/>
            <w:shd w:fill="1F4E78"/>
          </w:tcPr>
          <w:p>
            <w:pPr>
              <w:spacing w:after="40" w:before="0"/>
              <w:jc w:val="left"/>
            </w:pPr>
            <w:r>
              <w:rPr>
                <w:b/>
                <w:sz w:val="15"/>
                <w:color w:val="FFFFFF"/>
              </w:rPr>
              <w:t>Test</w:t>
            </w:r>
          </w:p>
        </w:tc>
      </w:tr>
      <w:tr>
        <w:trPr>
          <w:cantSplit/>
        </w:trPr>
        <w:tc>
          <w:tcPr>
            <w:tcW w:type="dxa" w:w="2300"/>
            <w:vAlign w:val="center"/>
          </w:tcPr>
          <w:p>
            <w:pPr>
              <w:spacing w:after="40" w:line="252" w:lineRule="auto" w:before="0"/>
            </w:pPr>
            <w:r>
              <w:rPr>
                <w:color w:val="1A1A1A"/>
                <w:sz w:val="15"/>
              </w:rPr>
              <w:t>Approved AI policy</w:t>
            </w:r>
          </w:p>
        </w:tc>
        <w:tc>
          <w:tcPr>
            <w:tcW w:type="dxa" w:w="7060"/>
            <w:vAlign w:val="center"/>
          </w:tcPr>
          <w:p>
            <w:pPr>
              <w:spacing w:after="40" w:line="252" w:lineRule="auto" w:before="0"/>
            </w:pPr>
            <w:r>
              <w:rPr>
                <w:color w:val="1A1A1A"/>
                <w:sz w:val="15"/>
              </w:rPr>
              <w:t>Verify scope, commitments, authority, effective date, availability and owner</w:t>
            </w:r>
          </w:p>
        </w:tc>
      </w:tr>
      <w:tr>
        <w:trPr>
          <w:cantSplit/>
        </w:trPr>
        <w:tc>
          <w:tcPr>
            <w:tcW w:type="dxa" w:w="2300"/>
            <w:shd w:fill="F7F9FB"/>
            <w:vAlign w:val="center"/>
          </w:tcPr>
          <w:p>
            <w:pPr>
              <w:spacing w:after="40" w:line="252" w:lineRule="auto" w:before="0"/>
            </w:pPr>
            <w:r>
              <w:rPr>
                <w:color w:val="1A1A1A"/>
                <w:sz w:val="15"/>
              </w:rPr>
              <w:t>Policy map</w:t>
            </w:r>
          </w:p>
        </w:tc>
        <w:tc>
          <w:tcPr>
            <w:tcW w:type="dxa" w:w="7060"/>
            <w:shd w:fill="F7F9FB"/>
            <w:vAlign w:val="center"/>
          </w:tcPr>
          <w:p>
            <w:pPr>
              <w:spacing w:after="40" w:line="252" w:lineRule="auto" w:before="0"/>
            </w:pPr>
            <w:r>
              <w:rPr>
                <w:color w:val="1A1A1A"/>
                <w:sz w:val="15"/>
              </w:rPr>
              <w:t>Trace AI requirements to related policies and resolved conflicts</w:t>
            </w:r>
          </w:p>
        </w:tc>
      </w:tr>
      <w:tr>
        <w:trPr>
          <w:cantSplit/>
        </w:trPr>
        <w:tc>
          <w:tcPr>
            <w:tcW w:type="dxa" w:w="2300"/>
            <w:vAlign w:val="center"/>
          </w:tcPr>
          <w:p>
            <w:pPr>
              <w:spacing w:after="40" w:line="252" w:lineRule="auto" w:before="0"/>
            </w:pPr>
            <w:r>
              <w:rPr>
                <w:color w:val="1A1A1A"/>
                <w:sz w:val="15"/>
              </w:rPr>
              <w:t>Communication/training</w:t>
            </w:r>
          </w:p>
        </w:tc>
        <w:tc>
          <w:tcPr>
            <w:tcW w:type="dxa" w:w="7060"/>
            <w:vAlign w:val="center"/>
          </w:tcPr>
          <w:p>
            <w:pPr>
              <w:spacing w:after="40" w:line="252" w:lineRule="auto" w:before="0"/>
            </w:pPr>
            <w:r>
              <w:rPr>
                <w:color w:val="1A1A1A"/>
                <w:sz w:val="15"/>
              </w:rPr>
              <w:t>Sample roles; verify understanding and practical workflow</w:t>
            </w:r>
          </w:p>
        </w:tc>
      </w:tr>
      <w:tr>
        <w:trPr>
          <w:cantSplit/>
        </w:trPr>
        <w:tc>
          <w:tcPr>
            <w:tcW w:type="dxa" w:w="2300"/>
            <w:shd w:fill="F7F9FB"/>
            <w:vAlign w:val="center"/>
          </w:tcPr>
          <w:p>
            <w:pPr>
              <w:spacing w:after="40" w:line="252" w:lineRule="auto" w:before="0"/>
            </w:pPr>
            <w:r>
              <w:rPr>
                <w:color w:val="1A1A1A"/>
                <w:sz w:val="15"/>
              </w:rPr>
              <w:t>Review record</w:t>
            </w:r>
          </w:p>
        </w:tc>
        <w:tc>
          <w:tcPr>
            <w:tcW w:type="dxa" w:w="7060"/>
            <w:shd w:fill="F7F9FB"/>
            <w:vAlign w:val="center"/>
          </w:tcPr>
          <w:p>
            <w:pPr>
              <w:spacing w:after="40" w:line="252" w:lineRule="auto" w:before="0"/>
            </w:pPr>
            <w:r>
              <w:rPr>
                <w:color w:val="1A1A1A"/>
                <w:sz w:val="15"/>
              </w:rPr>
              <w:t>Check inputs, changes, decision, approval and follow-through</w:t>
            </w:r>
          </w:p>
        </w:tc>
      </w:tr>
    </w:tbl>
    <w:p>
      <w:pPr>
        <w:spacing w:after="0"/>
      </w:pPr>
    </w:p>
    <w:p>
      <w:pPr>
        <w:pStyle w:val="Heading1"/>
        <w:pageBreakBefore/>
        <w:keepNext/>
        <w:jc w:val="left"/>
      </w:pPr>
      <w:r>
        <w:t>22. Annex A.3: Internal Organization</w:t>
      </w:r>
    </w:p>
    <w:p>
      <w:pPr>
        <w:spacing w:after="200"/>
      </w:pPr>
      <w:r>
        <w:rPr>
          <w:rFonts w:ascii="Aptos" w:hAnsi="Aptos"/>
          <w:i/>
          <w:color w:val="5B6570"/>
          <w:sz w:val="22"/>
        </w:rPr>
        <w:t>Annex A.3 assigns AI responsibilities and creates a protected way to report concerns.</w:t>
      </w:r>
    </w:p>
    <w:p>
      <w:pPr>
        <w:pStyle w:val="Heading2"/>
        <w:keepNext/>
        <w:jc w:val="left"/>
      </w:pPr>
      <w:r>
        <w:t>22.1 Roles and responsibilities</w:t>
      </w:r>
    </w:p>
    <w:p>
      <w:pPr>
        <w:pStyle w:val="ListBullet"/>
        <w:spacing w:after="60"/>
      </w:pPr>
      <w:r>
        <w:t>Define lifecycle and management-system accountability for each AI system and shared service.</w:t>
      </w:r>
    </w:p>
    <w:p>
      <w:pPr>
        <w:pStyle w:val="ListBullet"/>
        <w:spacing w:after="60"/>
      </w:pPr>
      <w:r>
        <w:t>Assign business outcome, AI/model, data, product, security, privacy, legal, impact, human oversight, supplier, incident, audit, and residual-risk roles.</w:t>
      </w:r>
    </w:p>
    <w:p>
      <w:pPr>
        <w:pStyle w:val="ListBullet"/>
        <w:spacing w:after="60"/>
      </w:pPr>
      <w:r>
        <w:t>Define approval and escalation authority, deputies, conflicts, segregation, and emergency decisions.</w:t>
      </w:r>
    </w:p>
    <w:p>
      <w:pPr>
        <w:pStyle w:val="ListBullet"/>
        <w:spacing w:after="60"/>
      </w:pPr>
      <w:r>
        <w:t>Update roles after organization, employment, supplier, system, scope, or risk change; remove access promptly.</w:t>
      </w:r>
    </w:p>
    <w:p>
      <w:pPr>
        <w:pStyle w:val="Heading2"/>
        <w:keepNext/>
        <w:jc w:val="left"/>
      </w:pPr>
      <w:r>
        <w:t>22.2 Reporting concerns</w:t>
      </w:r>
    </w:p>
    <w:p>
      <w:pPr>
        <w:pStyle w:val="ListBullet"/>
        <w:spacing w:after="60"/>
      </w:pPr>
      <w:r>
        <w:t>Provide accessible internal and external channels, confidentiality/anonymity where appropriate, non-retaliation, triage, investigation, protection, escalation, feedback, and records.</w:t>
      </w:r>
    </w:p>
    <w:p>
      <w:pPr>
        <w:pStyle w:val="ListBullet"/>
        <w:spacing w:after="60"/>
      </w:pPr>
      <w:r>
        <w:t>Accept concerns about unsafe use, bias, rights, privacy, security, data, misleading output, hidden AI, supplier behavior, pressure to bypass controls, or retaliation.</w:t>
      </w:r>
    </w:p>
    <w:p>
      <w:pPr>
        <w:pStyle w:val="ListBullet"/>
        <w:spacing w:after="60"/>
      </w:pPr>
      <w:r>
        <w:t>Measure awareness, accessibility, response, recurrence, overdue cases, and corrective action without exposing reporters.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197D86"/>
        </w:rPr>
        <w:t xml:space="preserve">Concern channels are controls: </w:t>
      </w:r>
      <w:r>
        <w:rPr>
          <w:rFonts w:ascii="Aptos" w:hAnsi="Aptos"/>
          <w:color w:val="1A1A1A"/>
        </w:rPr>
        <w:t>A channel is ineffective if people do not know it exists, fear retaliation, cannot report externally affected harm, or never receive evidence that concerns are investigated and corrected.</w:t>
      </w:r>
    </w:p>
    <w:p>
      <w:pPr>
        <w:spacing w:after="0"/>
      </w:pPr>
    </w:p>
    <w:p>
      <w:pPr>
        <w:pStyle w:val="Heading1"/>
        <w:pageBreakBefore/>
        <w:keepNext/>
        <w:jc w:val="left"/>
      </w:pPr>
      <w:r>
        <w:t>23. Annex A.4: Resources for AI Systems</w:t>
      </w:r>
    </w:p>
    <w:p>
      <w:pPr>
        <w:spacing w:after="200"/>
      </w:pPr>
      <w:r>
        <w:t>When Annex A.4 controls are selected through the organization's risk-treatment process and Statement of Applicability, implementation should maintain visibility into the data, tools, systems and computing resources, and people needed across the AI life cycle.</w:t>
      </w:r>
    </w:p>
    <w:tbl>
      <w:tblPr>
        <w:tblStyle w:val="TableGrid"/>
        <w:tblW w:type="dxa" w:w="9360"/>
        <w:tblLayout w:type="fixed"/>
        <w:tblLook w:firstColumn="1" w:firstRow="1" w:lastColumn="0" w:lastRow="0" w:noHBand="0" w:noVBand="1" w:val="04A0"/>
        <w:jc w:val="center"/>
        <w:tblInd w:w="120" w:type="dxa"/>
      </w:tblPr>
      <w:tblGrid>
        <w:gridCol w:w="1800"/>
        <w:gridCol w:w="7560"/>
      </w:tblGrid>
      <w:tr>
        <w:trPr>
          <w:tblHeader w:val="true"/>
          <w:cantSplit/>
        </w:trPr>
        <w:tc>
          <w:tcPr>
            <w:tcW w:type="dxa" w:w="1800"/>
            <w:tcMar>
              <w:top w:w="90" w:type="dxa"/>
              <w:start w:w="120" w:type="dxa"/>
              <w:bottom w:w="90" w:type="dxa"/>
              <w:end w:w="120" w:type="dxa"/>
            </w:tcMar>
            <w:vAlign w:val="center"/>
            <w:shd w:fill="1F4E78"/>
          </w:tcPr>
          <w:p>
            <w:pPr>
              <w:spacing w:after="40" w:before="0"/>
              <w:jc w:val="left"/>
            </w:pPr>
            <w:r>
              <w:rPr>
                <w:b/>
                <w:sz w:val="14"/>
                <w:color w:val="FFFFFF"/>
              </w:rPr>
              <w:t>Resource record</w:t>
            </w:r>
          </w:p>
        </w:tc>
        <w:tc>
          <w:tcPr>
            <w:tcW w:type="dxa" w:w="7560"/>
            <w:tcMar>
              <w:top w:w="90" w:type="dxa"/>
              <w:start w:w="120" w:type="dxa"/>
              <w:bottom w:w="90" w:type="dxa"/>
              <w:end w:w="120" w:type="dxa"/>
            </w:tcMar>
            <w:vAlign w:val="center"/>
            <w:shd w:fill="1F4E78"/>
          </w:tcPr>
          <w:p>
            <w:pPr>
              <w:spacing w:after="40" w:before="0"/>
              <w:jc w:val="left"/>
            </w:pPr>
            <w:r>
              <w:rPr>
                <w:b/>
                <w:sz w:val="14"/>
                <w:color w:val="FFFFFF"/>
              </w:rPr>
              <w:t>Details</w:t>
            </w:r>
          </w:p>
        </w:tc>
      </w:tr>
      <w:tr>
        <w:trPr>
          <w:cantSplit/>
        </w:trPr>
        <w:tc>
          <w:tcPr>
            <w:tcW w:type="dxa" w:w="1800"/>
            <w:vAlign w:val="center"/>
          </w:tcPr>
          <w:p>
            <w:pPr>
              <w:spacing w:after="40" w:line="252" w:lineRule="auto" w:before="0"/>
            </w:pPr>
            <w:r>
              <w:rPr>
                <w:color w:val="1A1A1A"/>
                <w:sz w:val="14"/>
              </w:rPr>
              <w:t>Data</w:t>
            </w:r>
          </w:p>
        </w:tc>
        <w:tc>
          <w:tcPr>
            <w:tcW w:type="dxa" w:w="7560"/>
            <w:vAlign w:val="center"/>
          </w:tcPr>
          <w:p>
            <w:pPr>
              <w:spacing w:after="40" w:line="252" w:lineRule="auto" w:before="0"/>
            </w:pPr>
            <w:r>
              <w:rPr>
                <w:color w:val="1A1A1A"/>
                <w:sz w:val="14"/>
              </w:rPr>
              <w:t>Source, owner, purpose, rights, sensitivity, people, quality, bias, version, lineage, retention, location</w:t>
            </w:r>
          </w:p>
        </w:tc>
      </w:tr>
      <w:tr>
        <w:trPr>
          <w:cantSplit/>
        </w:trPr>
        <w:tc>
          <w:tcPr>
            <w:tcW w:type="dxa" w:w="1800"/>
            <w:shd w:fill="F7F9FB"/>
            <w:vAlign w:val="center"/>
          </w:tcPr>
          <w:p>
            <w:pPr>
              <w:spacing w:after="40" w:line="252" w:lineRule="auto" w:before="0"/>
            </w:pPr>
            <w:r>
              <w:rPr>
                <w:color w:val="1A1A1A"/>
                <w:sz w:val="14"/>
              </w:rPr>
              <w:t>Tooling</w:t>
            </w:r>
          </w:p>
        </w:tc>
        <w:tc>
          <w:tcPr>
            <w:tcW w:type="dxa" w:w="7560"/>
            <w:shd w:fill="F7F9FB"/>
            <w:vAlign w:val="center"/>
          </w:tcPr>
          <w:p>
            <w:pPr>
              <w:spacing w:after="40" w:line="252" w:lineRule="auto" w:before="0"/>
            </w:pPr>
            <w:r>
              <w:rPr>
                <w:color w:val="1A1A1A"/>
                <w:sz w:val="14"/>
              </w:rPr>
              <w:t>Algorithms, frameworks, packages, models, prompts, evaluation, annotation, orchestration, versions, support</w:t>
            </w:r>
          </w:p>
        </w:tc>
      </w:tr>
      <w:tr>
        <w:trPr>
          <w:cantSplit/>
        </w:trPr>
        <w:tc>
          <w:tcPr>
            <w:tcW w:type="dxa" w:w="1800"/>
            <w:vAlign w:val="center"/>
          </w:tcPr>
          <w:p>
            <w:pPr>
              <w:spacing w:after="40" w:line="252" w:lineRule="auto" w:before="0"/>
            </w:pPr>
            <w:r>
              <w:rPr>
                <w:color w:val="1A1A1A"/>
                <w:sz w:val="14"/>
              </w:rPr>
              <w:t>System/compute</w:t>
            </w:r>
          </w:p>
        </w:tc>
        <w:tc>
          <w:tcPr>
            <w:tcW w:type="dxa" w:w="7560"/>
            <w:vAlign w:val="center"/>
          </w:tcPr>
          <w:p>
            <w:pPr>
              <w:spacing w:after="40" w:line="252" w:lineRule="auto" w:before="0"/>
            </w:pPr>
            <w:r>
              <w:rPr>
                <w:color w:val="1A1A1A"/>
                <w:sz w:val="14"/>
              </w:rPr>
              <w:t>Cloud/on-prem/edge, accounts, environments, storage, network, GPUs, capacity, resilience, energy/environment</w:t>
            </w:r>
          </w:p>
        </w:tc>
      </w:tr>
      <w:tr>
        <w:trPr>
          <w:cantSplit/>
        </w:trPr>
        <w:tc>
          <w:tcPr>
            <w:tcW w:type="dxa" w:w="1800"/>
            <w:shd w:fill="F7F9FB"/>
            <w:vAlign w:val="center"/>
          </w:tcPr>
          <w:p>
            <w:pPr>
              <w:spacing w:after="40" w:line="252" w:lineRule="auto" w:before="0"/>
            </w:pPr>
            <w:r>
              <w:rPr>
                <w:color w:val="1A1A1A"/>
                <w:sz w:val="14"/>
              </w:rPr>
              <w:t>Human</w:t>
            </w:r>
          </w:p>
        </w:tc>
        <w:tc>
          <w:tcPr>
            <w:tcW w:type="dxa" w:w="7560"/>
            <w:shd w:fill="F7F9FB"/>
            <w:vAlign w:val="center"/>
          </w:tcPr>
          <w:p>
            <w:pPr>
              <w:spacing w:after="40" w:line="252" w:lineRule="auto" w:before="0"/>
            </w:pPr>
            <w:r>
              <w:rPr>
                <w:color w:val="1A1A1A"/>
                <w:sz w:val="14"/>
              </w:rPr>
              <w:t>Role, organization/supplier, competence, independence, access, workload, decision authority</w:t>
            </w:r>
          </w:p>
        </w:tc>
      </w:tr>
      <w:tr>
        <w:trPr>
          <w:cantSplit/>
        </w:trPr>
        <w:tc>
          <w:tcPr>
            <w:tcW w:type="dxa" w:w="1800"/>
            <w:vAlign w:val="center"/>
          </w:tcPr>
          <w:p>
            <w:pPr>
              <w:spacing w:after="40" w:line="252" w:lineRule="auto" w:before="0"/>
            </w:pPr>
            <w:r>
              <w:rPr>
                <w:color w:val="1A1A1A"/>
                <w:sz w:val="14"/>
              </w:rPr>
              <w:t>Dependencies</w:t>
            </w:r>
          </w:p>
        </w:tc>
        <w:tc>
          <w:tcPr>
            <w:tcW w:type="dxa" w:w="7560"/>
            <w:vAlign w:val="center"/>
          </w:tcPr>
          <w:p>
            <w:pPr>
              <w:spacing w:after="40" w:line="252" w:lineRule="auto" w:before="0"/>
            </w:pPr>
            <w:r>
              <w:rPr>
                <w:color w:val="1A1A1A"/>
                <w:sz w:val="14"/>
              </w:rPr>
              <w:t>Provider, subprocessor, API, identity, monitoring, content filter, vector store, business process</w:t>
            </w:r>
          </w:p>
        </w:tc>
      </w:tr>
    </w:tbl>
    <w:p>
      <w:pPr>
        <w:spacing w:after="0"/>
      </w:pPr>
    </w:p>
    <w:p>
      <w:pPr>
        <w:pStyle w:val="Heading2"/>
        <w:keepNext/>
        <w:jc w:val="left"/>
      </w:pPr>
      <w:r>
        <w:t>23.1 Resource documentation workflow</w:t>
      </w:r>
    </w:p>
    <w:p>
      <w:pPr>
        <w:pStyle w:val="ListBullet"/>
        <w:spacing w:after="60"/>
      </w:pPr>
      <w:r>
        <w:t>Connect resources to exact AI systems, lifecycle stages, owners, risk/impact assessments, supplier records, versions, and change history.</w:t>
      </w:r>
    </w:p>
    <w:p>
      <w:pPr>
        <w:pStyle w:val="ListBullet"/>
        <w:spacing w:after="60"/>
      </w:pPr>
      <w:r>
        <w:t>Reconcile resource inventories to code, model registries, data catalogs, cloud/API billing, identity, network, procurement, and interviews.</w:t>
      </w:r>
    </w:p>
    <w:p>
      <w:pPr>
        <w:pStyle w:val="ListBullet"/>
        <w:spacing w:after="60"/>
      </w:pPr>
      <w:r>
        <w:t>Identify unapproved/shadow resources, unsupported components, missing competence, capacity limits, common dependencies, and environmental effects.</w:t>
      </w:r>
    </w:p>
    <w:p>
      <w:pPr>
        <w:pStyle w:val="ListBullet"/>
        <w:spacing w:after="60"/>
      </w:pPr>
      <w:r>
        <w:t>Use the record for reproducibility, incident response, change assessment, recovery, supplier exit, and retirement.</w:t>
      </w:r>
    </w:p>
    <w:p>
      <w:pPr>
        <w:pStyle w:val="Heading1"/>
        <w:pageBreakBefore/>
        <w:keepNext/>
        <w:jc w:val="left"/>
      </w:pPr>
      <w:r>
        <w:t>24. Annex A.5 and ISO/IEC 42005: AI System Impact Assessment</w:t>
      </w:r>
    </w:p>
    <w:p>
      <w:pPr>
        <w:spacing w:after="200"/>
      </w:pPr>
      <w:r>
        <w:rPr>
          <w:rFonts w:ascii="Aptos" w:hAnsi="Aptos"/>
          <w:i/>
          <w:color w:val="5B6570"/>
          <w:sz w:val="22"/>
        </w:rPr>
        <w:t>Annex A.5 operationalizes impact assessment; ISO/IEC 42005:2025 supplies complementary current guidance.</w:t>
      </w:r>
    </w:p>
    <w:p>
      <w:pPr>
        <w:pStyle w:val="Heading2"/>
        <w:keepNext/>
        <w:jc w:val="left"/>
      </w:pPr>
      <w:r>
        <w:t>24.1 Four control outcomes</w:t>
      </w:r>
    </w:p>
    <w:p>
      <w:pPr>
        <w:pStyle w:val="ListBullet"/>
        <w:spacing w:after="60"/>
      </w:pPr>
      <w:r>
        <w:t>A defined, repeatable AI system impact-assessment process with triggers, roles, methods, lifecycle integration, approval, and review.</w:t>
      </w:r>
    </w:p>
    <w:p>
      <w:pPr>
        <w:pStyle w:val="ListBullet"/>
        <w:spacing w:after="60"/>
      </w:pPr>
      <w:r>
        <w:t>Controlled documentation of assessments, assumptions, evidence, affected parties, impacts, mitigations, decisions, and changes.</w:t>
      </w:r>
    </w:p>
    <w:p>
      <w:pPr>
        <w:pStyle w:val="ListBullet"/>
        <w:spacing w:after="60"/>
      </w:pPr>
      <w:r>
        <w:t>Specific evaluation of impacts on individuals and groups, including fairness, rights, privacy, safety, health, accessibility, financial/employment effects, vulnerable people, human oversight, and redress as relevant.</w:t>
      </w:r>
    </w:p>
    <w:p>
      <w:pPr>
        <w:pStyle w:val="ListBullet"/>
        <w:spacing w:after="60"/>
      </w:pPr>
      <w:r>
        <w:t>Evaluation of broader societal effects such as public safety, environment, economy, culture, democratic processes, misinformation, labor, market concentration, and deliberate misuse as relevant.</w:t>
      </w:r>
    </w:p>
    <w:p>
      <w:pPr>
        <w:pStyle w:val="Heading2"/>
        <w:keepNext/>
        <w:jc w:val="left"/>
      </w:pPr>
      <w:r>
        <w:t>24.2 Assessment quality checks</w:t>
      </w:r>
    </w:p>
    <w:p>
      <w:pPr>
        <w:pStyle w:val="ListBullet"/>
        <w:spacing w:after="60"/>
      </w:pPr>
      <w:r>
        <w:t>Affected people/groups are identified beyond direct users and customers.</w:t>
      </w:r>
    </w:p>
    <w:p>
      <w:pPr>
        <w:pStyle w:val="ListBullet"/>
        <w:spacing w:after="60"/>
      </w:pPr>
      <w:r>
        <w:t>Benefits and harms are both evaluated, including distribution and alternatives.</w:t>
      </w:r>
    </w:p>
    <w:p>
      <w:pPr>
        <w:pStyle w:val="ListBullet"/>
        <w:spacing w:after="60"/>
      </w:pPr>
      <w:r>
        <w:t>The method considers scale, duration, reversibility, cumulative and indirect effects, uncertainty, and foreseeable misuse.</w:t>
      </w:r>
    </w:p>
    <w:p>
      <w:pPr>
        <w:pStyle w:val="ListBullet"/>
        <w:spacing w:after="60"/>
      </w:pPr>
      <w:r>
        <w:t>Stakeholder engagement is meaningful, accessible, documented, and protected.</w:t>
      </w:r>
    </w:p>
    <w:p>
      <w:pPr>
        <w:pStyle w:val="ListBullet"/>
        <w:spacing w:after="60"/>
      </w:pPr>
      <w:r>
        <w:t>Mitigations become owned requirements, tests, notices, oversight, monitoring, redress, and stop criteria.</w:t>
      </w:r>
    </w:p>
    <w:p>
      <w:pPr>
        <w:pStyle w:val="ListBullet"/>
        <w:spacing w:after="60"/>
      </w:pPr>
      <w:r>
        <w:t>Assessment version matches the deployed system/use and is updated after material change.</w:t>
      </w:r>
    </w:p>
    <w:p>
      <w:pPr>
        <w:pStyle w:val="Heading1"/>
        <w:pageBreakBefore/>
        <w:keepNext/>
        <w:jc w:val="left"/>
      </w:pPr>
      <w:r>
        <w:t>25. Annex A.6: AI System Life Cycle</w:t>
      </w:r>
    </w:p>
    <w:p>
      <w:pPr>
        <w:spacing w:after="200"/>
      </w:pPr>
      <w:r>
        <w:rPr>
          <w:rFonts w:ascii="Aptos" w:hAnsi="Aptos"/>
          <w:i/>
          <w:color w:val="5B6570"/>
          <w:sz w:val="22"/>
        </w:rPr>
        <w:t>Annex A.6 connects responsible-development objectives to requirements, design, testing, deployment, operation, documentation, and event logging.</w:t>
      </w:r>
    </w:p>
    <w:p>
      <w:pPr>
        <w:keepNext/>
        <w:jc w:val="center"/>
      </w:pPr>
      <w:r>
        <w:drawing>
          <wp:inline xmlns:a="http://schemas.openxmlformats.org/drawingml/2006/main" xmlns:pic="http://schemas.openxmlformats.org/drawingml/2006/picture">
            <wp:extent cx="5623560" cy="2956017"/>
            <wp:docPr id="6" name="Manual 02 Figure 6" descr="Every gate should produce traceable evidence and an accountable decision." title="Figure 6"/>
            <wp:cNvGraphicFramePr>
              <a:graphicFrameLocks noChangeAspect="1"/>
            </wp:cNvGraphicFramePr>
            <a:graphic>
              <a:graphicData uri="http://schemas.openxmlformats.org/drawingml/2006/picture">
                <pic:pic>
                  <pic:nvPicPr>
                    <pic:cNvPr id="0" name="lifecycle.png"/>
                    <pic:cNvPicPr/>
                  </pic:nvPicPr>
                  <pic:blipFill>
                    <a:blip r:embed="rId18"/>
                    <a:stretch>
                      <a:fillRect/>
                    </a:stretch>
                  </pic:blipFill>
                  <pic:spPr>
                    <a:xfrm>
                      <a:off x="0" y="0"/>
                      <a:ext cx="5623560" cy="2956017"/>
                    </a:xfrm>
                    <a:prstGeom prst="rect"/>
                  </pic:spPr>
                </pic:pic>
              </a:graphicData>
            </a:graphic>
          </wp:inline>
        </w:drawing>
      </w:r>
    </w:p>
    <w:p>
      <w:pPr>
        <w:pStyle w:val="Caption"/>
        <w:spacing w:after="180"/>
        <w:jc w:val="center"/>
        <w:keepNext/>
      </w:pPr>
      <w:r>
        <w:t>Figure 6. Responsible AI system life cycle</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F4E78"/>
          </w:tcPr>
          <w:p>
            <w:pPr>
              <w:spacing w:after="40" w:before="0"/>
              <w:jc w:val="left"/>
            </w:pPr>
            <w:r>
              <w:rPr>
                <w:b/>
                <w:sz w:val="14"/>
                <w:color w:val="FFFFFF"/>
              </w:rPr>
              <w:t>Life-cycle area</w:t>
            </w:r>
          </w:p>
        </w:tc>
        <w:tc>
          <w:tcPr>
            <w:tcW w:type="dxa" w:w="7160"/>
            <w:tcMar>
              <w:top w:w="90" w:type="dxa"/>
              <w:start w:w="120" w:type="dxa"/>
              <w:bottom w:w="90" w:type="dxa"/>
              <w:end w:w="120" w:type="dxa"/>
            </w:tcMar>
            <w:vAlign w:val="center"/>
            <w:shd w:fill="1F4E78"/>
          </w:tcPr>
          <w:p>
            <w:pPr>
              <w:spacing w:after="40" w:before="0"/>
              <w:jc w:val="left"/>
            </w:pPr>
            <w:r>
              <w:rPr>
                <w:b/>
                <w:sz w:val="14"/>
                <w:color w:val="FFFFFF"/>
              </w:rPr>
              <w:t>Implementation evidence</w:t>
            </w:r>
          </w:p>
        </w:tc>
      </w:tr>
      <w:tr>
        <w:trPr>
          <w:cantSplit/>
        </w:trPr>
        <w:tc>
          <w:tcPr>
            <w:tcW w:type="dxa" w:w="2200"/>
            <w:vAlign w:val="center"/>
          </w:tcPr>
          <w:p>
            <w:pPr>
              <w:spacing w:after="40" w:line="252" w:lineRule="auto" w:before="0"/>
            </w:pPr>
            <w:r>
              <w:rPr>
                <w:color w:val="1A1A1A"/>
                <w:sz w:val="14"/>
              </w:rPr>
              <w:t>Responsible objectives/process</w:t>
            </w:r>
          </w:p>
        </w:tc>
        <w:tc>
          <w:tcPr>
            <w:tcW w:type="dxa" w:w="7160"/>
            <w:vAlign w:val="center"/>
          </w:tcPr>
          <w:p>
            <w:pPr>
              <w:spacing w:after="40" w:line="252" w:lineRule="auto" w:before="0"/>
            </w:pPr>
            <w:r>
              <w:rPr>
                <w:color w:val="1A1A1A"/>
                <w:sz w:val="14"/>
              </w:rPr>
              <w:t>Fairness, safety, privacy, transparency, security, robustness and other relevant measurable goals; lifecycle procedure</w:t>
            </w:r>
          </w:p>
        </w:tc>
      </w:tr>
      <w:tr>
        <w:trPr>
          <w:cantSplit/>
        </w:trPr>
        <w:tc>
          <w:tcPr>
            <w:tcW w:type="dxa" w:w="2200"/>
            <w:shd w:fill="F7F9FB"/>
            <w:vAlign w:val="center"/>
          </w:tcPr>
          <w:p>
            <w:pPr>
              <w:spacing w:after="40" w:line="252" w:lineRule="auto" w:before="0"/>
            </w:pPr>
            <w:r>
              <w:rPr>
                <w:color w:val="1A1A1A"/>
                <w:sz w:val="14"/>
              </w:rPr>
              <w:t>Requirements/specification</w:t>
            </w:r>
          </w:p>
        </w:tc>
        <w:tc>
          <w:tcPr>
            <w:tcW w:type="dxa" w:w="7160"/>
            <w:shd w:fill="F7F9FB"/>
            <w:vAlign w:val="center"/>
          </w:tcPr>
          <w:p>
            <w:pPr>
              <w:spacing w:after="40" w:line="252" w:lineRule="auto" w:before="0"/>
            </w:pPr>
            <w:r>
              <w:rPr>
                <w:color w:val="1A1A1A"/>
                <w:sz w:val="14"/>
              </w:rPr>
              <w:t>Purpose, functional and nonfunctional criteria, affected people, data, model, human oversight, limits, obligations</w:t>
            </w:r>
          </w:p>
        </w:tc>
      </w:tr>
      <w:tr>
        <w:trPr>
          <w:cantSplit/>
        </w:trPr>
        <w:tc>
          <w:tcPr>
            <w:tcW w:type="dxa" w:w="2200"/>
            <w:vAlign w:val="center"/>
          </w:tcPr>
          <w:p>
            <w:pPr>
              <w:spacing w:after="40" w:line="252" w:lineRule="auto" w:before="0"/>
            </w:pPr>
            <w:r>
              <w:rPr>
                <w:color w:val="1A1A1A"/>
                <w:sz w:val="14"/>
              </w:rPr>
              <w:t>Design/development records</w:t>
            </w:r>
          </w:p>
        </w:tc>
        <w:tc>
          <w:tcPr>
            <w:tcW w:type="dxa" w:w="7160"/>
            <w:vAlign w:val="center"/>
          </w:tcPr>
          <w:p>
            <w:pPr>
              <w:spacing w:after="40" w:line="252" w:lineRule="auto" w:before="0"/>
            </w:pPr>
            <w:r>
              <w:rPr>
                <w:color w:val="1A1A1A"/>
                <w:sz w:val="14"/>
              </w:rPr>
              <w:t>Architecture, decisions, alternatives, assumptions, components, threats, interfaces, provenance, reviews</w:t>
            </w:r>
          </w:p>
        </w:tc>
      </w:tr>
      <w:tr>
        <w:trPr>
          <w:cantSplit/>
        </w:trPr>
        <w:tc>
          <w:tcPr>
            <w:tcW w:type="dxa" w:w="2200"/>
            <w:shd w:fill="F7F9FB"/>
            <w:vAlign w:val="center"/>
          </w:tcPr>
          <w:p>
            <w:pPr>
              <w:spacing w:after="40" w:line="252" w:lineRule="auto" w:before="0"/>
            </w:pPr>
            <w:r>
              <w:rPr>
                <w:color w:val="1A1A1A"/>
                <w:sz w:val="14"/>
              </w:rPr>
              <w:t>Verification/validation</w:t>
            </w:r>
          </w:p>
        </w:tc>
        <w:tc>
          <w:tcPr>
            <w:tcW w:type="dxa" w:w="7160"/>
            <w:shd w:fill="F7F9FB"/>
            <w:vAlign w:val="center"/>
          </w:tcPr>
          <w:p>
            <w:pPr>
              <w:spacing w:after="40" w:line="252" w:lineRule="auto" w:before="0"/>
            </w:pPr>
            <w:r>
              <w:rPr>
                <w:color w:val="1A1A1A"/>
                <w:sz w:val="14"/>
              </w:rPr>
              <w:t>Methods, evaluation data, scorers, thresholds, severe failures, subgroup/edge/adversarial tests, limitations</w:t>
            </w:r>
          </w:p>
        </w:tc>
      </w:tr>
      <w:tr>
        <w:trPr>
          <w:cantSplit/>
        </w:trPr>
        <w:tc>
          <w:tcPr>
            <w:tcW w:type="dxa" w:w="2200"/>
            <w:vAlign w:val="center"/>
          </w:tcPr>
          <w:p>
            <w:pPr>
              <w:spacing w:after="40" w:line="252" w:lineRule="auto" w:before="0"/>
            </w:pPr>
            <w:r>
              <w:rPr>
                <w:color w:val="1A1A1A"/>
                <w:sz w:val="14"/>
              </w:rPr>
              <w:t>Deployment</w:t>
            </w:r>
          </w:p>
        </w:tc>
        <w:tc>
          <w:tcPr>
            <w:tcW w:type="dxa" w:w="7160"/>
            <w:vAlign w:val="center"/>
          </w:tcPr>
          <w:p>
            <w:pPr>
              <w:spacing w:after="40" w:line="252" w:lineRule="auto" w:before="0"/>
            </w:pPr>
            <w:r>
              <w:rPr>
                <w:color w:val="1A1A1A"/>
                <w:sz w:val="14"/>
              </w:rPr>
              <w:t>Release approval, environment, configuration, user information, migration, monitoring, rollback</w:t>
            </w:r>
          </w:p>
        </w:tc>
      </w:tr>
      <w:tr>
        <w:trPr>
          <w:cantSplit/>
        </w:trPr>
        <w:tc>
          <w:tcPr>
            <w:tcW w:type="dxa" w:w="2200"/>
            <w:shd w:fill="F7F9FB"/>
            <w:vAlign w:val="center"/>
          </w:tcPr>
          <w:p>
            <w:pPr>
              <w:spacing w:after="40" w:line="252" w:lineRule="auto" w:before="0"/>
            </w:pPr>
            <w:r>
              <w:rPr>
                <w:color w:val="1A1A1A"/>
                <w:sz w:val="14"/>
              </w:rPr>
              <w:t>Operation/monitoring</w:t>
            </w:r>
          </w:p>
        </w:tc>
        <w:tc>
          <w:tcPr>
            <w:tcW w:type="dxa" w:w="7160"/>
            <w:shd w:fill="F7F9FB"/>
            <w:vAlign w:val="center"/>
          </w:tcPr>
          <w:p>
            <w:pPr>
              <w:spacing w:after="40" w:line="252" w:lineRule="auto" w:before="0"/>
            </w:pPr>
            <w:r>
              <w:rPr>
                <w:color w:val="1A1A1A"/>
                <w:sz w:val="14"/>
              </w:rPr>
              <w:t>Performance, drift, security, safety, impact, complaints, changes, support, repair, updates</w:t>
            </w:r>
          </w:p>
        </w:tc>
      </w:tr>
      <w:tr>
        <w:trPr>
          <w:cantSplit/>
        </w:trPr>
        <w:tc>
          <w:tcPr>
            <w:tcW w:type="dxa" w:w="2200"/>
            <w:vAlign w:val="center"/>
          </w:tcPr>
          <w:p>
            <w:pPr>
              <w:spacing w:after="40" w:line="252" w:lineRule="auto" w:before="0"/>
            </w:pPr>
            <w:r>
              <w:rPr>
                <w:color w:val="1A1A1A"/>
                <w:sz w:val="14"/>
              </w:rPr>
              <w:t>Technical documentation/logs</w:t>
            </w:r>
          </w:p>
        </w:tc>
        <w:tc>
          <w:tcPr>
            <w:tcW w:type="dxa" w:w="7160"/>
            <w:vAlign w:val="center"/>
          </w:tcPr>
          <w:p>
            <w:pPr>
              <w:spacing w:after="40" w:line="252" w:lineRule="auto" w:before="0"/>
            </w:pPr>
            <w:r>
              <w:rPr>
                <w:color w:val="1A1A1A"/>
                <w:sz w:val="14"/>
              </w:rPr>
              <w:t>Audience-appropriate instructions plus traceable events for audit, incidents, decisions, and improvement</w:t>
            </w:r>
          </w:p>
        </w:tc>
      </w:tr>
    </w:tbl>
    <w:p>
      <w:pPr>
        <w:spacing w:after="0"/>
      </w:pPr>
    </w:p>
    <w:p>
      <w:pPr>
        <w:pStyle w:val="Heading2"/>
        <w:keepNext/>
        <w:jc w:val="left"/>
      </w:pPr>
      <w:r>
        <w:t>25.1 Change and retirement</w:t>
      </w:r>
    </w:p>
    <w:p>
      <w:pPr>
        <w:pStyle w:val="ListBullet"/>
        <w:spacing w:after="60"/>
      </w:pPr>
      <w:r>
        <w:t>Version model, data, prompts, retrieval, tools, code, infrastructure, policies, evaluation, approvals, and monitoring.</w:t>
      </w:r>
    </w:p>
    <w:p>
      <w:pPr>
        <w:pStyle w:val="ListBullet"/>
        <w:spacing w:after="60"/>
      </w:pPr>
      <w:r>
        <w:t>Define material-change triggers and regression scope; deploy gradually with rollback.</w:t>
      </w:r>
    </w:p>
    <w:p>
      <w:pPr>
        <w:pStyle w:val="ListBullet"/>
        <w:spacing w:after="60"/>
      </w:pPr>
      <w:r>
        <w:t>Retire users, identities, integrations, endpoints, models, datasets, indexes, logs, documentation, contracts, and provider copies according to obligations; preserve required records.</w:t>
      </w:r>
    </w:p>
    <w:p>
      <w:pPr>
        <w:pStyle w:val="Heading1"/>
        <w:pageBreakBefore/>
        <w:keepNext/>
        <w:jc w:val="left"/>
      </w:pPr>
      <w:r>
        <w:t>26. Annex A.7: Data for AI Systems</w:t>
      </w:r>
    </w:p>
    <w:p>
      <w:pPr>
        <w:spacing w:after="200"/>
      </w:pPr>
      <w:r>
        <w:t>When Annex A.7 controls are selected through the organization's risk-treatment process and Statement of Applicability, implementation should govern data acquisition, quality, provenance, and preparation for AI development, enhancement, and operation.</w:t>
      </w:r>
    </w:p>
    <w:p>
      <w:pPr>
        <w:keepNext/>
        <w:jc w:val="center"/>
      </w:pPr>
      <w:r>
        <w:drawing>
          <wp:inline xmlns:a="http://schemas.openxmlformats.org/drawingml/2006/main" xmlns:pic="http://schemas.openxmlformats.org/drawingml/2006/picture">
            <wp:extent cx="5623560" cy="2956017"/>
            <wp:docPr id="7" name="Manual 02 Figure 7" descr="Recommended evidence flow connects source and authority to transformations, quality, use, retention, and deletion." title="Figure 7"/>
            <wp:cNvGraphicFramePr>
              <a:graphicFrameLocks noChangeAspect="1"/>
            </wp:cNvGraphicFramePr>
            <a:graphic>
              <a:graphicData uri="http://schemas.openxmlformats.org/drawingml/2006/picture">
                <pic:pic>
                  <pic:nvPicPr>
                    <pic:cNvPr id="0" name="data.png"/>
                    <pic:cNvPicPr/>
                  </pic:nvPicPr>
                  <pic:blipFill>
                    <a:blip r:embed="rId19"/>
                    <a:stretch>
                      <a:fillRect/>
                    </a:stretch>
                  </pic:blipFill>
                  <pic:spPr>
                    <a:xfrm>
                      <a:off x="0" y="0"/>
                      <a:ext cx="5623560" cy="2956017"/>
                    </a:xfrm>
                    <a:prstGeom prst="rect"/>
                  </pic:spPr>
                </pic:pic>
              </a:graphicData>
            </a:graphic>
          </wp:inline>
        </w:drawing>
      </w:r>
    </w:p>
    <w:p>
      <w:pPr>
        <w:pStyle w:val="Caption"/>
        <w:spacing w:after="180"/>
        <w:jc w:val="center"/>
        <w:keepNext/>
      </w:pPr>
      <w:r>
        <w:t>Figure 7. AI data evidence chain</w:t>
      </w:r>
    </w:p>
    <w:p>
      <w:pPr>
        <w:pStyle w:val="Heading2"/>
        <w:keepNext/>
        <w:jc w:val="left"/>
      </w:pPr>
      <w:r>
        <w:t>26.1 Data controls</w:t>
      </w:r>
    </w:p>
    <w:p>
      <w:pPr>
        <w:pStyle w:val="ListBullet"/>
        <w:spacing w:after="60"/>
      </w:pPr>
      <w:r>
        <w:t>Define data-management requirements for privacy, security, representativeness, explainability, provenance, accuracy, integrity, availability, retention, and deletion as relevant.</w:t>
      </w:r>
    </w:p>
    <w:p>
      <w:pPr>
        <w:pStyle w:val="ListBullet"/>
        <w:spacing w:after="60"/>
      </w:pPr>
      <w:r>
        <w:t>Document acquisition/selection: source, method, people/population, rights/license, prior purpose, consent/authority where applicable, metadata, date, restrictions, and known bias.</w:t>
      </w:r>
    </w:p>
    <w:p>
      <w:pPr>
        <w:pStyle w:val="ListBullet"/>
        <w:spacing w:after="60"/>
      </w:pPr>
      <w:r>
        <w:t>Set use-specific quality criteria and thresholds for accuracy, completeness, consistency, currency, uniqueness, validity, representativeness, labels, and subgroup coverage.</w:t>
      </w:r>
    </w:p>
    <w:p>
      <w:pPr>
        <w:pStyle w:val="ListBullet"/>
        <w:spacing w:after="60"/>
      </w:pPr>
      <w:r>
        <w:t>Preserve provenance through creation, acquisition, transfer, transformation, labeling, augmentation, filtering, versioning, validation, use, sharing, correction, and deletion.</w:t>
      </w:r>
    </w:p>
    <w:p>
      <w:pPr>
        <w:pStyle w:val="ListBullet"/>
        <w:spacing w:after="60"/>
      </w:pPr>
      <w:r>
        <w:t>Document preparation methods, code/tool/version, parameters, people, quality checks, rationale, outputs, and reproducibility.</w:t>
      </w:r>
    </w:p>
    <w:p>
      <w:pPr>
        <w:pStyle w:val="ListBullet"/>
        <w:spacing w:after="60"/>
      </w:pPr>
      <w:r>
        <w:t>Separate and protect training, validation, test, production, monitoring, and incident datasets; prevent evaluation-set leakage.</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F4E78"/>
          </w:tcPr>
          <w:p>
            <w:pPr>
              <w:spacing w:after="40" w:before="0"/>
              <w:jc w:val="left"/>
            </w:pPr>
            <w:r>
              <w:rPr>
                <w:b/>
                <w:sz w:val="14"/>
                <w:color w:val="FFFFFF"/>
              </w:rPr>
              <w:t>Data evidence</w:t>
            </w:r>
          </w:p>
        </w:tc>
        <w:tc>
          <w:tcPr>
            <w:tcW w:type="dxa" w:w="7260"/>
            <w:tcMar>
              <w:top w:w="90" w:type="dxa"/>
              <w:start w:w="120" w:type="dxa"/>
              <w:bottom w:w="90" w:type="dxa"/>
              <w:end w:w="120" w:type="dxa"/>
            </w:tcMar>
            <w:vAlign w:val="center"/>
            <w:shd w:fill="1F4E78"/>
          </w:tcPr>
          <w:p>
            <w:pPr>
              <w:spacing w:after="40" w:before="0"/>
              <w:jc w:val="left"/>
            </w:pPr>
            <w:r>
              <w:rPr>
                <w:b/>
                <w:sz w:val="14"/>
                <w:color w:val="FFFFFF"/>
              </w:rPr>
              <w:t>Test</w:t>
            </w:r>
          </w:p>
        </w:tc>
      </w:tr>
      <w:tr>
        <w:trPr>
          <w:cantSplit/>
        </w:trPr>
        <w:tc>
          <w:tcPr>
            <w:tcW w:type="dxa" w:w="2100"/>
            <w:vAlign w:val="center"/>
          </w:tcPr>
          <w:p>
            <w:pPr>
              <w:spacing w:after="40" w:line="252" w:lineRule="auto" w:before="0"/>
            </w:pPr>
            <w:r>
              <w:rPr>
                <w:color w:val="1A1A1A"/>
                <w:sz w:val="14"/>
              </w:rPr>
              <w:t>Dataset/data card</w:t>
            </w:r>
          </w:p>
        </w:tc>
        <w:tc>
          <w:tcPr>
            <w:tcW w:type="dxa" w:w="7260"/>
            <w:vAlign w:val="center"/>
          </w:tcPr>
          <w:p>
            <w:pPr>
              <w:spacing w:after="40" w:line="252" w:lineRule="auto" w:before="0"/>
            </w:pPr>
            <w:r>
              <w:rPr>
                <w:color w:val="1A1A1A"/>
                <w:sz w:val="14"/>
              </w:rPr>
              <w:t>Trace purpose, population, fields, source, rights, quality, limitations, owner</w:t>
            </w:r>
          </w:p>
        </w:tc>
      </w:tr>
      <w:tr>
        <w:trPr>
          <w:cantSplit/>
        </w:trPr>
        <w:tc>
          <w:tcPr>
            <w:tcW w:type="dxa" w:w="2100"/>
            <w:shd w:fill="F7F9FB"/>
            <w:vAlign w:val="center"/>
          </w:tcPr>
          <w:p>
            <w:pPr>
              <w:spacing w:after="40" w:line="252" w:lineRule="auto" w:before="0"/>
            </w:pPr>
            <w:r>
              <w:rPr>
                <w:color w:val="1A1A1A"/>
                <w:sz w:val="14"/>
              </w:rPr>
              <w:t>Lineage</w:t>
            </w:r>
          </w:p>
        </w:tc>
        <w:tc>
          <w:tcPr>
            <w:tcW w:type="dxa" w:w="7260"/>
            <w:shd w:fill="F7F9FB"/>
            <w:vAlign w:val="center"/>
          </w:tcPr>
          <w:p>
            <w:pPr>
              <w:spacing w:after="40" w:line="252" w:lineRule="auto" w:before="0"/>
            </w:pPr>
            <w:r>
              <w:rPr>
                <w:color w:val="1A1A1A"/>
                <w:sz w:val="14"/>
              </w:rPr>
              <w:t>Reproduce source-to-feature transformations and version</w:t>
            </w:r>
          </w:p>
        </w:tc>
      </w:tr>
      <w:tr>
        <w:trPr>
          <w:cantSplit/>
        </w:trPr>
        <w:tc>
          <w:tcPr>
            <w:tcW w:type="dxa" w:w="2100"/>
            <w:vAlign w:val="center"/>
          </w:tcPr>
          <w:p>
            <w:pPr>
              <w:spacing w:after="40" w:line="252" w:lineRule="auto" w:before="0"/>
            </w:pPr>
            <w:r>
              <w:rPr>
                <w:color w:val="1A1A1A"/>
                <w:sz w:val="14"/>
              </w:rPr>
              <w:t>Quality result</w:t>
            </w:r>
          </w:p>
        </w:tc>
        <w:tc>
          <w:tcPr>
            <w:tcW w:type="dxa" w:w="7260"/>
            <w:vAlign w:val="center"/>
          </w:tcPr>
          <w:p>
            <w:pPr>
              <w:spacing w:after="40" w:line="252" w:lineRule="auto" w:before="0"/>
            </w:pPr>
            <w:r>
              <w:rPr>
                <w:color w:val="1A1A1A"/>
                <w:sz w:val="14"/>
              </w:rPr>
              <w:t>Verify full population/sample, rules, failures, correction and approval</w:t>
            </w:r>
          </w:p>
        </w:tc>
      </w:tr>
      <w:tr>
        <w:trPr>
          <w:cantSplit/>
        </w:trPr>
        <w:tc>
          <w:tcPr>
            <w:tcW w:type="dxa" w:w="2100"/>
            <w:shd w:fill="F7F9FB"/>
            <w:vAlign w:val="center"/>
          </w:tcPr>
          <w:p>
            <w:pPr>
              <w:spacing w:after="40" w:line="252" w:lineRule="auto" w:before="0"/>
            </w:pPr>
            <w:r>
              <w:rPr>
                <w:color w:val="1A1A1A"/>
                <w:sz w:val="14"/>
              </w:rPr>
              <w:t>Access/retention</w:t>
            </w:r>
          </w:p>
        </w:tc>
        <w:tc>
          <w:tcPr>
            <w:tcW w:type="dxa" w:w="7260"/>
            <w:shd w:fill="F7F9FB"/>
            <w:vAlign w:val="center"/>
          </w:tcPr>
          <w:p>
            <w:pPr>
              <w:spacing w:after="40" w:line="252" w:lineRule="auto" w:before="0"/>
            </w:pPr>
            <w:r>
              <w:rPr>
                <w:color w:val="1A1A1A"/>
                <w:sz w:val="14"/>
              </w:rPr>
              <w:t>Sample grants, reviews, removals, use, copies, deletion</w:t>
            </w:r>
          </w:p>
        </w:tc>
      </w:tr>
      <w:tr>
        <w:trPr>
          <w:cantSplit/>
        </w:trPr>
        <w:tc>
          <w:tcPr>
            <w:tcW w:type="dxa" w:w="2100"/>
            <w:vAlign w:val="center"/>
          </w:tcPr>
          <w:p>
            <w:pPr>
              <w:spacing w:after="40" w:line="252" w:lineRule="auto" w:before="0"/>
            </w:pPr>
            <w:r>
              <w:rPr>
                <w:color w:val="1A1A1A"/>
                <w:sz w:val="14"/>
              </w:rPr>
              <w:t>Bias/representation</w:t>
            </w:r>
          </w:p>
        </w:tc>
        <w:tc>
          <w:tcPr>
            <w:tcW w:type="dxa" w:w="7260"/>
            <w:vAlign w:val="center"/>
          </w:tcPr>
          <w:p>
            <w:pPr>
              <w:spacing w:after="40" w:line="252" w:lineRule="auto" w:before="0"/>
            </w:pPr>
            <w:r>
              <w:rPr>
                <w:color w:val="1A1A1A"/>
                <w:sz w:val="14"/>
              </w:rPr>
              <w:t>Check relevant groups, history, proxies, labels, gaps and mitigation</w:t>
            </w:r>
          </w:p>
        </w:tc>
      </w:tr>
    </w:tbl>
    <w:p>
      <w:pPr>
        <w:spacing w:after="0"/>
      </w:pPr>
    </w:p>
    <w:p>
      <w:pPr>
        <w:pStyle w:val="Heading1"/>
        <w:pageBreakBefore/>
        <w:keepNext/>
        <w:jc w:val="left"/>
      </w:pPr>
      <w:r>
        <w:t>27. Annex A.8: Information for Interested Parties</w:t>
      </w:r>
    </w:p>
    <w:p>
      <w:pPr>
        <w:spacing w:after="200"/>
      </w:pPr>
      <w:r>
        <w:t>When Annex A.8 controls are selected through the organization's risk-treatment process and Statement of Applicability, implementation should provide useful information for users and interested parties, together with reporting and incident communication.</w:t>
      </w:r>
    </w:p>
    <w:p>
      <w:pPr>
        <w:keepNext/>
        <w:jc w:val="center"/>
      </w:pPr>
      <w:r>
        <w:drawing>
          <wp:inline xmlns:a="http://schemas.openxmlformats.org/drawingml/2006/main" xmlns:pic="http://schemas.openxmlformats.org/drawingml/2006/picture">
            <wp:extent cx="5623560" cy="2956017"/>
            <wp:docPr id="8" name="Manual 02 Figure 8" descr="Transparency is audience-specific communication that enables safe use, accountability, and redress." title="Figure 8"/>
            <wp:cNvGraphicFramePr>
              <a:graphicFrameLocks noChangeAspect="1"/>
            </wp:cNvGraphicFramePr>
            <a:graphic>
              <a:graphicData uri="http://schemas.openxmlformats.org/drawingml/2006/picture">
                <pic:pic>
                  <pic:nvPicPr>
                    <pic:cNvPr id="0" name="parties.png"/>
                    <pic:cNvPicPr/>
                  </pic:nvPicPr>
                  <pic:blipFill>
                    <a:blip r:embed="rId20"/>
                    <a:stretch>
                      <a:fillRect/>
                    </a:stretch>
                  </pic:blipFill>
                  <pic:spPr>
                    <a:xfrm>
                      <a:off x="0" y="0"/>
                      <a:ext cx="5623560" cy="2956017"/>
                    </a:xfrm>
                    <a:prstGeom prst="rect"/>
                  </pic:spPr>
                </pic:pic>
              </a:graphicData>
            </a:graphic>
          </wp:inline>
        </w:drawing>
      </w:r>
    </w:p>
    <w:p>
      <w:pPr>
        <w:pStyle w:val="Caption"/>
        <w:spacing w:after="180"/>
        <w:jc w:val="center"/>
        <w:keepNext/>
      </w:pPr>
      <w:r>
        <w:t>Figure 8. Interested-party information</w:t>
      </w:r>
    </w:p>
    <w:p>
      <w:pPr>
        <w:pStyle w:val="Heading2"/>
        <w:keepNext/>
        <w:jc w:val="left"/>
      </w:pPr>
      <w:r>
        <w:t>27.1 Information package</w:t>
      </w:r>
    </w:p>
    <w:p>
      <w:pPr>
        <w:pStyle w:val="ListBullet"/>
        <w:spacing w:after="60"/>
      </w:pPr>
      <w:r>
        <w:t>Users: intended purpose, capabilities, limitations, expected input/output, prohibited use, verification, human oversight, monitoring, escalation, and support.</w:t>
      </w:r>
    </w:p>
    <w:p>
      <w:pPr>
        <w:pStyle w:val="ListBullet"/>
        <w:spacing w:after="60"/>
      </w:pPr>
      <w:r>
        <w:t>Affected people: that AI is used where appropriate, role in the decision, important factors/limitations, data and rights, human review, correction, appeal, complaint, and redress.</w:t>
      </w:r>
    </w:p>
    <w:p>
      <w:pPr>
        <w:pStyle w:val="ListBullet"/>
        <w:spacing w:after="60"/>
      </w:pPr>
      <w:r>
        <w:t>Customers/partners: responsibilities, configuration, data, control dependencies, evidence, incidents, changes, support, and exit.</w:t>
      </w:r>
    </w:p>
    <w:p>
      <w:pPr>
        <w:pStyle w:val="ListBullet"/>
        <w:spacing w:after="60"/>
      </w:pPr>
      <w:r>
        <w:t>Regulators/auditors: controlled documentation, scope, assessments, controls, test results, incidents, changes, findings, and corrective action as required.</w:t>
      </w:r>
    </w:p>
    <w:p>
      <w:pPr>
        <w:pStyle w:val="ListBullet"/>
        <w:spacing w:after="60"/>
      </w:pPr>
      <w:r>
        <w:t>Public: proportionate transparency, significant impacts, governance, safety information, contact, and reports where appropriate.</w:t>
      </w:r>
    </w:p>
    <w:p>
      <w:pPr>
        <w:pStyle w:val="Heading2"/>
        <w:keepNext/>
        <w:jc w:val="left"/>
      </w:pPr>
      <w:r>
        <w:t>27.2 External reporting and incidents</w:t>
      </w:r>
    </w:p>
    <w:p>
      <w:pPr>
        <w:pStyle w:val="ListBullet"/>
        <w:spacing w:after="60"/>
      </w:pPr>
      <w:r>
        <w:t>Provide accessible channels to report errors, harm, bias, security/privacy concerns, misuse, accessibility problems, or unexpected effects.</w:t>
      </w:r>
    </w:p>
    <w:p>
      <w:pPr>
        <w:pStyle w:val="ListBullet"/>
        <w:spacing w:after="60"/>
      </w:pPr>
      <w:r>
        <w:t>Define triage, severity, investigation, protection, feedback, correction, redress, escalation, retention, and trend analysis.</w:t>
      </w:r>
    </w:p>
    <w:p>
      <w:pPr>
        <w:pStyle w:val="ListBullet"/>
        <w:spacing w:after="60"/>
      </w:pPr>
      <w:r>
        <w:t>Predefine incident audiences, content, owner/spokesperson, legal review, timing, channel, accessibility, coordination, updates, and closure.</w:t>
      </w:r>
    </w:p>
    <w:p>
      <w:pPr>
        <w:pStyle w:val="ListBullet"/>
        <w:spacing w:after="60"/>
      </w:pPr>
      <w:r>
        <w:t>Do not over-disclose security-sensitive or personal information; do not hide material limitations behind confidentiality.</w:t>
      </w:r>
    </w:p>
    <w:p>
      <w:pPr>
        <w:pStyle w:val="Heading1"/>
        <w:pageBreakBefore/>
        <w:keepNext/>
        <w:jc w:val="left"/>
      </w:pPr>
      <w:r>
        <w:t>28. Annex A.9 and A.10: Responsible Use, Suppliers, and Customers</w:t>
      </w:r>
    </w:p>
    <w:p>
      <w:pPr>
        <w:spacing w:after="200"/>
      </w:pPr>
      <w:r>
        <w:rPr>
          <w:rFonts w:ascii="Aptos" w:hAnsi="Aptos"/>
          <w:i/>
          <w:color w:val="5B6570"/>
          <w:sz w:val="22"/>
        </w:rPr>
        <w:t>Annex A.9 governs responsible use and intended purpose; Annex A.10 allocates duties across suppliers, customers, and the AI value chain.</w:t>
      </w:r>
    </w:p>
    <w:p>
      <w:pPr>
        <w:keepNext/>
        <w:jc w:val="center"/>
      </w:pPr>
      <w:r>
        <w:drawing>
          <wp:inline xmlns:a="http://schemas.openxmlformats.org/drawingml/2006/main" xmlns:pic="http://schemas.openxmlformats.org/drawingml/2006/picture">
            <wp:extent cx="5623560" cy="2956017"/>
            <wp:docPr id="9" name="Manual 02 Figure 9" descr="Risk-based supplier assurance matches the exact model, service, use, data flow, and customer configuration." title="Figure 9"/>
            <wp:cNvGraphicFramePr>
              <a:graphicFrameLocks noChangeAspect="1"/>
            </wp:cNvGraphicFramePr>
            <a:graphic>
              <a:graphicData uri="http://schemas.openxmlformats.org/drawingml/2006/picture">
                <pic:pic>
                  <pic:nvPicPr>
                    <pic:cNvPr id="0" name="supplier.png"/>
                    <pic:cNvPicPr/>
                  </pic:nvPicPr>
                  <pic:blipFill>
                    <a:blip r:embed="rId21"/>
                    <a:stretch>
                      <a:fillRect/>
                    </a:stretch>
                  </pic:blipFill>
                  <pic:spPr>
                    <a:xfrm>
                      <a:off x="0" y="0"/>
                      <a:ext cx="5623560" cy="2956017"/>
                    </a:xfrm>
                    <a:prstGeom prst="rect"/>
                  </pic:spPr>
                </pic:pic>
              </a:graphicData>
            </a:graphic>
          </wp:inline>
        </w:drawing>
      </w:r>
    </w:p>
    <w:p>
      <w:pPr>
        <w:pStyle w:val="Caption"/>
        <w:spacing w:after="180"/>
        <w:jc w:val="center"/>
        <w:keepNext/>
      </w:pPr>
      <w:r>
        <w:t>Figure 9. Third-party AI life cycle</w:t>
      </w:r>
    </w:p>
    <w:p>
      <w:pPr>
        <w:pStyle w:val="Heading2"/>
        <w:keepNext/>
        <w:jc w:val="left"/>
      </w:pPr>
      <w:r>
        <w:t>28.1 Responsible use</w:t>
      </w:r>
    </w:p>
    <w:p>
      <w:pPr>
        <w:pStyle w:val="ListBullet"/>
        <w:spacing w:after="60"/>
      </w:pPr>
      <w:r>
        <w:t>Define approved and prohibited uses, users, data, outputs, decisions, autonomy, verification, human oversight, logging, support, incident, and stop conditions.</w:t>
      </w:r>
    </w:p>
    <w:p>
      <w:pPr>
        <w:pStyle w:val="ListBullet"/>
        <w:spacing w:after="60"/>
      </w:pPr>
      <w:r>
        <w:t>Set measurable responsible-use objectives tied to relevant impacts and risk.</w:t>
      </w:r>
    </w:p>
    <w:p>
      <w:pPr>
        <w:pStyle w:val="ListBullet"/>
        <w:spacing w:after="60"/>
      </w:pPr>
      <w:r>
        <w:t>Train users and supervisors; enforce through identity, configuration, interfaces, policy, monitoring, review, and consequences.</w:t>
      </w:r>
    </w:p>
    <w:p>
      <w:pPr>
        <w:pStyle w:val="ListBullet"/>
        <w:spacing w:after="60"/>
      </w:pPr>
      <w:r>
        <w:t>Detect scope creep and require reassessment before repurposing, expansion, new populations, higher impact, or new integrations/tools.</w:t>
      </w:r>
    </w:p>
    <w:p>
      <w:pPr>
        <w:pStyle w:val="Heading2"/>
        <w:keepNext/>
        <w:jc w:val="left"/>
      </w:pPr>
      <w:r>
        <w:t>28.2 Third parties and customers</w:t>
      </w:r>
    </w:p>
    <w:p>
      <w:pPr>
        <w:pStyle w:val="ListBullet"/>
        <w:spacing w:after="60"/>
      </w:pPr>
      <w:r>
        <w:t>Map developer/provider/deployer, data/model/tool/cloud suppliers, integrators, human services, customers, users, and affected parties.</w:t>
      </w:r>
    </w:p>
    <w:p>
      <w:pPr>
        <w:pStyle w:val="ListBullet"/>
        <w:spacing w:after="60"/>
      </w:pPr>
      <w:r>
        <w:t>Allocate responsibility for data, requirements, testing, configuration, transparency, human oversight, security, incidents, monitoring, change, evidence, rights, deletion, and exit.</w:t>
      </w:r>
    </w:p>
    <w:p>
      <w:pPr>
        <w:pStyle w:val="ListBullet"/>
        <w:spacing w:after="60"/>
      </w:pPr>
      <w:r>
        <w:t>Perform risk-based due diligence and contracting; verify model/system documentation, evaluation, security/privacy assurance, data terms, IP, support, vulnerabilities, changes, subprocessors, resilience, and portability.</w:t>
      </w:r>
    </w:p>
    <w:p>
      <w:pPr>
        <w:pStyle w:val="ListBullet"/>
        <w:spacing w:after="60"/>
      </w:pPr>
      <w:r>
        <w:t>Monitor provider model/terms/training/retention/subprocessor/incidents/deprecation changes and reassess promptly.</w:t>
      </w:r>
    </w:p>
    <w:p>
      <w:pPr>
        <w:pStyle w:val="ListBullet"/>
        <w:spacing w:after="60"/>
      </w:pPr>
      <w:r>
        <w:t>Define customer obligations and support; do not use customer responsibility as a vague transfer of provider duties.</w:t>
      </w:r>
    </w:p>
    <w:p>
      <w:pPr>
        <w:pStyle w:val="Heading1"/>
        <w:pageBreakBefore/>
        <w:keepNext/>
        <w:jc w:val="left"/>
      </w:pPr>
      <w:r>
        <w:t>29. Certification, ISO/IEC 42006:2025, and Audit Readiness</w:t>
      </w:r>
    </w:p>
    <w:p>
      <w:pPr>
        <w:spacing w:after="200"/>
      </w:pPr>
      <w:r>
        <w:rPr>
          <w:rFonts w:ascii="Aptos" w:hAnsi="Aptos"/>
          <w:i/>
          <w:color w:val="5B6570"/>
          <w:sz w:val="22"/>
        </w:rPr>
        <w:t>Certification evaluates the AIMS against ISO/IEC 42001 within a defined scope; ISO/IEC 42006:2025 strengthens requirements for certification bodies.</w:t>
      </w:r>
    </w:p>
    <w:p>
      <w:pPr>
        <w:pStyle w:val="Heading2"/>
        <w:keepNext/>
        <w:jc w:val="left"/>
      </w:pPr>
      <w:r>
        <w:t>29.1 Certification path</w:t>
      </w:r>
    </w:p>
    <w:p>
      <w:pPr>
        <w:pStyle w:val="ListBullet"/>
        <w:spacing w:after="60"/>
      </w:pPr>
      <w:r>
        <w:t>Select a competent certification body and verify its accreditation/status, scheme, geography, competence, impartiality, scope capability, and contract.</w:t>
      </w:r>
    </w:p>
    <w:p>
      <w:pPr>
        <w:pStyle w:val="ListBullet"/>
        <w:spacing w:after="60"/>
      </w:pPr>
      <w:r>
        <w:t>Application and planning: organization, AIMS scope, roles, sites, people, systems, complexity, outsourced processes, standards, and audit time.</w:t>
      </w:r>
    </w:p>
    <w:p>
      <w:pPr>
        <w:pStyle w:val="ListBullet"/>
        <w:spacing w:after="60"/>
      </w:pPr>
      <w:r>
        <w:t>Stage 1: readiness, scope, documented system, context, risk/impact methods, SoA, internal audit, management review, and Stage 2 preparedness.</w:t>
      </w:r>
    </w:p>
    <w:p>
      <w:pPr>
        <w:pStyle w:val="ListBullet"/>
        <w:spacing w:after="60"/>
      </w:pPr>
      <w:r>
        <w:t>Stage 2: implementation and operating effectiveness through interviews, samples, records, observation, and trace-through.</w:t>
      </w:r>
    </w:p>
    <w:p>
      <w:pPr>
        <w:pStyle w:val="ListBullet"/>
        <w:spacing w:after="60"/>
      </w:pPr>
      <w:r>
        <w:t>Resolve nonconformities with correction, cause, corrective action, and effectiveness evidence under scheme rules.</w:t>
      </w:r>
    </w:p>
    <w:p>
      <w:pPr>
        <w:pStyle w:val="ListBullet"/>
        <w:spacing w:after="60"/>
      </w:pPr>
      <w:r>
        <w:t>Certification decision, certificate, surveillance, scope changes, recertification, suspension/withdrawal, and ongoing improvement.</w:t>
      </w:r>
    </w:p>
    <w:p>
      <w:pPr>
        <w:pStyle w:val="Heading2"/>
        <w:keepNext/>
        <w:jc w:val="left"/>
      </w:pPr>
      <w:r>
        <w:t>29.2 ISO/IEC 42006:2025 significance</w:t>
      </w:r>
    </w:p>
    <w:p>
      <w:pPr>
        <w:pStyle w:val="ListBullet"/>
        <w:spacing w:after="60"/>
      </w:pPr>
      <w:r>
        <w:t>It adds AIMS-specific requirements for bodies that audit and certify against ISO/IEC 42001 and builds on ISO/IEC 17021-1.</w:t>
      </w:r>
    </w:p>
    <w:p>
      <w:pPr>
        <w:pStyle w:val="ListBullet"/>
        <w:spacing w:after="60"/>
      </w:pPr>
      <w:r>
        <w:t>It supports appropriate competence, consistent audit processes, impartiality, audit time, and rigor for organizations that develop, provide, or use AI systems.</w:t>
      </w:r>
    </w:p>
    <w:p>
      <w:pPr>
        <w:pStyle w:val="ListBullet"/>
        <w:spacing w:after="60"/>
      </w:pPr>
      <w:r>
        <w:t>The organization should verify that a claimed certification is issued under a relevant accredited scheme and that certificate scope and status match the claim.</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F4E78"/>
          </w:tcPr>
          <w:p>
            <w:pPr>
              <w:spacing w:after="40" w:before="0"/>
              <w:jc w:val="left"/>
            </w:pPr>
            <w:r>
              <w:rPr>
                <w:b/>
                <w:sz w:val="14"/>
                <w:color w:val="FFFFFF"/>
              </w:rPr>
              <w:t>Audit evidence pack</w:t>
            </w:r>
          </w:p>
        </w:tc>
        <w:tc>
          <w:tcPr>
            <w:tcW w:type="dxa" w:w="7260"/>
            <w:tcMar>
              <w:top w:w="90" w:type="dxa"/>
              <w:start w:w="120" w:type="dxa"/>
              <w:bottom w:w="90" w:type="dxa"/>
              <w:end w:w="120" w:type="dxa"/>
            </w:tcMar>
            <w:vAlign w:val="center"/>
            <w:shd w:fill="1F4E78"/>
          </w:tcPr>
          <w:p>
            <w:pPr>
              <w:spacing w:after="40" w:before="0"/>
              <w:jc w:val="left"/>
            </w:pPr>
            <w:r>
              <w:rPr>
                <w:b/>
                <w:sz w:val="14"/>
                <w:color w:val="FFFFFF"/>
              </w:rPr>
              <w:t>Examples</w:t>
            </w:r>
          </w:p>
        </w:tc>
      </w:tr>
      <w:tr>
        <w:trPr>
          <w:cantSplit/>
        </w:trPr>
        <w:tc>
          <w:tcPr>
            <w:tcW w:type="dxa" w:w="2100"/>
            <w:vAlign w:val="center"/>
          </w:tcPr>
          <w:p>
            <w:pPr>
              <w:spacing w:after="40" w:line="252" w:lineRule="auto" w:before="0"/>
            </w:pPr>
            <w:r>
              <w:rPr>
                <w:color w:val="1A1A1A"/>
                <w:sz w:val="14"/>
              </w:rPr>
              <w:t>Foundation</w:t>
            </w:r>
          </w:p>
        </w:tc>
        <w:tc>
          <w:tcPr>
            <w:tcW w:type="dxa" w:w="7260"/>
            <w:vAlign w:val="center"/>
          </w:tcPr>
          <w:p>
            <w:pPr>
              <w:spacing w:after="40" w:line="252" w:lineRule="auto" w:before="0"/>
            </w:pPr>
            <w:r>
              <w:rPr>
                <w:color w:val="1A1A1A"/>
                <w:sz w:val="14"/>
              </w:rPr>
              <w:t>Scope, context, parties, policy, process map, roles, inventory</w:t>
            </w:r>
          </w:p>
        </w:tc>
      </w:tr>
      <w:tr>
        <w:trPr>
          <w:cantSplit/>
        </w:trPr>
        <w:tc>
          <w:tcPr>
            <w:tcW w:type="dxa" w:w="2100"/>
            <w:shd w:fill="F7F9FB"/>
            <w:vAlign w:val="center"/>
          </w:tcPr>
          <w:p>
            <w:pPr>
              <w:spacing w:after="40" w:line="252" w:lineRule="auto" w:before="0"/>
            </w:pPr>
            <w:r>
              <w:rPr>
                <w:color w:val="1A1A1A"/>
                <w:sz w:val="14"/>
              </w:rPr>
              <w:t>Planning</w:t>
            </w:r>
          </w:p>
        </w:tc>
        <w:tc>
          <w:tcPr>
            <w:tcW w:type="dxa" w:w="7260"/>
            <w:shd w:fill="F7F9FB"/>
            <w:vAlign w:val="center"/>
          </w:tcPr>
          <w:p>
            <w:pPr>
              <w:spacing w:after="40" w:line="252" w:lineRule="auto" w:before="0"/>
            </w:pPr>
            <w:r>
              <w:rPr>
                <w:color w:val="1A1A1A"/>
                <w:sz w:val="14"/>
              </w:rPr>
              <w:t>Risk method/results, treatment, SoA, impact process/results, objectives, changes</w:t>
            </w:r>
          </w:p>
        </w:tc>
      </w:tr>
      <w:tr>
        <w:trPr>
          <w:cantSplit/>
        </w:trPr>
        <w:tc>
          <w:tcPr>
            <w:tcW w:type="dxa" w:w="2100"/>
            <w:vAlign w:val="center"/>
          </w:tcPr>
          <w:p>
            <w:pPr>
              <w:spacing w:after="40" w:line="252" w:lineRule="auto" w:before="0"/>
            </w:pPr>
            <w:r>
              <w:rPr>
                <w:color w:val="1A1A1A"/>
                <w:sz w:val="14"/>
              </w:rPr>
              <w:t>Support/operation</w:t>
            </w:r>
          </w:p>
        </w:tc>
        <w:tc>
          <w:tcPr>
            <w:tcW w:type="dxa" w:w="7260"/>
            <w:vAlign w:val="center"/>
          </w:tcPr>
          <w:p>
            <w:pPr>
              <w:spacing w:after="40" w:line="252" w:lineRule="auto" w:before="0"/>
            </w:pPr>
            <w:r>
              <w:rPr>
                <w:color w:val="1A1A1A"/>
                <w:sz w:val="14"/>
              </w:rPr>
              <w:t>Resources, competence, communication, documents, lifecycle, data, use, suppliers, incidents</w:t>
            </w:r>
          </w:p>
        </w:tc>
      </w:tr>
      <w:tr>
        <w:trPr>
          <w:cantSplit/>
        </w:trPr>
        <w:tc>
          <w:tcPr>
            <w:tcW w:type="dxa" w:w="2100"/>
            <w:shd w:fill="F7F9FB"/>
            <w:vAlign w:val="center"/>
          </w:tcPr>
          <w:p>
            <w:pPr>
              <w:spacing w:after="40" w:line="252" w:lineRule="auto" w:before="0"/>
            </w:pPr>
            <w:r>
              <w:rPr>
                <w:color w:val="1A1A1A"/>
                <w:sz w:val="14"/>
              </w:rPr>
              <w:t>Evaluation/improvement</w:t>
            </w:r>
          </w:p>
        </w:tc>
        <w:tc>
          <w:tcPr>
            <w:tcW w:type="dxa" w:w="7260"/>
            <w:shd w:fill="F7F9FB"/>
            <w:vAlign w:val="center"/>
          </w:tcPr>
          <w:p>
            <w:pPr>
              <w:spacing w:after="40" w:line="252" w:lineRule="auto" w:before="0"/>
            </w:pPr>
            <w:r>
              <w:rPr>
                <w:color w:val="1A1A1A"/>
                <w:sz w:val="14"/>
              </w:rPr>
              <w:t>Metrics, internal audit, management review, findings, corrective actions, effectiveness</w:t>
            </w:r>
          </w:p>
        </w:tc>
      </w:tr>
      <w:tr>
        <w:trPr>
          <w:cantSplit/>
        </w:trPr>
        <w:tc>
          <w:tcPr>
            <w:tcW w:type="dxa" w:w="2100"/>
            <w:vAlign w:val="center"/>
          </w:tcPr>
          <w:p>
            <w:pPr>
              <w:spacing w:after="40" w:line="252" w:lineRule="auto" w:before="0"/>
            </w:pPr>
            <w:r>
              <w:rPr>
                <w:color w:val="1A1A1A"/>
                <w:sz w:val="14"/>
              </w:rPr>
              <w:t>Trace samples</w:t>
            </w:r>
          </w:p>
        </w:tc>
        <w:tc>
          <w:tcPr>
            <w:tcW w:type="dxa" w:w="7260"/>
            <w:vAlign w:val="center"/>
          </w:tcPr>
          <w:p>
            <w:pPr>
              <w:spacing w:after="40" w:line="252" w:lineRule="auto" w:before="0"/>
            </w:pPr>
            <w:r>
              <w:rPr>
                <w:color w:val="1A1A1A"/>
                <w:sz w:val="14"/>
              </w:rPr>
              <w:t>End-to-end records for representative high/medium/low-risk AI systems and material changes</w:t>
            </w:r>
          </w:p>
        </w:tc>
      </w:tr>
    </w:tbl>
    <w:p>
      <w:pPr>
        <w:spacing w:after="0"/>
      </w:pPr>
    </w:p>
    <w:p>
      <w:pPr>
        <w:pStyle w:val="Heading2"/>
        <w:keepNext/>
        <w:jc w:val="left"/>
      </w:pPr>
      <w:r>
        <w:t>29.3 Audit readiness without theater</w:t>
      </w:r>
    </w:p>
    <w:p>
      <w:pPr>
        <w:pStyle w:val="ListBullet"/>
        <w:spacing w:after="60"/>
      </w:pPr>
      <w:r>
        <w:t>Operate controls long enough to produce honest evidence; do not create records after the fact.</w:t>
      </w:r>
    </w:p>
    <w:p>
      <w:pPr>
        <w:pStyle w:val="ListBullet"/>
        <w:spacing w:after="60"/>
      </w:pPr>
      <w:r>
        <w:t>Reconcile scope, inventory, risk, impact, SoA, supplier, system versions, metrics, audit, and management review.</w:t>
      </w:r>
    </w:p>
    <w:p>
      <w:pPr>
        <w:pStyle w:val="ListBullet"/>
        <w:spacing w:after="60"/>
      </w:pPr>
      <w:r>
        <w:t>Train interviewees to explain their real work and show evidence, not memorize answers.</w:t>
      </w:r>
    </w:p>
    <w:p>
      <w:pPr>
        <w:pStyle w:val="ListBullet"/>
        <w:spacing w:after="60"/>
      </w:pPr>
      <w:r>
        <w:t>Disclose gaps, accepted risk, limitations, incidents, and corrective action accurately.</w:t>
      </w:r>
    </w:p>
    <w:p>
      <w:pPr>
        <w:pStyle w:val="Heading1"/>
        <w:pageBreakBefore/>
        <w:keepNext/>
        <w:jc w:val="left"/>
      </w:pPr>
      <w:r>
        <w:t>30. Open-Source AIMS Evidence and AI Assurance Tools</w:t>
      </w:r>
    </w:p>
    <w:p>
      <w:pPr>
        <w:spacing w:after="200"/>
      </w:pPr>
      <w:r>
        <w:rPr>
          <w:rFonts w:ascii="Aptos" w:hAnsi="Aptos"/>
          <w:i/>
          <w:color w:val="5B6570"/>
          <w:sz w:val="22"/>
        </w:rPr>
        <w:t>Open-source tools can support traceability, evaluation, monitoring, policy, privacy, and findings, but they do not decide ISO conformity.</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cantSplit/>
        </w:trPr>
        <w:tc>
          <w:tcPr>
            <w:tcW w:type="dxa" w:w="2700"/>
            <w:tcMar>
              <w:top w:w="90" w:type="dxa"/>
              <w:start w:w="120" w:type="dxa"/>
              <w:bottom w:w="90" w:type="dxa"/>
              <w:end w:w="120" w:type="dxa"/>
            </w:tcMar>
            <w:vAlign w:val="center"/>
            <w:shd w:fill="1F4E78"/>
          </w:tcPr>
          <w:p>
            <w:pPr>
              <w:spacing w:after="40" w:before="0"/>
              <w:jc w:val="left"/>
            </w:pPr>
            <w:r>
              <w:rPr>
                <w:b/>
                <w:sz w:val="14"/>
                <w:color w:val="FFFFFF"/>
              </w:rPr>
              <w:t>Tool</w:t>
            </w:r>
          </w:p>
        </w:tc>
        <w:tc>
          <w:tcPr>
            <w:tcW w:type="dxa" w:w="6660"/>
            <w:tcMar>
              <w:top w:w="90" w:type="dxa"/>
              <w:start w:w="120" w:type="dxa"/>
              <w:bottom w:w="90" w:type="dxa"/>
              <w:end w:w="120" w:type="dxa"/>
            </w:tcMar>
            <w:vAlign w:val="center"/>
            <w:shd w:fill="1F4E78"/>
          </w:tcPr>
          <w:p>
            <w:pPr>
              <w:spacing w:after="40" w:before="0"/>
              <w:jc w:val="left"/>
            </w:pPr>
            <w:r>
              <w:rPr>
                <w:b/>
                <w:sz w:val="14"/>
                <w:color w:val="FFFFFF"/>
              </w:rPr>
              <w:t>Purpose</w:t>
            </w:r>
          </w:p>
        </w:tc>
      </w:tr>
      <w:tr>
        <w:trPr>
          <w:cantSplit/>
        </w:trPr>
        <w:tc>
          <w:tcPr>
            <w:tcW w:type="dxa" w:w="2700"/>
            <w:vAlign w:val="center"/>
          </w:tcPr>
          <w:p>
            <w:pPr>
              <w:spacing w:after="40" w:line="252" w:lineRule="auto" w:before="0"/>
            </w:pPr>
            <w:r>
              <w:rPr>
                <w:color w:val="1A1A1A"/>
                <w:sz w:val="14"/>
              </w:rPr>
              <w:t>MLflow</w:t>
            </w:r>
          </w:p>
        </w:tc>
        <w:tc>
          <w:tcPr>
            <w:tcW w:type="dxa" w:w="6660"/>
            <w:vAlign w:val="center"/>
          </w:tcPr>
          <w:p>
            <w:pPr>
              <w:spacing w:after="40" w:line="252" w:lineRule="auto" w:before="0"/>
            </w:pPr>
            <w:r>
              <w:rPr>
                <w:color w:val="1A1A1A"/>
                <w:sz w:val="14"/>
              </w:rPr>
              <w:t>Experiment tracking, model registry, lineage, approval, and deployment records</w:t>
            </w:r>
          </w:p>
        </w:tc>
      </w:tr>
      <w:tr>
        <w:trPr>
          <w:cantSplit/>
        </w:trPr>
        <w:tc>
          <w:tcPr>
            <w:tcW w:type="dxa" w:w="2700"/>
            <w:shd w:fill="F7F9FB"/>
            <w:vAlign w:val="center"/>
          </w:tcPr>
          <w:p>
            <w:pPr>
              <w:spacing w:after="40" w:line="252" w:lineRule="auto" w:before="0"/>
            </w:pPr>
            <w:r>
              <w:rPr>
                <w:color w:val="1A1A1A"/>
                <w:sz w:val="14"/>
              </w:rPr>
              <w:t>DVC</w:t>
            </w:r>
          </w:p>
        </w:tc>
        <w:tc>
          <w:tcPr>
            <w:tcW w:type="dxa" w:w="6660"/>
            <w:shd w:fill="F7F9FB"/>
            <w:vAlign w:val="center"/>
          </w:tcPr>
          <w:p>
            <w:pPr>
              <w:spacing w:after="40" w:line="252" w:lineRule="auto" w:before="0"/>
            </w:pPr>
            <w:r>
              <w:rPr>
                <w:color w:val="1A1A1A"/>
                <w:sz w:val="14"/>
              </w:rPr>
              <w:t>Version control for data, models, and pipelines</w:t>
            </w:r>
          </w:p>
        </w:tc>
      </w:tr>
      <w:tr>
        <w:trPr>
          <w:cantSplit/>
        </w:trPr>
        <w:tc>
          <w:tcPr>
            <w:tcW w:type="dxa" w:w="2700"/>
            <w:vAlign w:val="center"/>
          </w:tcPr>
          <w:p>
            <w:pPr>
              <w:spacing w:after="40" w:line="252" w:lineRule="auto" w:before="0"/>
            </w:pPr>
            <w:r>
              <w:rPr>
                <w:color w:val="1A1A1A"/>
                <w:sz w:val="14"/>
              </w:rPr>
              <w:t>OpenLineage</w:t>
            </w:r>
          </w:p>
        </w:tc>
        <w:tc>
          <w:tcPr>
            <w:tcW w:type="dxa" w:w="6660"/>
            <w:vAlign w:val="center"/>
          </w:tcPr>
          <w:p>
            <w:pPr>
              <w:spacing w:after="40" w:line="252" w:lineRule="auto" w:before="0"/>
            </w:pPr>
            <w:r>
              <w:rPr>
                <w:color w:val="1A1A1A"/>
                <w:sz w:val="14"/>
              </w:rPr>
              <w:t>Open standard and tooling for data/job lineage events</w:t>
            </w:r>
          </w:p>
        </w:tc>
      </w:tr>
      <w:tr>
        <w:trPr>
          <w:cantSplit/>
        </w:trPr>
        <w:tc>
          <w:tcPr>
            <w:tcW w:type="dxa" w:w="2700"/>
            <w:shd w:fill="F7F9FB"/>
            <w:vAlign w:val="center"/>
          </w:tcPr>
          <w:p>
            <w:pPr>
              <w:spacing w:after="40" w:line="252" w:lineRule="auto" w:before="0"/>
            </w:pPr>
            <w:r>
              <w:rPr>
                <w:color w:val="1A1A1A"/>
                <w:sz w:val="14"/>
              </w:rPr>
              <w:t>OpenMetadata</w:t>
            </w:r>
          </w:p>
        </w:tc>
        <w:tc>
          <w:tcPr>
            <w:tcW w:type="dxa" w:w="6660"/>
            <w:shd w:fill="F7F9FB"/>
            <w:vAlign w:val="center"/>
          </w:tcPr>
          <w:p>
            <w:pPr>
              <w:spacing w:after="40" w:line="252" w:lineRule="auto" w:before="0"/>
            </w:pPr>
            <w:r>
              <w:rPr>
                <w:color w:val="1A1A1A"/>
                <w:sz w:val="14"/>
              </w:rPr>
              <w:t>Data catalog, lineage, ownership, glossary, and quality metadata</w:t>
            </w:r>
          </w:p>
        </w:tc>
      </w:tr>
      <w:tr>
        <w:trPr>
          <w:cantSplit/>
        </w:trPr>
        <w:tc>
          <w:tcPr>
            <w:tcW w:type="dxa" w:w="2700"/>
            <w:vAlign w:val="center"/>
          </w:tcPr>
          <w:p>
            <w:pPr>
              <w:spacing w:after="40" w:line="252" w:lineRule="auto" w:before="0"/>
            </w:pPr>
            <w:r>
              <w:rPr>
                <w:color w:val="1A1A1A"/>
                <w:sz w:val="14"/>
              </w:rPr>
              <w:t>Great Expectations</w:t>
            </w:r>
          </w:p>
        </w:tc>
        <w:tc>
          <w:tcPr>
            <w:tcW w:type="dxa" w:w="6660"/>
            <w:vAlign w:val="center"/>
          </w:tcPr>
          <w:p>
            <w:pPr>
              <w:spacing w:after="40" w:line="252" w:lineRule="auto" w:before="0"/>
            </w:pPr>
            <w:r>
              <w:rPr>
                <w:color w:val="1A1A1A"/>
                <w:sz w:val="14"/>
              </w:rPr>
              <w:t>Automated data-quality expectations and validation results</w:t>
            </w:r>
          </w:p>
        </w:tc>
      </w:tr>
      <w:tr>
        <w:trPr>
          <w:cantSplit/>
        </w:trPr>
        <w:tc>
          <w:tcPr>
            <w:tcW w:type="dxa" w:w="2700"/>
            <w:shd w:fill="F7F9FB"/>
            <w:vAlign w:val="center"/>
          </w:tcPr>
          <w:p>
            <w:pPr>
              <w:spacing w:after="40" w:line="252" w:lineRule="auto" w:before="0"/>
            </w:pPr>
            <w:r>
              <w:rPr>
                <w:color w:val="1A1A1A"/>
                <w:sz w:val="14"/>
              </w:rPr>
              <w:t>Evidently</w:t>
            </w:r>
          </w:p>
        </w:tc>
        <w:tc>
          <w:tcPr>
            <w:tcW w:type="dxa" w:w="6660"/>
            <w:shd w:fill="F7F9FB"/>
            <w:vAlign w:val="center"/>
          </w:tcPr>
          <w:p>
            <w:pPr>
              <w:spacing w:after="40" w:line="252" w:lineRule="auto" w:before="0"/>
            </w:pPr>
            <w:r>
              <w:rPr>
                <w:color w:val="1A1A1A"/>
                <w:sz w:val="14"/>
              </w:rPr>
              <w:t>Data quality, drift, model performance, and monitoring reports</w:t>
            </w:r>
          </w:p>
        </w:tc>
      </w:tr>
      <w:tr>
        <w:trPr>
          <w:cantSplit/>
        </w:trPr>
        <w:tc>
          <w:tcPr>
            <w:tcW w:type="dxa" w:w="2700"/>
            <w:vAlign w:val="center"/>
          </w:tcPr>
          <w:p>
            <w:pPr>
              <w:spacing w:after="40" w:line="252" w:lineRule="auto" w:before="0"/>
            </w:pPr>
            <w:r>
              <w:rPr>
                <w:color w:val="1A1A1A"/>
                <w:sz w:val="14"/>
              </w:rPr>
              <w:t>Deepchecks</w:t>
            </w:r>
          </w:p>
        </w:tc>
        <w:tc>
          <w:tcPr>
            <w:tcW w:type="dxa" w:w="6660"/>
            <w:vAlign w:val="center"/>
          </w:tcPr>
          <w:p>
            <w:pPr>
              <w:spacing w:after="40" w:line="252" w:lineRule="auto" w:before="0"/>
            </w:pPr>
            <w:r>
              <w:rPr>
                <w:color w:val="1A1A1A"/>
                <w:sz w:val="14"/>
              </w:rPr>
              <w:t>Testing for data, ML models, and LLM applications</w:t>
            </w:r>
          </w:p>
        </w:tc>
      </w:tr>
      <w:tr>
        <w:trPr>
          <w:cantSplit/>
        </w:trPr>
        <w:tc>
          <w:tcPr>
            <w:tcW w:type="dxa" w:w="2700"/>
            <w:shd w:fill="F7F9FB"/>
            <w:vAlign w:val="center"/>
          </w:tcPr>
          <w:p>
            <w:pPr>
              <w:spacing w:after="40" w:line="252" w:lineRule="auto" w:before="0"/>
            </w:pPr>
            <w:r>
              <w:rPr>
                <w:color w:val="1A1A1A"/>
                <w:sz w:val="14"/>
              </w:rPr>
              <w:t>Giskard</w:t>
            </w:r>
          </w:p>
        </w:tc>
        <w:tc>
          <w:tcPr>
            <w:tcW w:type="dxa" w:w="6660"/>
            <w:shd w:fill="F7F9FB"/>
            <w:vAlign w:val="center"/>
          </w:tcPr>
          <w:p>
            <w:pPr>
              <w:spacing w:after="40" w:line="252" w:lineRule="auto" w:before="0"/>
            </w:pPr>
            <w:r>
              <w:rPr>
                <w:color w:val="1A1A1A"/>
                <w:sz w:val="14"/>
              </w:rPr>
              <w:t>AI testing and vulnerability scanning</w:t>
            </w:r>
          </w:p>
        </w:tc>
      </w:tr>
      <w:tr>
        <w:trPr>
          <w:cantSplit/>
        </w:trPr>
        <w:tc>
          <w:tcPr>
            <w:tcW w:type="dxa" w:w="2700"/>
            <w:vAlign w:val="center"/>
          </w:tcPr>
          <w:p>
            <w:pPr>
              <w:spacing w:after="40" w:line="252" w:lineRule="auto" w:before="0"/>
            </w:pPr>
            <w:r>
              <w:rPr>
                <w:color w:val="1A1A1A"/>
                <w:sz w:val="14"/>
              </w:rPr>
              <w:t>Promptfoo</w:t>
            </w:r>
          </w:p>
        </w:tc>
        <w:tc>
          <w:tcPr>
            <w:tcW w:type="dxa" w:w="6660"/>
            <w:vAlign w:val="center"/>
          </w:tcPr>
          <w:p>
            <w:pPr>
              <w:spacing w:after="40" w:line="252" w:lineRule="auto" w:before="0"/>
            </w:pPr>
            <w:r>
              <w:rPr>
                <w:color w:val="1A1A1A"/>
                <w:sz w:val="14"/>
              </w:rPr>
              <w:t>Prompt, model, RAG, and red-team evaluations</w:t>
            </w:r>
          </w:p>
        </w:tc>
      </w:tr>
      <w:tr>
        <w:trPr>
          <w:cantSplit/>
        </w:trPr>
        <w:tc>
          <w:tcPr>
            <w:tcW w:type="dxa" w:w="2700"/>
            <w:shd w:fill="F7F9FB"/>
            <w:vAlign w:val="center"/>
          </w:tcPr>
          <w:p>
            <w:pPr>
              <w:spacing w:after="40" w:line="252" w:lineRule="auto" w:before="0"/>
            </w:pPr>
            <w:r>
              <w:rPr>
                <w:color w:val="1A1A1A"/>
                <w:sz w:val="14"/>
              </w:rPr>
              <w:t>Garak</w:t>
            </w:r>
          </w:p>
        </w:tc>
        <w:tc>
          <w:tcPr>
            <w:tcW w:type="dxa" w:w="6660"/>
            <w:shd w:fill="F7F9FB"/>
            <w:vAlign w:val="center"/>
          </w:tcPr>
          <w:p>
            <w:pPr>
              <w:spacing w:after="40" w:line="252" w:lineRule="auto" w:before="0"/>
            </w:pPr>
            <w:r>
              <w:rPr>
                <w:color w:val="1A1A1A"/>
                <w:sz w:val="14"/>
              </w:rPr>
              <w:t>LLM vulnerability scanning and probes</w:t>
            </w:r>
          </w:p>
        </w:tc>
      </w:tr>
      <w:tr>
        <w:trPr>
          <w:cantSplit/>
        </w:trPr>
        <w:tc>
          <w:tcPr>
            <w:tcW w:type="dxa" w:w="2700"/>
            <w:vAlign w:val="center"/>
          </w:tcPr>
          <w:p>
            <w:pPr>
              <w:spacing w:after="40" w:line="252" w:lineRule="auto" w:before="0"/>
            </w:pPr>
            <w:r>
              <w:rPr>
                <w:color w:val="1A1A1A"/>
                <w:sz w:val="14"/>
              </w:rPr>
              <w:t>PyRIT</w:t>
            </w:r>
          </w:p>
        </w:tc>
        <w:tc>
          <w:tcPr>
            <w:tcW w:type="dxa" w:w="6660"/>
            <w:vAlign w:val="center"/>
          </w:tcPr>
          <w:p>
            <w:pPr>
              <w:spacing w:after="40" w:line="252" w:lineRule="auto" w:before="0"/>
            </w:pPr>
            <w:r>
              <w:rPr>
                <w:color w:val="1A1A1A"/>
                <w:sz w:val="14"/>
              </w:rPr>
              <w:t>Risk identification and red-team orchestration for generative AI</w:t>
            </w:r>
          </w:p>
        </w:tc>
      </w:tr>
      <w:tr>
        <w:trPr>
          <w:cantSplit/>
        </w:trPr>
        <w:tc>
          <w:tcPr>
            <w:tcW w:type="dxa" w:w="2700"/>
            <w:shd w:fill="F7F9FB"/>
            <w:vAlign w:val="center"/>
          </w:tcPr>
          <w:p>
            <w:pPr>
              <w:spacing w:after="40" w:line="252" w:lineRule="auto" w:before="0"/>
            </w:pPr>
            <w:r>
              <w:rPr>
                <w:color w:val="1A1A1A"/>
                <w:sz w:val="14"/>
              </w:rPr>
              <w:t>Inspect AI</w:t>
            </w:r>
          </w:p>
        </w:tc>
        <w:tc>
          <w:tcPr>
            <w:tcW w:type="dxa" w:w="6660"/>
            <w:shd w:fill="F7F9FB"/>
            <w:vAlign w:val="center"/>
          </w:tcPr>
          <w:p>
            <w:pPr>
              <w:spacing w:after="40" w:line="252" w:lineRule="auto" w:before="0"/>
            </w:pPr>
            <w:r>
              <w:rPr>
                <w:color w:val="1A1A1A"/>
                <w:sz w:val="14"/>
              </w:rPr>
              <w:t>Reproducible AI evaluations</w:t>
            </w:r>
          </w:p>
        </w:tc>
      </w:tr>
      <w:tr>
        <w:trPr>
          <w:cantSplit/>
        </w:trPr>
        <w:tc>
          <w:tcPr>
            <w:tcW w:type="dxa" w:w="2700"/>
            <w:vAlign w:val="center"/>
          </w:tcPr>
          <w:p>
            <w:pPr>
              <w:spacing w:after="40" w:line="252" w:lineRule="auto" w:before="0"/>
            </w:pPr>
            <w:r>
              <w:rPr>
                <w:color w:val="1A1A1A"/>
                <w:sz w:val="14"/>
              </w:rPr>
              <w:t>Presidio</w:t>
            </w:r>
          </w:p>
        </w:tc>
        <w:tc>
          <w:tcPr>
            <w:tcW w:type="dxa" w:w="6660"/>
            <w:vAlign w:val="center"/>
          </w:tcPr>
          <w:p>
            <w:pPr>
              <w:spacing w:after="40" w:line="252" w:lineRule="auto" w:before="0"/>
            </w:pPr>
            <w:r>
              <w:rPr>
                <w:color w:val="1A1A1A"/>
                <w:sz w:val="14"/>
              </w:rPr>
              <w:t>Detection and de-identification of personal information</w:t>
            </w:r>
          </w:p>
        </w:tc>
      </w:tr>
      <w:tr>
        <w:trPr>
          <w:cantSplit/>
        </w:trPr>
        <w:tc>
          <w:tcPr>
            <w:tcW w:type="dxa" w:w="2700"/>
            <w:shd w:fill="F7F9FB"/>
            <w:vAlign w:val="center"/>
          </w:tcPr>
          <w:p>
            <w:pPr>
              <w:spacing w:after="40" w:line="252" w:lineRule="auto" w:before="0"/>
            </w:pPr>
            <w:r>
              <w:rPr>
                <w:color w:val="1A1A1A"/>
                <w:sz w:val="14"/>
              </w:rPr>
              <w:t>ModelScan</w:t>
            </w:r>
          </w:p>
        </w:tc>
        <w:tc>
          <w:tcPr>
            <w:tcW w:type="dxa" w:w="6660"/>
            <w:shd w:fill="F7F9FB"/>
            <w:vAlign w:val="center"/>
          </w:tcPr>
          <w:p>
            <w:pPr>
              <w:spacing w:after="40" w:line="252" w:lineRule="auto" w:before="0"/>
            </w:pPr>
            <w:r>
              <w:rPr>
                <w:color w:val="1A1A1A"/>
                <w:sz w:val="14"/>
              </w:rPr>
              <w:t>Static scanning of serialized model files</w:t>
            </w:r>
          </w:p>
        </w:tc>
      </w:tr>
      <w:tr>
        <w:trPr>
          <w:cantSplit/>
        </w:trPr>
        <w:tc>
          <w:tcPr>
            <w:tcW w:type="dxa" w:w="2700"/>
            <w:vAlign w:val="center"/>
          </w:tcPr>
          <w:p>
            <w:pPr>
              <w:spacing w:after="40" w:line="252" w:lineRule="auto" w:before="0"/>
            </w:pPr>
            <w:r>
              <w:rPr>
                <w:color w:val="1A1A1A"/>
                <w:sz w:val="14"/>
              </w:rPr>
              <w:t>CycloneDX</w:t>
            </w:r>
          </w:p>
        </w:tc>
        <w:tc>
          <w:tcPr>
            <w:tcW w:type="dxa" w:w="6660"/>
            <w:vAlign w:val="center"/>
          </w:tcPr>
          <w:p>
            <w:pPr>
              <w:spacing w:after="40" w:line="252" w:lineRule="auto" w:before="0"/>
            </w:pPr>
            <w:r>
              <w:rPr>
                <w:color w:val="1A1A1A"/>
                <w:sz w:val="14"/>
              </w:rPr>
              <w:t>Software, ML, and AI bill-of-materials formats and tools</w:t>
            </w:r>
          </w:p>
        </w:tc>
      </w:tr>
      <w:tr>
        <w:trPr>
          <w:cantSplit/>
        </w:trPr>
        <w:tc>
          <w:tcPr>
            <w:tcW w:type="dxa" w:w="2700"/>
            <w:shd w:fill="F7F9FB"/>
            <w:vAlign w:val="center"/>
          </w:tcPr>
          <w:p>
            <w:pPr>
              <w:spacing w:after="40" w:line="252" w:lineRule="auto" w:before="0"/>
            </w:pPr>
            <w:r>
              <w:rPr>
                <w:color w:val="1A1A1A"/>
                <w:sz w:val="14"/>
              </w:rPr>
              <w:t>Open Policy Agent</w:t>
            </w:r>
          </w:p>
        </w:tc>
        <w:tc>
          <w:tcPr>
            <w:tcW w:type="dxa" w:w="6660"/>
            <w:shd w:fill="F7F9FB"/>
            <w:vAlign w:val="center"/>
          </w:tcPr>
          <w:p>
            <w:pPr>
              <w:spacing w:after="40" w:line="252" w:lineRule="auto" w:before="0"/>
            </w:pPr>
            <w:r>
              <w:rPr>
                <w:color w:val="1A1A1A"/>
                <w:sz w:val="14"/>
              </w:rPr>
              <w:t>Policy-as-code decisions</w:t>
            </w:r>
          </w:p>
        </w:tc>
      </w:tr>
      <w:tr>
        <w:trPr>
          <w:cantSplit/>
        </w:trPr>
        <w:tc>
          <w:tcPr>
            <w:tcW w:type="dxa" w:w="2700"/>
            <w:vAlign w:val="center"/>
          </w:tcPr>
          <w:p>
            <w:pPr>
              <w:spacing w:after="40" w:line="252" w:lineRule="auto" w:before="0"/>
            </w:pPr>
            <w:r>
              <w:rPr>
                <w:color w:val="1A1A1A"/>
                <w:sz w:val="14"/>
              </w:rPr>
              <w:t>DefectDojo</w:t>
            </w:r>
          </w:p>
        </w:tc>
        <w:tc>
          <w:tcPr>
            <w:tcW w:type="dxa" w:w="6660"/>
            <w:vAlign w:val="center"/>
          </w:tcPr>
          <w:p>
            <w:pPr>
              <w:spacing w:after="40" w:line="252" w:lineRule="auto" w:before="0"/>
            </w:pPr>
            <w:r>
              <w:rPr>
                <w:color w:val="1A1A1A"/>
                <w:sz w:val="14"/>
              </w:rPr>
              <w:t>Finding intake, deduplication, ownership, remediation, and retest</w:t>
            </w:r>
          </w:p>
        </w:tc>
      </w:tr>
      <w:tr>
        <w:trPr>
          <w:cantSplit/>
        </w:trPr>
        <w:tc>
          <w:tcPr>
            <w:tcW w:type="dxa" w:w="2700"/>
            <w:shd w:fill="F7F9FB"/>
            <w:vAlign w:val="center"/>
          </w:tcPr>
          <w:p>
            <w:pPr>
              <w:spacing w:after="40" w:line="252" w:lineRule="auto" w:before="0"/>
            </w:pPr>
            <w:r>
              <w:rPr>
                <w:color w:val="1A1A1A"/>
                <w:sz w:val="14"/>
              </w:rPr>
              <w:t>Langfuse</w:t>
            </w:r>
          </w:p>
        </w:tc>
        <w:tc>
          <w:tcPr>
            <w:tcW w:type="dxa" w:w="6660"/>
            <w:shd w:fill="F7F9FB"/>
            <w:vAlign w:val="center"/>
          </w:tcPr>
          <w:p>
            <w:pPr>
              <w:spacing w:after="40" w:line="252" w:lineRule="auto" w:before="0"/>
            </w:pPr>
            <w:r>
              <w:rPr>
                <w:color w:val="1A1A1A"/>
                <w:sz w:val="14"/>
              </w:rPr>
              <w:t>Open-source LLM tracing, prompt management, and evaluation</w:t>
            </w:r>
          </w:p>
        </w:tc>
      </w:tr>
    </w:tbl>
    <w:p>
      <w:pPr>
        <w:spacing w:after="0"/>
      </w:pP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Tool governance: </w:t>
      </w:r>
      <w:r>
        <w:rPr>
          <w:rFonts w:ascii="Aptos" w:hAnsi="Aptos"/>
          <w:color w:val="1A1A1A"/>
        </w:rPr>
        <w:t>Use only authorized systems, models, accounts, repositories, and data. Start with isolated environments and synthetic data. Protect credentials, prompts, outputs, traces, personal information, and findings. Record versions and validate automated results.</w:t>
      </w:r>
    </w:p>
    <w:p>
      <w:pPr>
        <w:spacing w:after="0"/>
      </w:pPr>
    </w:p>
    <w:p>
      <w:pPr>
        <w:pStyle w:val="Heading2"/>
        <w:keepNext/>
        <w:jc w:val="left"/>
      </w:pPr>
      <w:r>
        <w:t>30.1 MLflow</w:t>
      </w:r>
    </w:p>
    <w:p>
      <w:r>
        <w:t xml:space="preserve">Purpose: Experiment tracking, model registry, lineage, approval, and deployment records. Official project: </w:t>
      </w:r>
      <w:hyperlink r:id="rId22">
        <w:r>
          <w:rPr>
            <w:color w:val="2E74B5"/>
            <w:u w:val="single"/>
          </w:rPr>
          <w:t>MLflow</w:t>
        </w:r>
      </w:hyperlink>
    </w:p>
    <w:p>
      <w:r>
        <w:t>Safe quick start: Create a local project; log parameters, dataset reference, metrics, artifacts, owner, and approval; register only a tested model; restrict registry changes.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30.2 DVC</w:t>
      </w:r>
    </w:p>
    <w:p>
      <w:r>
        <w:t xml:space="preserve">Purpose: Version control for data, models, and pipelines. Official project: </w:t>
      </w:r>
      <w:hyperlink r:id="rId23">
        <w:r>
          <w:rPr>
            <w:color w:val="2E74B5"/>
            <w:u w:val="single"/>
          </w:rPr>
          <w:t>DVC</w:t>
        </w:r>
      </w:hyperlink>
    </w:p>
    <w:p>
      <w:r>
        <w:t>Safe quick start: Use a synthetic dataset in a training repository; version data and pipeline stages; reproduce a run; protect remote storage and credentials.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30.3 OpenLineage</w:t>
      </w:r>
    </w:p>
    <w:p>
      <w:r>
        <w:t xml:space="preserve">Purpose: Open standard and tooling for data/job lineage events. Official project: </w:t>
      </w:r>
      <w:hyperlink r:id="rId24">
        <w:r>
          <w:rPr>
            <w:color w:val="2E74B5"/>
            <w:u w:val="single"/>
          </w:rPr>
          <w:t>OpenLineage</w:t>
        </w:r>
      </w:hyperlink>
    </w:p>
    <w:p>
      <w:r>
        <w:t>Safe quick start: Instrument a small lab pipeline; record dataset and job relationships; check event completeness; protect sensitive metadata.</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30.4 OpenMetadata</w:t>
      </w:r>
    </w:p>
    <w:p>
      <w:r>
        <w:t xml:space="preserve">Purpose: Data catalog, lineage, ownership, glossary, and quality metadata. Official project: </w:t>
      </w:r>
      <w:hyperlink r:id="rId25">
        <w:r>
          <w:rPr>
            <w:color w:val="2E74B5"/>
            <w:u w:val="single"/>
          </w:rPr>
          <w:t>OpenMetadata</w:t>
        </w:r>
      </w:hyperlink>
    </w:p>
    <w:p>
      <w:r>
        <w:t>Safe quick start: Deploy a lab instance; catalog synthetic datasets; assign owners/classification; document lineage and retention; restrict connectors.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30.5 Great Expectations</w:t>
      </w:r>
    </w:p>
    <w:p>
      <w:r>
        <w:t xml:space="preserve">Purpose: Automated data-quality expectations and validation results. Official project: </w:t>
      </w:r>
      <w:hyperlink r:id="rId26">
        <w:r>
          <w:rPr>
            <w:color w:val="2E74B5"/>
            <w:u w:val="single"/>
          </w:rPr>
          <w:t>Great Expectations</w:t>
        </w:r>
      </w:hyperlink>
    </w:p>
    <w:p>
      <w:r>
        <w:t>Safe quick start: Define accuracy, completeness, range, and null expectations for synthetic data; run validation; preserve suite/version/results and exceptions.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30.6 Evidently</w:t>
      </w:r>
    </w:p>
    <w:p>
      <w:r>
        <w:t xml:space="preserve">Purpose: Data quality, drift, model performance, and monitoring reports. Official project: </w:t>
      </w:r>
      <w:hyperlink r:id="rId27">
        <w:r>
          <w:rPr>
            <w:color w:val="2E74B5"/>
            <w:u w:val="single"/>
          </w:rPr>
          <w:t>Evidently</w:t>
        </w:r>
      </w:hyperlink>
    </w:p>
    <w:p>
      <w:r>
        <w:t>Safe quick start: Create reference and current synthetic datasets; run a report; define action thresholds; investigate before retraining or rollback.</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30.7 Deepchecks</w:t>
      </w:r>
    </w:p>
    <w:p>
      <w:r>
        <w:t xml:space="preserve">Purpose: Testing for data, ML models, and LLM applications. Official project: </w:t>
      </w:r>
      <w:hyperlink r:id="rId28">
        <w:r>
          <w:rPr>
            <w:color w:val="2E74B5"/>
            <w:u w:val="single"/>
          </w:rPr>
          <w:t>Deepchecks</w:t>
        </w:r>
      </w:hyperlink>
    </w:p>
    <w:p>
      <w:r>
        <w:t>Safe quick start: Run a focused suite on approved lab data; review relevance and false positives; record exceptions; rerun after correction.</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30.8 Giskard</w:t>
      </w:r>
    </w:p>
    <w:p>
      <w:r>
        <w:t xml:space="preserve">Purpose: AI testing and vulnerability scanning. Official project: </w:t>
      </w:r>
      <w:hyperlink r:id="rId29">
        <w:r>
          <w:rPr>
            <w:color w:val="2E74B5"/>
            <w:u w:val="single"/>
          </w:rPr>
          <w:t>Giskard</w:t>
        </w:r>
      </w:hyperlink>
    </w:p>
    <w:p>
      <w:r>
        <w:t>Safe quick start: Connect only an approved test model and dataset; select relevant tests; validate failures manually; keep the report and remediation retest.</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30.9 Promptfoo</w:t>
      </w:r>
    </w:p>
    <w:p>
      <w:r>
        <w:t xml:space="preserve">Purpose: Prompt, model, RAG, and red-team evaluations. Official project: </w:t>
      </w:r>
      <w:hyperlink r:id="rId30">
        <w:r>
          <w:rPr>
            <w:color w:val="2E74B5"/>
            <w:u w:val="single"/>
          </w:rPr>
          <w:t>Promptfoo</w:t>
        </w:r>
      </w:hyperlink>
    </w:p>
    <w:p>
      <w:r>
        <w:t>Safe quick start: Create a versioned YAML suite with synthetic cases and expected behavior; run locally; review failures; retain configuration and results.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30.10 Garak</w:t>
      </w:r>
    </w:p>
    <w:p>
      <w:r>
        <w:t xml:space="preserve">Purpose: LLM vulnerability scanning and probes. Official project: </w:t>
      </w:r>
      <w:hyperlink r:id="rId31">
        <w:r>
          <w:rPr>
            <w:color w:val="2E74B5"/>
            <w:u w:val="single"/>
          </w:rPr>
          <w:t>Garak</w:t>
        </w:r>
      </w:hyperlink>
    </w:p>
    <w:p>
      <w:r>
        <w:t>Safe quick start: Use an isolated lab model and a limited approved probe set; cap requests and cost; protect outputs; validate each finding.</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30.11 PyRIT</w:t>
      </w:r>
    </w:p>
    <w:p>
      <w:r>
        <w:t xml:space="preserve">Purpose: Risk identification and red-team orchestration for generative AI. Official project: </w:t>
      </w:r>
      <w:hyperlink r:id="rId32">
        <w:r>
          <w:rPr>
            <w:color w:val="2E74B5"/>
            <w:u w:val="single"/>
          </w:rPr>
          <w:t>PyRIT</w:t>
        </w:r>
      </w:hyperlink>
    </w:p>
    <w:p>
      <w:r>
        <w:t>Safe quick start: Define written lab rules; use harmless objectives and synthetic data; set request/time/cost limits; protect transcripts and findings.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30.12 Inspect AI</w:t>
      </w:r>
    </w:p>
    <w:p>
      <w:r>
        <w:t xml:space="preserve">Purpose: Reproducible AI evaluations. Official project: </w:t>
      </w:r>
      <w:hyperlink r:id="rId33">
        <w:r>
          <w:rPr>
            <w:color w:val="2E74B5"/>
            <w:u w:val="single"/>
          </w:rPr>
          <w:t>Inspect AI</w:t>
        </w:r>
      </w:hyperlink>
    </w:p>
    <w:p>
      <w:r>
        <w:t>Safe quick start: Define a task, dataset, solver, scorer, and acceptance rule; pin versions; run an approved model; retain logs and limitations.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30.13 Presidio</w:t>
      </w:r>
    </w:p>
    <w:p>
      <w:r>
        <w:t xml:space="preserve">Purpose: Detection and de-identification of personal information. Official project: </w:t>
      </w:r>
      <w:hyperlink r:id="rId34">
        <w:r>
          <w:rPr>
            <w:color w:val="2E74B5"/>
            <w:u w:val="single"/>
          </w:rPr>
          <w:t>Presidio</w:t>
        </w:r>
      </w:hyperlink>
    </w:p>
    <w:p>
      <w:r>
        <w:t>Safe quick start: Test on synthetic examples; configure recognizers for language/context; inspect false positives and misses; protect analyzer output.</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30.14 ModelScan</w:t>
      </w:r>
    </w:p>
    <w:p>
      <w:r>
        <w:t xml:space="preserve">Purpose: Static scanning of serialized model files. Official project: </w:t>
      </w:r>
      <w:hyperlink r:id="rId35">
        <w:r>
          <w:rPr>
            <w:color w:val="2E74B5"/>
            <w:u w:val="single"/>
          </w:rPr>
          <w:t>ModelScan</w:t>
        </w:r>
      </w:hyperlink>
    </w:p>
    <w:p>
      <w:r>
        <w:t>Safe quick start: Scan an artifact in quarantine; verify source and hash; investigate warnings; never load an untrusted model merely to test it.</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30.15 CycloneDX</w:t>
      </w:r>
    </w:p>
    <w:p>
      <w:r>
        <w:t xml:space="preserve">Purpose: Software, ML, and AI bill-of-materials formats and tools. Official project: </w:t>
      </w:r>
      <w:hyperlink r:id="rId36">
        <w:r>
          <w:rPr>
            <w:color w:val="2E74B5"/>
            <w:u w:val="single"/>
          </w:rPr>
          <w:t>CycloneDX</w:t>
        </w:r>
      </w:hyperlink>
    </w:p>
    <w:p>
      <w:r>
        <w:t>Safe quick start: Generate a bill of materials for a lab repository; validate components and versions; link findings to owners and supplier records.</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30.16 Open Policy Agent</w:t>
      </w:r>
    </w:p>
    <w:p>
      <w:r>
        <w:t xml:space="preserve">Purpose: Policy-as-code decisions. Official project: </w:t>
      </w:r>
      <w:hyperlink r:id="rId37">
        <w:r>
          <w:rPr>
            <w:color w:val="2E74B5"/>
            <w:u w:val="single"/>
          </w:rPr>
          <w:t>Open Policy Agent</w:t>
        </w:r>
      </w:hyperlink>
    </w:p>
    <w:p>
      <w:r>
        <w:t>Safe quick start: Write a small lab rule for approved model/data/use; test allow, deny, and missing-data cases; peer-review changes; keep human exception authority.</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30.17 DefectDojo</w:t>
      </w:r>
    </w:p>
    <w:p>
      <w:r>
        <w:t xml:space="preserve">Purpose: Finding intake, deduplication, ownership, remediation, and retest. Official project: </w:t>
      </w:r>
      <w:hyperlink r:id="rId38">
        <w:r>
          <w:rPr>
            <w:color w:val="2E74B5"/>
            <w:u w:val="single"/>
          </w:rPr>
          <w:t>DefectDojo</w:t>
        </w:r>
      </w:hyperlink>
    </w:p>
    <w:p>
      <w:r>
        <w:t>Safe quick start: Import safe lab results; validate duplicates and severity; assign owner/date; attach evidence; close only after retest.</w:t>
      </w:r>
    </w:p>
    <w:p>
      <w:r>
        <w:t>AIMS evidence: authority/scope, system/model/data versions, identity, tool/version/configuration, criteria/thresholds, date, source population, result, human validation, limitations, finding, owner/action, approval, and retest.</w:t>
      </w:r>
    </w:p>
    <w:p>
      <w:pPr>
        <w:pStyle w:val="Heading2"/>
        <w:keepNext/>
        <w:jc w:val="left"/>
      </w:pPr>
      <w:r>
        <w:t>30.18 Langfuse</w:t>
      </w:r>
    </w:p>
    <w:p>
      <w:r>
        <w:t xml:space="preserve">Purpose: Open-source LLM tracing, prompt management, and evaluation. Official project: </w:t>
      </w:r>
      <w:hyperlink r:id="rId39">
        <w:r>
          <w:rPr>
            <w:color w:val="2E74B5"/>
            <w:u w:val="single"/>
          </w:rPr>
          <w:t>Langfuse</w:t>
        </w:r>
      </w:hyperlink>
    </w:p>
    <w:p>
      <w:r>
        <w:t>Safe quick start: Use an approved lab; redact sensitive fields; trace a workflow; restrict access/retention; connect traces to evaluation and incident records.</w:t>
      </w:r>
    </w:p>
    <w:p>
      <w:r>
        <w:t>AIMS evidence: authority/scope, system/model/data versions, identity, tool/version/configuration, criteria/thresholds, date, source population, result, human validation, limitations, finding, owner/action, approval, and retest.</w:t>
      </w:r>
    </w:p>
    <w:p>
      <w:pPr>
        <w:pStyle w:val="Heading1"/>
        <w:pageBreakBefore/>
        <w:keepNext/>
        <w:jc w:val="left"/>
      </w:pPr>
      <w:r>
        <w:t>31. Manager and Junior Analyst Playbook, Laboratory, and Interviews</w:t>
      </w:r>
    </w:p>
    <w:p>
      <w:pPr>
        <w:spacing w:after="200"/>
      </w:pPr>
      <w:r>
        <w:rPr>
          <w:rFonts w:ascii="Aptos" w:hAnsi="Aptos"/>
          <w:i/>
          <w:color w:val="5B6570"/>
          <w:sz w:val="22"/>
        </w:rPr>
        <w:t>Managers keep the AIMS tied to real outcomes; junior analysts create reliable inventories, workpapers, findings, and improvement evidence.</w:t>
      </w:r>
    </w:p>
    <w:p>
      <w:pPr>
        <w:keepNext/>
        <w:jc w:val="center"/>
      </w:pPr>
      <w:r>
        <w:drawing>
          <wp:inline xmlns:a="http://schemas.openxmlformats.org/drawingml/2006/main" xmlns:pic="http://schemas.openxmlformats.org/drawingml/2006/picture">
            <wp:extent cx="5623560" cy="2956017"/>
            <wp:docPr id="10" name="Manual 02 Figure 10" descr="Practical work and honest limitations are more valuable than memorized clause numbers." title="Figure 10"/>
            <wp:cNvGraphicFramePr>
              <a:graphicFrameLocks noChangeAspect="1"/>
            </wp:cNvGraphicFramePr>
            <a:graphic>
              <a:graphicData uri="http://schemas.openxmlformats.org/drawingml/2006/picture">
                <pic:pic>
                  <pic:nvPicPr>
                    <pic:cNvPr id="0" name="career.png"/>
                    <pic:cNvPicPr/>
                  </pic:nvPicPr>
                  <pic:blipFill>
                    <a:blip r:embed="rId40"/>
                    <a:stretch>
                      <a:fillRect/>
                    </a:stretch>
                  </pic:blipFill>
                  <pic:spPr>
                    <a:xfrm>
                      <a:off x="0" y="0"/>
                      <a:ext cx="5623560" cy="2956017"/>
                    </a:xfrm>
                    <a:prstGeom prst="rect"/>
                  </pic:spPr>
                </pic:pic>
              </a:graphicData>
            </a:graphic>
          </wp:inline>
        </w:drawing>
      </w:r>
    </w:p>
    <w:p>
      <w:pPr>
        <w:pStyle w:val="Caption"/>
        <w:spacing w:after="180"/>
        <w:jc w:val="center"/>
        <w:keepNext/>
      </w:pPr>
      <w:r>
        <w:t>Figure 10. Junior AIMS analyst pathway</w:t>
      </w:r>
    </w:p>
    <w:p>
      <w:pPr>
        <w:pStyle w:val="Heading2"/>
        <w:keepNext/>
        <w:jc w:val="left"/>
      </w:pPr>
      <w:r>
        <w:t>31.1 Manager questions</w:t>
      </w:r>
    </w:p>
    <w:tbl>
      <w:tblPr>
        <w:tblStyle w:val="TableGrid"/>
        <w:tblW w:type="dxa" w:w="9360"/>
        <w:tblLayout w:type="fixed"/>
        <w:tblLook w:firstColumn="1" w:firstRow="1" w:lastColumn="0" w:lastRow="0" w:noHBand="0" w:noVBand="1" w:val="04A0"/>
        <w:jc w:val="center"/>
        <w:tblInd w:w="120" w:type="dxa"/>
      </w:tblPr>
      <w:tblGrid>
        <w:gridCol w:w="2500"/>
        <w:gridCol w:w="4000"/>
        <w:gridCol w:w="2860"/>
      </w:tblGrid>
      <w:tr>
        <w:trPr>
          <w:tblHeader w:val="true"/>
          <w:cantSplit/>
        </w:trPr>
        <w:tc>
          <w:tcPr>
            <w:tcW w:type="dxa" w:w="2500"/>
            <w:tcMar>
              <w:top w:w="90" w:type="dxa"/>
              <w:start w:w="120" w:type="dxa"/>
              <w:bottom w:w="90" w:type="dxa"/>
              <w:end w:w="120" w:type="dxa"/>
            </w:tcMar>
            <w:vAlign w:val="center"/>
            <w:shd w:fill="1F4E78"/>
          </w:tcPr>
          <w:p>
            <w:pPr>
              <w:spacing w:after="40" w:before="0"/>
              <w:jc w:val="left"/>
            </w:pPr>
            <w:r>
              <w:rPr>
                <w:b/>
                <w:sz w:val="14"/>
                <w:color w:val="FFFFFF"/>
              </w:rPr>
              <w:t>Question</w:t>
            </w:r>
          </w:p>
        </w:tc>
        <w:tc>
          <w:tcPr>
            <w:tcW w:type="dxa" w:w="4000"/>
            <w:tcMar>
              <w:top w:w="90" w:type="dxa"/>
              <w:start w:w="120" w:type="dxa"/>
              <w:bottom w:w="90" w:type="dxa"/>
              <w:end w:w="120" w:type="dxa"/>
            </w:tcMar>
            <w:vAlign w:val="center"/>
            <w:shd w:fill="1F4E78"/>
          </w:tcPr>
          <w:p>
            <w:pPr>
              <w:spacing w:after="40" w:before="0"/>
              <w:jc w:val="left"/>
            </w:pPr>
            <w:r>
              <w:rPr>
                <w:b/>
                <w:sz w:val="14"/>
                <w:color w:val="FFFFFF"/>
              </w:rPr>
              <w:t>Strong evidence</w:t>
            </w:r>
          </w:p>
        </w:tc>
        <w:tc>
          <w:tcPr>
            <w:tcW w:type="dxa" w:w="2860"/>
            <w:tcMar>
              <w:top w:w="90" w:type="dxa"/>
              <w:start w:w="120" w:type="dxa"/>
              <w:bottom w:w="90" w:type="dxa"/>
              <w:end w:w="120" w:type="dxa"/>
            </w:tcMar>
            <w:vAlign w:val="center"/>
            <w:shd w:fill="1F4E78"/>
          </w:tcPr>
          <w:p>
            <w:pPr>
              <w:spacing w:after="40" w:before="0"/>
              <w:jc w:val="left"/>
            </w:pPr>
            <w:r>
              <w:rPr>
                <w:b/>
                <w:sz w:val="14"/>
                <w:color w:val="FFFFFF"/>
              </w:rPr>
              <w:t>Red flag</w:t>
            </w:r>
          </w:p>
        </w:tc>
      </w:tr>
      <w:tr>
        <w:trPr>
          <w:cantSplit/>
        </w:trPr>
        <w:tc>
          <w:tcPr>
            <w:tcW w:type="dxa" w:w="2500"/>
            <w:vAlign w:val="center"/>
          </w:tcPr>
          <w:p>
            <w:pPr>
              <w:spacing w:after="40" w:line="252" w:lineRule="auto" w:before="0"/>
            </w:pPr>
            <w:r>
              <w:rPr>
                <w:color w:val="1A1A1A"/>
                <w:sz w:val="14"/>
              </w:rPr>
              <w:t>What is in scope?</w:t>
            </w:r>
          </w:p>
        </w:tc>
        <w:tc>
          <w:tcPr>
            <w:tcW w:type="dxa" w:w="4000"/>
            <w:vAlign w:val="center"/>
          </w:tcPr>
          <w:p>
            <w:pPr>
              <w:spacing w:after="40" w:line="252" w:lineRule="auto" w:before="0"/>
            </w:pPr>
            <w:r>
              <w:rPr>
                <w:color w:val="1A1A1A"/>
                <w:sz w:val="14"/>
              </w:rPr>
              <w:t>Reconciled AI inventory, organization/role/system/data/supplier boundaries</w:t>
            </w:r>
          </w:p>
        </w:tc>
        <w:tc>
          <w:tcPr>
            <w:tcW w:type="dxa" w:w="2860"/>
            <w:vAlign w:val="center"/>
          </w:tcPr>
          <w:p>
            <w:pPr>
              <w:spacing w:after="40" w:line="252" w:lineRule="auto" w:before="0"/>
            </w:pPr>
            <w:r>
              <w:rPr>
                <w:color w:val="1A1A1A"/>
                <w:sz w:val="14"/>
              </w:rPr>
              <w:t>Marketing scope broader than certificate</w:t>
            </w:r>
          </w:p>
        </w:tc>
      </w:tr>
      <w:tr>
        <w:trPr>
          <w:cantSplit/>
        </w:trPr>
        <w:tc>
          <w:tcPr>
            <w:tcW w:type="dxa" w:w="2500"/>
            <w:shd w:fill="F7F9FB"/>
            <w:vAlign w:val="center"/>
          </w:tcPr>
          <w:p>
            <w:pPr>
              <w:spacing w:after="40" w:line="252" w:lineRule="auto" w:before="0"/>
            </w:pPr>
            <w:r>
              <w:rPr>
                <w:color w:val="1A1A1A"/>
                <w:sz w:val="14"/>
              </w:rPr>
              <w:t>Who may decide?</w:t>
            </w:r>
          </w:p>
        </w:tc>
        <w:tc>
          <w:tcPr>
            <w:tcW w:type="dxa" w:w="4000"/>
            <w:shd w:fill="F7F9FB"/>
            <w:vAlign w:val="center"/>
          </w:tcPr>
          <w:p>
            <w:pPr>
              <w:spacing w:after="40" w:line="252" w:lineRule="auto" w:before="0"/>
            </w:pPr>
            <w:r>
              <w:rPr>
                <w:color w:val="1A1A1A"/>
                <w:sz w:val="14"/>
              </w:rPr>
              <w:t>Named business, system, data, impact, risk, supplier, incident and audit authority</w:t>
            </w:r>
          </w:p>
        </w:tc>
        <w:tc>
          <w:tcPr>
            <w:tcW w:type="dxa" w:w="2860"/>
            <w:shd w:fill="F7F9FB"/>
            <w:vAlign w:val="center"/>
          </w:tcPr>
          <w:p>
            <w:pPr>
              <w:spacing w:after="40" w:line="252" w:lineRule="auto" w:before="0"/>
            </w:pPr>
            <w:r>
              <w:rPr>
                <w:color w:val="1A1A1A"/>
                <w:sz w:val="14"/>
              </w:rPr>
              <w:t>AI team accepts business/legal risk alone</w:t>
            </w:r>
          </w:p>
        </w:tc>
      </w:tr>
      <w:tr>
        <w:trPr>
          <w:cantSplit/>
        </w:trPr>
        <w:tc>
          <w:tcPr>
            <w:tcW w:type="dxa" w:w="2500"/>
            <w:vAlign w:val="center"/>
          </w:tcPr>
          <w:p>
            <w:pPr>
              <w:spacing w:after="40" w:line="252" w:lineRule="auto" w:before="0"/>
            </w:pPr>
            <w:r>
              <w:rPr>
                <w:color w:val="1A1A1A"/>
                <w:sz w:val="14"/>
              </w:rPr>
              <w:t>What harms are possible?</w:t>
            </w:r>
          </w:p>
        </w:tc>
        <w:tc>
          <w:tcPr>
            <w:tcW w:type="dxa" w:w="4000"/>
            <w:vAlign w:val="center"/>
          </w:tcPr>
          <w:p>
            <w:pPr>
              <w:spacing w:after="40" w:line="252" w:lineRule="auto" w:before="0"/>
            </w:pPr>
            <w:r>
              <w:rPr>
                <w:color w:val="1A1A1A"/>
                <w:sz w:val="14"/>
              </w:rPr>
              <w:t>Current risk and impact assessments with affected people and alternatives</w:t>
            </w:r>
          </w:p>
        </w:tc>
        <w:tc>
          <w:tcPr>
            <w:tcW w:type="dxa" w:w="2860"/>
            <w:vAlign w:val="center"/>
          </w:tcPr>
          <w:p>
            <w:pPr>
              <w:spacing w:after="40" w:line="252" w:lineRule="auto" w:before="0"/>
            </w:pPr>
            <w:r>
              <w:rPr>
                <w:color w:val="1A1A1A"/>
                <w:sz w:val="14"/>
              </w:rPr>
              <w:t>Only model accuracy considered</w:t>
            </w:r>
          </w:p>
        </w:tc>
      </w:tr>
      <w:tr>
        <w:trPr>
          <w:cantSplit/>
        </w:trPr>
        <w:tc>
          <w:tcPr>
            <w:tcW w:type="dxa" w:w="2500"/>
            <w:shd w:fill="F7F9FB"/>
            <w:vAlign w:val="center"/>
          </w:tcPr>
          <w:p>
            <w:pPr>
              <w:spacing w:after="40" w:line="252" w:lineRule="auto" w:before="0"/>
            </w:pPr>
            <w:r>
              <w:rPr>
                <w:color w:val="1A1A1A"/>
                <w:sz w:val="14"/>
              </w:rPr>
              <w:t>What proves readiness?</w:t>
            </w:r>
          </w:p>
        </w:tc>
        <w:tc>
          <w:tcPr>
            <w:tcW w:type="dxa" w:w="4000"/>
            <w:shd w:fill="F7F9FB"/>
            <w:vAlign w:val="center"/>
          </w:tcPr>
          <w:p>
            <w:pPr>
              <w:spacing w:after="40" w:line="252" w:lineRule="auto" w:before="0"/>
            </w:pPr>
            <w:r>
              <w:rPr>
                <w:color w:val="1A1A1A"/>
                <w:sz w:val="14"/>
              </w:rPr>
              <w:t>Versioned production-like evaluation, thresholds, failures, oversight, rollback</w:t>
            </w:r>
          </w:p>
        </w:tc>
        <w:tc>
          <w:tcPr>
            <w:tcW w:type="dxa" w:w="2860"/>
            <w:shd w:fill="F7F9FB"/>
            <w:vAlign w:val="center"/>
          </w:tcPr>
          <w:p>
            <w:pPr>
              <w:spacing w:after="40" w:line="252" w:lineRule="auto" w:before="0"/>
            </w:pPr>
            <w:r>
              <w:rPr>
                <w:color w:val="1A1A1A"/>
                <w:sz w:val="14"/>
              </w:rPr>
              <w:t>Vendor demo or policy only</w:t>
            </w:r>
          </w:p>
        </w:tc>
      </w:tr>
      <w:tr>
        <w:trPr>
          <w:cantSplit/>
        </w:trPr>
        <w:tc>
          <w:tcPr>
            <w:tcW w:type="dxa" w:w="2500"/>
            <w:vAlign w:val="center"/>
          </w:tcPr>
          <w:p>
            <w:pPr>
              <w:spacing w:after="40" w:line="252" w:lineRule="auto" w:before="0"/>
            </w:pPr>
            <w:r>
              <w:rPr>
                <w:color w:val="1A1A1A"/>
                <w:sz w:val="14"/>
              </w:rPr>
              <w:t>What changes risk?</w:t>
            </w:r>
          </w:p>
        </w:tc>
        <w:tc>
          <w:tcPr>
            <w:tcW w:type="dxa" w:w="4000"/>
            <w:vAlign w:val="center"/>
          </w:tcPr>
          <w:p>
            <w:pPr>
              <w:spacing w:after="40" w:line="252" w:lineRule="auto" w:before="0"/>
            </w:pPr>
            <w:r>
              <w:rPr>
                <w:color w:val="1A1A1A"/>
                <w:sz w:val="14"/>
              </w:rPr>
              <w:t>Trigger list, monitoring, provider notice, regression, reassessment</w:t>
            </w:r>
          </w:p>
        </w:tc>
        <w:tc>
          <w:tcPr>
            <w:tcW w:type="dxa" w:w="2860"/>
            <w:vAlign w:val="center"/>
          </w:tcPr>
          <w:p>
            <w:pPr>
              <w:spacing w:after="40" w:line="252" w:lineRule="auto" w:before="0"/>
            </w:pPr>
            <w:r>
              <w:rPr>
                <w:color w:val="1A1A1A"/>
                <w:sz w:val="14"/>
              </w:rPr>
              <w:t>Automatic updates without review</w:t>
            </w:r>
          </w:p>
        </w:tc>
      </w:tr>
      <w:tr>
        <w:trPr>
          <w:cantSplit/>
        </w:trPr>
        <w:tc>
          <w:tcPr>
            <w:tcW w:type="dxa" w:w="2500"/>
            <w:shd w:fill="F7F9FB"/>
            <w:vAlign w:val="center"/>
          </w:tcPr>
          <w:p>
            <w:pPr>
              <w:spacing w:after="40" w:line="252" w:lineRule="auto" w:before="0"/>
            </w:pPr>
            <w:r>
              <w:rPr>
                <w:color w:val="1A1A1A"/>
                <w:sz w:val="14"/>
              </w:rPr>
              <w:t>Is the AIMS improving?</w:t>
            </w:r>
          </w:p>
        </w:tc>
        <w:tc>
          <w:tcPr>
            <w:tcW w:type="dxa" w:w="4000"/>
            <w:shd w:fill="F7F9FB"/>
            <w:vAlign w:val="center"/>
          </w:tcPr>
          <w:p>
            <w:pPr>
              <w:spacing w:after="40" w:line="252" w:lineRule="auto" w:before="0"/>
            </w:pPr>
            <w:r>
              <w:rPr>
                <w:color w:val="1A1A1A"/>
                <w:sz w:val="14"/>
              </w:rPr>
              <w:t>Objectives, audit, complaints/incidents, root causes, effective actions</w:t>
            </w:r>
          </w:p>
        </w:tc>
        <w:tc>
          <w:tcPr>
            <w:tcW w:type="dxa" w:w="2860"/>
            <w:shd w:fill="F7F9FB"/>
            <w:vAlign w:val="center"/>
          </w:tcPr>
          <w:p>
            <w:pPr>
              <w:spacing w:after="40" w:line="252" w:lineRule="auto" w:before="0"/>
            </w:pPr>
            <w:r>
              <w:rPr>
                <w:color w:val="1A1A1A"/>
                <w:sz w:val="14"/>
              </w:rPr>
              <w:t>Certificate is the only success measure</w:t>
            </w:r>
          </w:p>
        </w:tc>
      </w:tr>
    </w:tbl>
    <w:p>
      <w:pPr>
        <w:spacing w:after="0"/>
      </w:pPr>
    </w:p>
    <w:p>
      <w:pPr>
        <w:pStyle w:val="Heading2"/>
        <w:keepNext/>
        <w:jc w:val="left"/>
      </w:pPr>
      <w:r>
        <w:t>31.2 Junior analyst work</w:t>
      </w:r>
    </w:p>
    <w:p>
      <w:pPr>
        <w:pStyle w:val="ListBullet"/>
        <w:spacing w:after="60"/>
      </w:pPr>
      <w:r>
        <w:t>Maintain AI inventory, scope, interested parties, obligations, risk/impact registers, SoA, supplier records, objectives, evidence, and actions.</w:t>
      </w:r>
    </w:p>
    <w:p>
      <w:pPr>
        <w:pStyle w:val="ListBullet"/>
        <w:spacing w:after="60"/>
      </w:pPr>
      <w:r>
        <w:t>Map clauses/controls to processes and real system evidence; reconcile populations and versions.</w:t>
      </w:r>
    </w:p>
    <w:p>
      <w:pPr>
        <w:pStyle w:val="ListBullet"/>
        <w:spacing w:after="60"/>
      </w:pPr>
      <w:r>
        <w:t>Test document control, competence, lifecycle gates, data lineage/quality, evaluation, responsible use, supplier change, monitoring, incident, and corrective action.</w:t>
      </w:r>
    </w:p>
    <w:p>
      <w:pPr>
        <w:pStyle w:val="ListBullet"/>
        <w:spacing w:after="60"/>
      </w:pPr>
      <w:r>
        <w:t>Write objective findings and manager summaries; track correction and effectiveness retest.</w:t>
      </w:r>
    </w:p>
    <w:p>
      <w:pPr>
        <w:pStyle w:val="ListBullet"/>
        <w:spacing w:after="60"/>
      </w:pPr>
      <w:r>
        <w:t>Support internal audits and management review without making decisions reserved for owners or auditors.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Portfolio lab rule: </w:t>
      </w:r>
      <w:r>
        <w:rPr>
          <w:rFonts w:ascii="Aptos" w:hAnsi="Aptos"/>
          <w:color w:val="1A1A1A"/>
        </w:rPr>
        <w:t>Use a fictional organization, synthetic data, and local or approved test models. Never claim the project is certified, audited by an accredited body, or based on confidential employer evidence.</w:t>
      </w:r>
    </w:p>
    <w:p>
      <w:pPr>
        <w:spacing w:after="0"/>
      </w:pPr>
    </w:p>
    <w:p>
      <w:pPr>
        <w:pStyle w:val="Heading2"/>
        <w:keepNext/>
        <w:jc w:val="left"/>
      </w:pPr>
      <w:r>
        <w:t>31.3 Fictional laboratory</w:t>
      </w:r>
    </w:p>
    <w:p>
      <w:pPr>
        <w:pStyle w:val="ListBullet"/>
        <w:spacing w:after="60"/>
      </w:pPr>
      <w:r>
        <w:t>Create a fictional 100-person company that develops a customer-support RAG assistant and uses a purchased HR drafting assistant that cannot make employment decisions.</w:t>
      </w:r>
    </w:p>
    <w:p>
      <w:pPr>
        <w:pStyle w:val="ListBullet"/>
        <w:spacing w:after="60"/>
      </w:pPr>
      <w:r>
        <w:t>Define AIMS context, interested parties, roles, scope, policy, process map, AI inventory, obligations, and implementation roadmap.</w:t>
      </w:r>
    </w:p>
    <w:p>
      <w:pPr>
        <w:pStyle w:val="ListBullet"/>
        <w:spacing w:after="60"/>
      </w:pPr>
      <w:r>
        <w:t>Create a risk method, six risk scenarios, treatment plan, 38-control SoA, and two impact assessments using ISO/IEC 42005 concepts.</w:t>
      </w:r>
    </w:p>
    <w:p>
      <w:pPr>
        <w:pStyle w:val="ListBullet"/>
        <w:spacing w:after="60"/>
      </w:pPr>
      <w:r>
        <w:t>Build resource, dataset, model/system, supplier, user-information, communication, competence, and document-control records.</w:t>
      </w:r>
    </w:p>
    <w:p>
      <w:pPr>
        <w:pStyle w:val="ListBullet"/>
        <w:spacing w:after="60"/>
      </w:pPr>
      <w:r>
        <w:t>Run synthetic evaluations using two open-source tools; retain versions, thresholds, failures, correction, and retest.</w:t>
      </w:r>
    </w:p>
    <w:p>
      <w:pPr>
        <w:pStyle w:val="ListBullet"/>
        <w:spacing w:after="60"/>
      </w:pPr>
      <w:r>
        <w:t>Create objectives/dashboard, internal audit plan and five workpapers, two findings, corrective actions, management-review pack, and certification readiness report.</w:t>
      </w:r>
    </w:p>
    <w:p>
      <w:pPr>
        <w:pStyle w:val="ListBullet"/>
        <w:spacing w:after="60"/>
      </w:pPr>
      <w:r>
        <w:t>Publish only sanitized fictional evidence and an honest limitations statement.</w:t>
      </w:r>
    </w:p>
    <w:p>
      <w:pPr>
        <w:pStyle w:val="Heading2"/>
        <w:keepNext/>
        <w:jc w:val="left"/>
      </w:pPr>
      <w:r>
        <w:t>31.4 Thirty-day plan</w:t>
      </w:r>
    </w:p>
    <w:tbl>
      <w:tblPr>
        <w:tblStyle w:val="TableGrid"/>
        <w:tblW w:type="dxa" w:w="9360"/>
        <w:tblLayout w:type="fixed"/>
        <w:tblLook w:firstColumn="1" w:firstRow="1" w:lastColumn="0" w:lastRow="0" w:noHBand="0" w:noVBand="1" w:val="04A0"/>
        <w:jc w:val="center"/>
        <w:tblInd w:w="120" w:type="dxa"/>
      </w:tblPr>
      <w:tblGrid>
        <w:gridCol w:w="1300"/>
        <w:gridCol w:w="3500"/>
        <w:gridCol w:w="4560"/>
      </w:tblGrid>
      <w:tr>
        <w:trPr>
          <w:tblHeader w:val="true"/>
          <w:cantSplit/>
        </w:trPr>
        <w:tc>
          <w:tcPr>
            <w:tcW w:type="dxa" w:w="1300"/>
            <w:tcMar>
              <w:top w:w="90" w:type="dxa"/>
              <w:start w:w="120" w:type="dxa"/>
              <w:bottom w:w="90" w:type="dxa"/>
              <w:end w:w="120" w:type="dxa"/>
            </w:tcMar>
            <w:vAlign w:val="center"/>
            <w:shd w:fill="1F4E78"/>
          </w:tcPr>
          <w:p>
            <w:pPr>
              <w:spacing w:after="40" w:before="0"/>
              <w:jc w:val="left"/>
            </w:pPr>
            <w:r>
              <w:rPr>
                <w:b/>
                <w:sz w:val="15"/>
                <w:color w:val="FFFFFF"/>
              </w:rPr>
              <w:t>Days</w:t>
            </w:r>
          </w:p>
        </w:tc>
        <w:tc>
          <w:tcPr>
            <w:tcW w:type="dxa" w:w="3500"/>
            <w:tcMar>
              <w:top w:w="90" w:type="dxa"/>
              <w:start w:w="120" w:type="dxa"/>
              <w:bottom w:w="90" w:type="dxa"/>
              <w:end w:w="120" w:type="dxa"/>
            </w:tcMar>
            <w:vAlign w:val="center"/>
            <w:shd w:fill="1F4E78"/>
          </w:tcPr>
          <w:p>
            <w:pPr>
              <w:spacing w:after="40" w:before="0"/>
              <w:jc w:val="left"/>
            </w:pPr>
            <w:r>
              <w:rPr>
                <w:b/>
                <w:sz w:val="15"/>
                <w:color w:val="FFFFFF"/>
              </w:rPr>
              <w:t>Focus</w:t>
            </w:r>
          </w:p>
        </w:tc>
        <w:tc>
          <w:tcPr>
            <w:tcW w:type="dxa" w:w="4560"/>
            <w:tcMar>
              <w:top w:w="90" w:type="dxa"/>
              <w:start w:w="120" w:type="dxa"/>
              <w:bottom w:w="90" w:type="dxa"/>
              <w:end w:w="120" w:type="dxa"/>
            </w:tcMar>
            <w:vAlign w:val="center"/>
            <w:shd w:fill="1F4E78"/>
          </w:tcPr>
          <w:p>
            <w:pPr>
              <w:spacing w:after="40" w:before="0"/>
              <w:jc w:val="left"/>
            </w:pPr>
            <w:r>
              <w:rPr>
                <w:b/>
                <w:sz w:val="15"/>
                <w:color w:val="FFFFFF"/>
              </w:rPr>
              <w:t>Deliverable</w:t>
            </w:r>
          </w:p>
        </w:tc>
      </w:tr>
      <w:tr>
        <w:trPr>
          <w:cantSplit/>
        </w:trPr>
        <w:tc>
          <w:tcPr>
            <w:tcW w:type="dxa" w:w="1300"/>
            <w:vAlign w:val="center"/>
          </w:tcPr>
          <w:p>
            <w:pPr>
              <w:spacing w:after="40" w:line="252" w:lineRule="auto" w:before="0"/>
            </w:pPr>
            <w:r>
              <w:rPr>
                <w:color w:val="1A1A1A"/>
                <w:sz w:val="15"/>
              </w:rPr>
              <w:t>1–3</w:t>
            </w:r>
          </w:p>
        </w:tc>
        <w:tc>
          <w:tcPr>
            <w:tcW w:type="dxa" w:w="3500"/>
            <w:vAlign w:val="center"/>
          </w:tcPr>
          <w:p>
            <w:pPr>
              <w:spacing w:after="40" w:line="252" w:lineRule="auto" w:before="0"/>
            </w:pPr>
            <w:r>
              <w:rPr>
                <w:color w:val="1A1A1A"/>
                <w:sz w:val="15"/>
              </w:rPr>
              <w:t>Standard, AIMS, PDCA</w:t>
            </w:r>
          </w:p>
        </w:tc>
        <w:tc>
          <w:tcPr>
            <w:tcW w:type="dxa" w:w="4560"/>
            <w:vAlign w:val="center"/>
          </w:tcPr>
          <w:p>
            <w:pPr>
              <w:spacing w:after="40" w:line="252" w:lineRule="auto" w:before="0"/>
            </w:pPr>
            <w:r>
              <w:rPr>
                <w:color w:val="1A1A1A"/>
                <w:sz w:val="15"/>
              </w:rPr>
              <w:t>Clause map and glossary</w:t>
            </w:r>
          </w:p>
        </w:tc>
      </w:tr>
      <w:tr>
        <w:trPr>
          <w:cantSplit/>
        </w:trPr>
        <w:tc>
          <w:tcPr>
            <w:tcW w:type="dxa" w:w="1300"/>
            <w:shd w:fill="F7F9FB"/>
            <w:vAlign w:val="center"/>
          </w:tcPr>
          <w:p>
            <w:pPr>
              <w:spacing w:after="40" w:line="252" w:lineRule="auto" w:before="0"/>
            </w:pPr>
            <w:r>
              <w:rPr>
                <w:color w:val="1A1A1A"/>
                <w:sz w:val="15"/>
              </w:rPr>
              <w:t>4–6</w:t>
            </w:r>
          </w:p>
        </w:tc>
        <w:tc>
          <w:tcPr>
            <w:tcW w:type="dxa" w:w="3500"/>
            <w:shd w:fill="F7F9FB"/>
            <w:vAlign w:val="center"/>
          </w:tcPr>
          <w:p>
            <w:pPr>
              <w:spacing w:after="40" w:line="252" w:lineRule="auto" w:before="0"/>
            </w:pPr>
            <w:r>
              <w:rPr>
                <w:color w:val="1A1A1A"/>
                <w:sz w:val="15"/>
              </w:rPr>
              <w:t>Context, parties, scope</w:t>
            </w:r>
          </w:p>
        </w:tc>
        <w:tc>
          <w:tcPr>
            <w:tcW w:type="dxa" w:w="4560"/>
            <w:shd w:fill="F7F9FB"/>
            <w:vAlign w:val="center"/>
          </w:tcPr>
          <w:p>
            <w:pPr>
              <w:spacing w:after="40" w:line="252" w:lineRule="auto" w:before="0"/>
            </w:pPr>
            <w:r>
              <w:rPr>
                <w:color w:val="1A1A1A"/>
                <w:sz w:val="15"/>
              </w:rPr>
              <w:t>Scope and interested-party register</w:t>
            </w:r>
          </w:p>
        </w:tc>
      </w:tr>
      <w:tr>
        <w:trPr>
          <w:cantSplit/>
        </w:trPr>
        <w:tc>
          <w:tcPr>
            <w:tcW w:type="dxa" w:w="1300"/>
            <w:vAlign w:val="center"/>
          </w:tcPr>
          <w:p>
            <w:pPr>
              <w:spacing w:after="40" w:line="252" w:lineRule="auto" w:before="0"/>
            </w:pPr>
            <w:r>
              <w:rPr>
                <w:color w:val="1A1A1A"/>
                <w:sz w:val="15"/>
              </w:rPr>
              <w:t>7–9</w:t>
            </w:r>
          </w:p>
        </w:tc>
        <w:tc>
          <w:tcPr>
            <w:tcW w:type="dxa" w:w="3500"/>
            <w:vAlign w:val="center"/>
          </w:tcPr>
          <w:p>
            <w:pPr>
              <w:spacing w:after="40" w:line="252" w:lineRule="auto" w:before="0"/>
            </w:pPr>
            <w:r>
              <w:rPr>
                <w:color w:val="1A1A1A"/>
                <w:sz w:val="15"/>
              </w:rPr>
              <w:t>Leadership and planning</w:t>
            </w:r>
          </w:p>
        </w:tc>
        <w:tc>
          <w:tcPr>
            <w:tcW w:type="dxa" w:w="4560"/>
            <w:vAlign w:val="center"/>
          </w:tcPr>
          <w:p>
            <w:pPr>
              <w:spacing w:after="40" w:line="252" w:lineRule="auto" w:before="0"/>
            </w:pPr>
            <w:r>
              <w:rPr>
                <w:color w:val="1A1A1A"/>
                <w:sz w:val="15"/>
              </w:rPr>
              <w:t>Policy, RACI, objectives</w:t>
            </w:r>
          </w:p>
        </w:tc>
      </w:tr>
      <w:tr>
        <w:trPr>
          <w:cantSplit/>
        </w:trPr>
        <w:tc>
          <w:tcPr>
            <w:tcW w:type="dxa" w:w="1300"/>
            <w:shd w:fill="F7F9FB"/>
            <w:vAlign w:val="center"/>
          </w:tcPr>
          <w:p>
            <w:pPr>
              <w:spacing w:after="40" w:line="252" w:lineRule="auto" w:before="0"/>
            </w:pPr>
            <w:r>
              <w:rPr>
                <w:color w:val="1A1A1A"/>
                <w:sz w:val="15"/>
              </w:rPr>
              <w:t>10–12</w:t>
            </w:r>
          </w:p>
        </w:tc>
        <w:tc>
          <w:tcPr>
            <w:tcW w:type="dxa" w:w="3500"/>
            <w:shd w:fill="F7F9FB"/>
            <w:vAlign w:val="center"/>
          </w:tcPr>
          <w:p>
            <w:pPr>
              <w:spacing w:after="40" w:line="252" w:lineRule="auto" w:before="0"/>
            </w:pPr>
            <w:r>
              <w:rPr>
                <w:color w:val="1A1A1A"/>
                <w:sz w:val="15"/>
              </w:rPr>
              <w:t>Risk and treatment</w:t>
            </w:r>
          </w:p>
        </w:tc>
        <w:tc>
          <w:tcPr>
            <w:tcW w:type="dxa" w:w="4560"/>
            <w:shd w:fill="F7F9FB"/>
            <w:vAlign w:val="center"/>
          </w:tcPr>
          <w:p>
            <w:pPr>
              <w:spacing w:after="40" w:line="252" w:lineRule="auto" w:before="0"/>
            </w:pPr>
            <w:r>
              <w:rPr>
                <w:color w:val="1A1A1A"/>
                <w:sz w:val="15"/>
              </w:rPr>
              <w:t>Method, register, plan, SoA</w:t>
            </w:r>
          </w:p>
        </w:tc>
      </w:tr>
      <w:tr>
        <w:trPr>
          <w:cantSplit/>
        </w:trPr>
        <w:tc>
          <w:tcPr>
            <w:tcW w:type="dxa" w:w="1300"/>
            <w:vAlign w:val="center"/>
          </w:tcPr>
          <w:p>
            <w:pPr>
              <w:spacing w:after="40" w:line="252" w:lineRule="auto" w:before="0"/>
            </w:pPr>
            <w:r>
              <w:rPr>
                <w:color w:val="1A1A1A"/>
                <w:sz w:val="15"/>
              </w:rPr>
              <w:t>13–15</w:t>
            </w:r>
          </w:p>
        </w:tc>
        <w:tc>
          <w:tcPr>
            <w:tcW w:type="dxa" w:w="3500"/>
            <w:vAlign w:val="center"/>
          </w:tcPr>
          <w:p>
            <w:pPr>
              <w:spacing w:after="40" w:line="252" w:lineRule="auto" w:before="0"/>
            </w:pPr>
            <w:r>
              <w:rPr>
                <w:color w:val="1A1A1A"/>
                <w:sz w:val="15"/>
              </w:rPr>
              <w:t>Impact assessment</w:t>
            </w:r>
          </w:p>
        </w:tc>
        <w:tc>
          <w:tcPr>
            <w:tcW w:type="dxa" w:w="4560"/>
            <w:vAlign w:val="center"/>
          </w:tcPr>
          <w:p>
            <w:pPr>
              <w:spacing w:after="40" w:line="252" w:lineRule="auto" w:before="0"/>
            </w:pPr>
            <w:r>
              <w:rPr>
                <w:color w:val="1A1A1A"/>
                <w:sz w:val="15"/>
              </w:rPr>
              <w:t>Two impact workpapers</w:t>
            </w:r>
          </w:p>
        </w:tc>
      </w:tr>
      <w:tr>
        <w:trPr>
          <w:cantSplit/>
        </w:trPr>
        <w:tc>
          <w:tcPr>
            <w:tcW w:type="dxa" w:w="1300"/>
            <w:shd w:fill="F7F9FB"/>
            <w:vAlign w:val="center"/>
          </w:tcPr>
          <w:p>
            <w:pPr>
              <w:spacing w:after="40" w:line="252" w:lineRule="auto" w:before="0"/>
            </w:pPr>
            <w:r>
              <w:rPr>
                <w:color w:val="1A1A1A"/>
                <w:sz w:val="15"/>
              </w:rPr>
              <w:t>16–18</w:t>
            </w:r>
          </w:p>
        </w:tc>
        <w:tc>
          <w:tcPr>
            <w:tcW w:type="dxa" w:w="3500"/>
            <w:shd w:fill="F7F9FB"/>
            <w:vAlign w:val="center"/>
          </w:tcPr>
          <w:p>
            <w:pPr>
              <w:spacing w:after="40" w:line="252" w:lineRule="auto" w:before="0"/>
            </w:pPr>
            <w:r>
              <w:rPr>
                <w:color w:val="1A1A1A"/>
                <w:sz w:val="15"/>
              </w:rPr>
              <w:t>Support and documents</w:t>
            </w:r>
          </w:p>
        </w:tc>
        <w:tc>
          <w:tcPr>
            <w:tcW w:type="dxa" w:w="4560"/>
            <w:shd w:fill="F7F9FB"/>
            <w:vAlign w:val="center"/>
          </w:tcPr>
          <w:p>
            <w:pPr>
              <w:spacing w:after="40" w:line="252" w:lineRule="auto" w:before="0"/>
            </w:pPr>
            <w:r>
              <w:rPr>
                <w:color w:val="1A1A1A"/>
                <w:sz w:val="15"/>
              </w:rPr>
              <w:t>Competence, communication, document controls</w:t>
            </w:r>
          </w:p>
        </w:tc>
      </w:tr>
      <w:tr>
        <w:trPr>
          <w:cantSplit/>
        </w:trPr>
        <w:tc>
          <w:tcPr>
            <w:tcW w:type="dxa" w:w="1300"/>
            <w:vAlign w:val="center"/>
          </w:tcPr>
          <w:p>
            <w:pPr>
              <w:spacing w:after="40" w:line="252" w:lineRule="auto" w:before="0"/>
            </w:pPr>
            <w:r>
              <w:rPr>
                <w:color w:val="1A1A1A"/>
                <w:sz w:val="15"/>
              </w:rPr>
              <w:t>19–21</w:t>
            </w:r>
          </w:p>
        </w:tc>
        <w:tc>
          <w:tcPr>
            <w:tcW w:type="dxa" w:w="3500"/>
            <w:vAlign w:val="center"/>
          </w:tcPr>
          <w:p>
            <w:pPr>
              <w:spacing w:after="40" w:line="252" w:lineRule="auto" w:before="0"/>
            </w:pPr>
            <w:r>
              <w:rPr>
                <w:color w:val="1A1A1A"/>
                <w:sz w:val="15"/>
              </w:rPr>
              <w:t>Lifecycle, data, use, suppliers</w:t>
            </w:r>
          </w:p>
        </w:tc>
        <w:tc>
          <w:tcPr>
            <w:tcW w:type="dxa" w:w="4560"/>
            <w:vAlign w:val="center"/>
          </w:tcPr>
          <w:p>
            <w:pPr>
              <w:spacing w:after="40" w:line="252" w:lineRule="auto" w:before="0"/>
            </w:pPr>
            <w:r>
              <w:rPr>
                <w:color w:val="1A1A1A"/>
                <w:sz w:val="15"/>
              </w:rPr>
              <w:t>Five control workpapers</w:t>
            </w:r>
          </w:p>
        </w:tc>
      </w:tr>
      <w:tr>
        <w:trPr>
          <w:cantSplit/>
        </w:trPr>
        <w:tc>
          <w:tcPr>
            <w:tcW w:type="dxa" w:w="1300"/>
            <w:shd w:fill="F7F9FB"/>
            <w:vAlign w:val="center"/>
          </w:tcPr>
          <w:p>
            <w:pPr>
              <w:spacing w:after="40" w:line="252" w:lineRule="auto" w:before="0"/>
            </w:pPr>
            <w:r>
              <w:rPr>
                <w:color w:val="1A1A1A"/>
                <w:sz w:val="15"/>
              </w:rPr>
              <w:t>22–24</w:t>
            </w:r>
          </w:p>
        </w:tc>
        <w:tc>
          <w:tcPr>
            <w:tcW w:type="dxa" w:w="3500"/>
            <w:shd w:fill="F7F9FB"/>
            <w:vAlign w:val="center"/>
          </w:tcPr>
          <w:p>
            <w:pPr>
              <w:spacing w:after="40" w:line="252" w:lineRule="auto" w:before="0"/>
            </w:pPr>
            <w:r>
              <w:rPr>
                <w:color w:val="1A1A1A"/>
                <w:sz w:val="15"/>
              </w:rPr>
              <w:t>Measurement and tools</w:t>
            </w:r>
          </w:p>
        </w:tc>
        <w:tc>
          <w:tcPr>
            <w:tcW w:type="dxa" w:w="4560"/>
            <w:shd w:fill="F7F9FB"/>
            <w:vAlign w:val="center"/>
          </w:tcPr>
          <w:p>
            <w:pPr>
              <w:spacing w:after="40" w:line="252" w:lineRule="auto" w:before="0"/>
            </w:pPr>
            <w:r>
              <w:rPr>
                <w:color w:val="1A1A1A"/>
                <w:sz w:val="15"/>
              </w:rPr>
              <w:t>Dashboard and evaluation evidence</w:t>
            </w:r>
          </w:p>
        </w:tc>
      </w:tr>
      <w:tr>
        <w:trPr>
          <w:cantSplit/>
        </w:trPr>
        <w:tc>
          <w:tcPr>
            <w:tcW w:type="dxa" w:w="1300"/>
            <w:vAlign w:val="center"/>
          </w:tcPr>
          <w:p>
            <w:pPr>
              <w:spacing w:after="40" w:line="252" w:lineRule="auto" w:before="0"/>
            </w:pPr>
            <w:r>
              <w:rPr>
                <w:color w:val="1A1A1A"/>
                <w:sz w:val="15"/>
              </w:rPr>
              <w:t>25–27</w:t>
            </w:r>
          </w:p>
        </w:tc>
        <w:tc>
          <w:tcPr>
            <w:tcW w:type="dxa" w:w="3500"/>
            <w:vAlign w:val="center"/>
          </w:tcPr>
          <w:p>
            <w:pPr>
              <w:spacing w:after="40" w:line="252" w:lineRule="auto" w:before="0"/>
            </w:pPr>
            <w:r>
              <w:rPr>
                <w:color w:val="1A1A1A"/>
                <w:sz w:val="15"/>
              </w:rPr>
              <w:t>Audit and corrective action</w:t>
            </w:r>
          </w:p>
        </w:tc>
        <w:tc>
          <w:tcPr>
            <w:tcW w:type="dxa" w:w="4560"/>
            <w:vAlign w:val="center"/>
          </w:tcPr>
          <w:p>
            <w:pPr>
              <w:spacing w:after="40" w:line="252" w:lineRule="auto" w:before="0"/>
            </w:pPr>
            <w:r>
              <w:rPr>
                <w:color w:val="1A1A1A"/>
                <w:sz w:val="15"/>
              </w:rPr>
              <w:t>Audit report, findings, effectiveness plan</w:t>
            </w:r>
          </w:p>
        </w:tc>
      </w:tr>
      <w:tr>
        <w:trPr>
          <w:cantSplit/>
        </w:trPr>
        <w:tc>
          <w:tcPr>
            <w:tcW w:type="dxa" w:w="1300"/>
            <w:shd w:fill="F7F9FB"/>
            <w:vAlign w:val="center"/>
          </w:tcPr>
          <w:p>
            <w:pPr>
              <w:spacing w:after="40" w:line="252" w:lineRule="auto" w:before="0"/>
            </w:pPr>
            <w:r>
              <w:rPr>
                <w:color w:val="1A1A1A"/>
                <w:sz w:val="15"/>
              </w:rPr>
              <w:t>28–30</w:t>
            </w:r>
          </w:p>
        </w:tc>
        <w:tc>
          <w:tcPr>
            <w:tcW w:type="dxa" w:w="3500"/>
            <w:shd w:fill="F7F9FB"/>
            <w:vAlign w:val="center"/>
          </w:tcPr>
          <w:p>
            <w:pPr>
              <w:spacing w:after="40" w:line="252" w:lineRule="auto" w:before="0"/>
            </w:pPr>
            <w:r>
              <w:rPr>
                <w:color w:val="1A1A1A"/>
                <w:sz w:val="15"/>
              </w:rPr>
              <w:t>Management review and interview</w:t>
            </w:r>
          </w:p>
        </w:tc>
        <w:tc>
          <w:tcPr>
            <w:tcW w:type="dxa" w:w="4560"/>
            <w:shd w:fill="F7F9FB"/>
            <w:vAlign w:val="center"/>
          </w:tcPr>
          <w:p>
            <w:pPr>
              <w:spacing w:after="40" w:line="252" w:lineRule="auto" w:before="0"/>
            </w:pPr>
            <w:r>
              <w:rPr>
                <w:color w:val="1A1A1A"/>
                <w:sz w:val="15"/>
              </w:rPr>
              <w:t>Review pack, readiness memo, STAR stories</w:t>
            </w:r>
          </w:p>
        </w:tc>
      </w:tr>
    </w:tbl>
    <w:p>
      <w:pPr>
        <w:spacing w:after="0"/>
      </w:pPr>
    </w:p>
    <w:p>
      <w:pPr>
        <w:pStyle w:val="Heading2"/>
        <w:keepNext/>
        <w:jc w:val="left"/>
      </w:pPr>
      <w:r>
        <w:t>31.5 What is ISO/IEC 42001?</w:t>
      </w:r>
    </w:p>
    <w:p>
      <w:r>
        <w:t>A certifiable management-system standard for organizations that develop, provide, or use AI systems. It establishes requirements for responsible governance, risk, impact, operation, evaluation, and improvement.</w:t>
      </w:r>
    </w:p>
    <w:p>
      <w:pPr>
        <w:pStyle w:val="Heading2"/>
        <w:keepNext/>
        <w:jc w:val="left"/>
      </w:pPr>
      <w:r>
        <w:t>31.6 What is an AIMS?</w:t>
      </w:r>
    </w:p>
    <w:p>
      <w:r>
        <w:t>The organization’s interrelated policies, objectives, processes, roles, controls, and records for managing AI responsibly within a defined scope.</w:t>
      </w:r>
    </w:p>
    <w:p>
      <w:pPr>
        <w:pStyle w:val="Heading2"/>
        <w:keepNext/>
        <w:jc w:val="left"/>
      </w:pPr>
      <w:r>
        <w:t>31.7 Are all Annex A controls mandatory?</w:t>
      </w:r>
    </w:p>
    <w:p>
      <w:r>
        <w:t>They are reference controls considered through risk treatment. The organization documents applicability and implementation in the Statement of Applicability and may add other controls.</w:t>
      </w:r>
    </w:p>
    <w:p>
      <w:pPr>
        <w:pStyle w:val="Heading2"/>
        <w:keepNext/>
        <w:jc w:val="left"/>
      </w:pPr>
      <w:r>
        <w:t>31.8 Risk versus impact assessment?</w:t>
      </w:r>
    </w:p>
    <w:p>
      <w:r>
        <w:t>Risk assessment manages uncertainty affecting objectives. AI system impact assessment focuses on effects on individuals, groups, and society. They exchange findings but are not identical.</w:t>
      </w:r>
    </w:p>
    <w:p>
      <w:pPr>
        <w:pStyle w:val="Heading2"/>
        <w:keepNext/>
        <w:jc w:val="left"/>
      </w:pPr>
      <w:r>
        <w:t>31.9 What is the Statement of Applicability?</w:t>
      </w:r>
    </w:p>
    <w:p>
      <w:r>
        <w:t>A controlled record explaining which Annex A and additional controls apply, why, how they are implemented, their status, evidence, gaps, and review.</w:t>
      </w:r>
    </w:p>
    <w:p>
      <w:pPr>
        <w:pStyle w:val="Heading2"/>
        <w:keepNext/>
        <w:jc w:val="left"/>
      </w:pPr>
      <w:r>
        <w:t>31.10 Stage 1 versus Stage 2?</w:t>
      </w:r>
    </w:p>
    <w:p>
      <w:r>
        <w:t>Stage 1 evaluates scope, documented system, readiness and planning. Stage 2 evaluates implementation and operating effectiveness through evidence and sampling.</w:t>
      </w:r>
    </w:p>
    <w:p>
      <w:pPr>
        <w:pStyle w:val="Heading2"/>
        <w:keepNext/>
        <w:jc w:val="left"/>
      </w:pPr>
      <w:r>
        <w:t>31.11 What is a nonconformity?</w:t>
      </w:r>
    </w:p>
    <w:p>
      <w:r>
        <w:t>A requirement is not fulfilled. The finding must identify criteria, objective evidence, and the gap without prescribing the auditee’s solution.</w:t>
      </w:r>
    </w:p>
    <w:p>
      <w:pPr>
        <w:pStyle w:val="Heading2"/>
        <w:keepNext/>
        <w:jc w:val="left"/>
      </w:pPr>
      <w:r>
        <w:t>31.12 How do tools prove conformity?</w:t>
      </w:r>
    </w:p>
    <w:p>
      <w:r>
        <w:t>They do not. Tools produce evidence that must be scoped, validated, interpreted against requirements, connected to controls, and reviewed by competent people.</w:t>
      </w:r>
    </w:p>
    <w:p>
      <w:pPr>
        <w:pStyle w:val="Heading2"/>
        <w:keepNext/>
        <w:jc w:val="left"/>
      </w:pPr>
      <w:r>
        <w:t>31.13 How do you test a corrective action?</w:t>
      </w:r>
    </w:p>
    <w:p>
      <w:r>
        <w:t>Verify correction, root-cause action, application to similar conditions, and evidence that recurrence risk was reduced after sufficient operation.</w:t>
      </w:r>
    </w:p>
    <w:p>
      <w:pPr>
        <w:pStyle w:val="Heading2"/>
        <w:keepNext/>
        <w:jc w:val="left"/>
      </w:pPr>
      <w:r>
        <w:t>31.14 What makes a strong junior analyst?</w:t>
      </w:r>
    </w:p>
    <w:p>
      <w:r>
        <w:t>Accurate scope, careful evidence, clause understanding, clear writing, respect for affected people, honest uncertainty, safe tool use, and reliable follow-through.</w:t>
      </w:r>
    </w:p>
    <w:p>
      <w:pPr>
        <w:pStyle w:val="Heading1"/>
        <w:pageBreakBefore/>
        <w:keepNext/>
        <w:jc w:val="left"/>
      </w:pPr>
      <w:r>
        <w:t>32. Templates, Glossary, Index, and Official References</w:t>
      </w:r>
    </w:p>
    <w:p>
      <w:pPr>
        <w:spacing w:after="200"/>
      </w:pPr>
      <w:r>
        <w:rPr>
          <w:rFonts w:ascii="Aptos" w:hAnsi="Aptos"/>
          <w:i/>
          <w:color w:val="5B6570"/>
          <w:sz w:val="22"/>
        </w:rPr>
        <w:t>Reusable work structures and authoritative references support consistent AIMS implementation and audit.</w:t>
      </w:r>
    </w:p>
    <w:p>
      <w:pPr>
        <w:pStyle w:val="Heading2"/>
        <w:keepNext/>
        <w:jc w:val="left"/>
      </w:pPr>
      <w:r>
        <w:t>32.1 AIMS scope and context record</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Organizations/business units/locations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AI role, products/services/processes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AI systems/models/data/environments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Internal/external issues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Interested parties and requirements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Legal/contractual obligations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Boundaries, interfaces, dependencies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Outsourced/shared processes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Exclusions and justification</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Scope approval and review triggers</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32.2 AI risk and treatment record</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System/use/version/owner</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Scenario, affected party, consequence</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Likelihood/impact/uncertainty/evidence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Existing controls and effectiveness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Risk evaluation/tolerance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Treatment option/control</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Annex A/additional control mapping</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Owner/resource/date/measure</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Residual risk/approver/conditions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Monitoring/review/retest</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32.3 Statement of Applicability</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Control reference/title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Applicability and justification</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Related risk/impact/obligation</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Implementation and owner</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Status and target date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Evidence and test result</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Supplier/customer dependencies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Gap/exception/residual risk</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Last/next review</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Change history/approval</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32.4 AI system impact assessment</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Purpose, use, affected people, alternatives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System/data/model/supplier/context</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Benefits and adverse impacts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Individual/group/societal effects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Likelihood/severity/scale/duration</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Reversibility/distribution/uncertainty</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Stakeholder engagement</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Mitigation/oversight/transparency/redress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Decision/authority/conditions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Monitoring/triggers/review</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32.5 Internal audit workpaper</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Criteria/scope/objective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Process/system/version/period</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Population/sample/rationale</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Evidence/source/reliability</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Test/expected result</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Observed result/exceptions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Conclusion/nonconformity</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Risk/impact/cause indication</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Correction/corrective action</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Effectiveness/follow-up/closure</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32.6 Management review record</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F4E78"/>
          </w:tcPr>
          <w:p>
            <w:pPr>
              <w:spacing w:after="40" w:before="0"/>
              <w:jc w:val="left"/>
            </w:pPr>
            <w:r>
              <w:rPr>
                <w:b/>
                <w:sz w:val="15"/>
                <w:color w:val="FFFFFF"/>
              </w:rPr>
              <w:t>Field</w:t>
            </w:r>
          </w:p>
        </w:tc>
        <w:tc>
          <w:tcPr>
            <w:tcW w:type="dxa" w:w="5460"/>
            <w:tcMar>
              <w:top w:w="90" w:type="dxa"/>
              <w:start w:w="120" w:type="dxa"/>
              <w:bottom w:w="90" w:type="dxa"/>
              <w:end w:w="120" w:type="dxa"/>
            </w:tcMar>
            <w:vAlign w:val="center"/>
            <w:shd w:fill="1F4E78"/>
          </w:tcPr>
          <w:p>
            <w:pPr>
              <w:spacing w:after="40" w:before="0"/>
              <w:jc w:val="left"/>
            </w:pPr>
            <w:r>
              <w:rPr>
                <w:b/>
                <w:sz w:val="15"/>
                <w:color w:val="FFFFFF"/>
              </w:rPr>
              <w:t>Entry</w:t>
            </w:r>
          </w:p>
        </w:tc>
      </w:tr>
      <w:tr>
        <w:trPr>
          <w:cantSplit/>
        </w:trPr>
        <w:tc>
          <w:tcPr>
            <w:tcW w:type="dxa" w:w="3900"/>
            <w:vAlign w:val="center"/>
          </w:tcPr>
          <w:p>
            <w:pPr>
              <w:spacing w:after="40" w:line="252" w:lineRule="auto" w:before="0"/>
            </w:pPr>
            <w:r>
              <w:rPr>
                <w:color w:val="1A1A1A"/>
                <w:sz w:val="15"/>
              </w:rPr>
              <w:t>Prior action status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Context/party changes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Objectives/performance trends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Risk/impact/treatment/SoA</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Audit/nonconformity/corrective action</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Incidents/complaints/concerns/redress</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Supplier/legal/system changes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Resources/competence</w:t>
            </w:r>
          </w:p>
        </w:tc>
        <w:tc>
          <w:tcPr>
            <w:tcW w:type="dxa" w:w="5460"/>
            <w:shd w:fill="F7F9FB"/>
            <w:vAlign w:val="center"/>
          </w:tcPr>
          <w:p>
            <w:pPr>
              <w:spacing w:after="40" w:line="252" w:lineRule="auto" w:before="0"/>
            </w:pPr>
            <w:r>
              <w:rPr>
                <w:color w:val="1A1A1A"/>
                <w:sz w:val="15"/>
              </w:rPr>
              <w:t>________________________________________</w:t>
            </w:r>
          </w:p>
        </w:tc>
      </w:tr>
      <w:tr>
        <w:trPr>
          <w:cantSplit/>
        </w:trPr>
        <w:tc>
          <w:tcPr>
            <w:tcW w:type="dxa" w:w="3900"/>
            <w:vAlign w:val="center"/>
          </w:tcPr>
          <w:p>
            <w:pPr>
              <w:spacing w:after="40" w:line="252" w:lineRule="auto" w:before="0"/>
            </w:pPr>
            <w:r>
              <w:rPr>
                <w:color w:val="1A1A1A"/>
                <w:sz w:val="15"/>
              </w:rPr>
              <w:t>Decisions/actions/owners/dates</w:t>
            </w:r>
          </w:p>
        </w:tc>
        <w:tc>
          <w:tcPr>
            <w:tcW w:type="dxa" w:w="5460"/>
            <w:vAlign w:val="center"/>
          </w:tcPr>
          <w:p>
            <w:pPr>
              <w:spacing w:after="40" w:line="252" w:lineRule="auto" w:before="0"/>
            </w:pPr>
            <w:r>
              <w:rPr>
                <w:color w:val="1A1A1A"/>
                <w:sz w:val="15"/>
              </w:rPr>
              <w:t>________________________________________</w:t>
            </w:r>
          </w:p>
        </w:tc>
      </w:tr>
      <w:tr>
        <w:trPr>
          <w:cantSplit/>
        </w:trPr>
        <w:tc>
          <w:tcPr>
            <w:tcW w:type="dxa" w:w="3900"/>
            <w:shd w:fill="F7F9FB"/>
            <w:vAlign w:val="center"/>
          </w:tcPr>
          <w:p>
            <w:pPr>
              <w:spacing w:after="40" w:line="252" w:lineRule="auto" w:before="0"/>
            </w:pPr>
            <w:r>
              <w:rPr>
                <w:color w:val="1A1A1A"/>
                <w:sz w:val="15"/>
              </w:rPr>
              <w:t>Effectiveness/follow-up</w:t>
            </w:r>
          </w:p>
        </w:tc>
        <w:tc>
          <w:tcPr>
            <w:tcW w:type="dxa" w:w="5460"/>
            <w:shd w:fill="F7F9FB"/>
            <w:vAlign w:val="center"/>
          </w:tcPr>
          <w:p>
            <w:pPr>
              <w:spacing w:after="40" w:line="252" w:lineRule="auto" w:before="0"/>
            </w:pPr>
            <w:r>
              <w:rPr>
                <w:color w:val="1A1A1A"/>
                <w:sz w:val="15"/>
              </w:rPr>
              <w:t>________________________________________</w:t>
            </w:r>
          </w:p>
        </w:tc>
      </w:tr>
    </w:tbl>
    <w:p>
      <w:pPr>
        <w:spacing w:after="0"/>
      </w:pPr>
    </w:p>
    <w:p>
      <w:pPr>
        <w:pStyle w:val="Heading2"/>
        <w:keepNext/>
        <w:jc w:val="left"/>
      </w:pPr>
      <w:r>
        <w:t>32.7 Glossary</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F4E78"/>
          </w:tcPr>
          <w:p>
            <w:pPr>
              <w:spacing w:after="40" w:before="0"/>
              <w:jc w:val="left"/>
            </w:pPr>
            <w:r>
              <w:rPr>
                <w:b/>
                <w:sz w:val="15"/>
                <w:color w:val="FFFFFF"/>
              </w:rPr>
              <w:t>Term</w:t>
            </w:r>
          </w:p>
        </w:tc>
        <w:tc>
          <w:tcPr>
            <w:tcW w:type="dxa" w:w="7160"/>
            <w:tcMar>
              <w:top w:w="90" w:type="dxa"/>
              <w:start w:w="120" w:type="dxa"/>
              <w:bottom w:w="90" w:type="dxa"/>
              <w:end w:w="120" w:type="dxa"/>
            </w:tcMar>
            <w:vAlign w:val="center"/>
            <w:shd w:fill="1F4E78"/>
          </w:tcPr>
          <w:p>
            <w:pPr>
              <w:spacing w:after="40" w:before="0"/>
              <w:jc w:val="left"/>
            </w:pPr>
            <w:r>
              <w:rPr>
                <w:b/>
                <w:sz w:val="15"/>
                <w:color w:val="FFFFFF"/>
              </w:rPr>
              <w:t>Meaning</w:t>
            </w:r>
          </w:p>
        </w:tc>
      </w:tr>
      <w:tr>
        <w:trPr>
          <w:cantSplit/>
        </w:trPr>
        <w:tc>
          <w:tcPr>
            <w:tcW w:type="dxa" w:w="2200"/>
            <w:vAlign w:val="center"/>
          </w:tcPr>
          <w:p>
            <w:pPr>
              <w:spacing w:after="40" w:line="252" w:lineRule="auto" w:before="0"/>
            </w:pPr>
            <w:r>
              <w:rPr>
                <w:color w:val="1A1A1A"/>
                <w:sz w:val="15"/>
              </w:rPr>
              <w:t>AIMS</w:t>
            </w:r>
          </w:p>
        </w:tc>
        <w:tc>
          <w:tcPr>
            <w:tcW w:type="dxa" w:w="7160"/>
            <w:vAlign w:val="center"/>
          </w:tcPr>
          <w:p>
            <w:pPr>
              <w:spacing w:after="40" w:line="252" w:lineRule="auto" w:before="0"/>
            </w:pPr>
            <w:r>
              <w:rPr>
                <w:color w:val="1A1A1A"/>
                <w:sz w:val="15"/>
              </w:rPr>
              <w:t>Artificial intelligence management system.</w:t>
            </w:r>
          </w:p>
        </w:tc>
      </w:tr>
      <w:tr>
        <w:trPr>
          <w:cantSplit/>
        </w:trPr>
        <w:tc>
          <w:tcPr>
            <w:tcW w:type="dxa" w:w="2200"/>
            <w:shd w:fill="F7F9FB"/>
            <w:vAlign w:val="center"/>
          </w:tcPr>
          <w:p>
            <w:pPr>
              <w:spacing w:after="40" w:line="252" w:lineRule="auto" w:before="0"/>
            </w:pPr>
            <w:r>
              <w:rPr>
                <w:color w:val="1A1A1A"/>
                <w:sz w:val="15"/>
              </w:rPr>
              <w:t>AI system impact assessment</w:t>
            </w:r>
          </w:p>
        </w:tc>
        <w:tc>
          <w:tcPr>
            <w:tcW w:type="dxa" w:w="7160"/>
            <w:shd w:fill="F7F9FB"/>
            <w:vAlign w:val="center"/>
          </w:tcPr>
          <w:p>
            <w:pPr>
              <w:spacing w:after="40" w:line="252" w:lineRule="auto" w:before="0"/>
            </w:pPr>
            <w:r>
              <w:rPr>
                <w:color w:val="1A1A1A"/>
                <w:sz w:val="15"/>
              </w:rPr>
              <w:t>Structured evaluation of potential effects on individuals, groups, and society.</w:t>
            </w:r>
          </w:p>
        </w:tc>
      </w:tr>
      <w:tr>
        <w:trPr>
          <w:cantSplit/>
        </w:trPr>
        <w:tc>
          <w:tcPr>
            <w:tcW w:type="dxa" w:w="2200"/>
            <w:vAlign w:val="center"/>
          </w:tcPr>
          <w:p>
            <w:pPr>
              <w:spacing w:after="40" w:line="252" w:lineRule="auto" w:before="0"/>
            </w:pPr>
            <w:r>
              <w:rPr>
                <w:color w:val="1A1A1A"/>
                <w:sz w:val="15"/>
              </w:rPr>
              <w:t>Annex A</w:t>
            </w:r>
          </w:p>
        </w:tc>
        <w:tc>
          <w:tcPr>
            <w:tcW w:type="dxa" w:w="7160"/>
            <w:vAlign w:val="center"/>
          </w:tcPr>
          <w:p>
            <w:pPr>
              <w:spacing w:after="40" w:line="252" w:lineRule="auto" w:before="0"/>
            </w:pPr>
            <w:r>
              <w:rPr>
                <w:color w:val="1A1A1A"/>
                <w:sz w:val="15"/>
              </w:rPr>
              <w:t>ISO/IEC 42001 reference control objectives and controls.</w:t>
            </w:r>
          </w:p>
        </w:tc>
      </w:tr>
      <w:tr>
        <w:trPr>
          <w:cantSplit/>
        </w:trPr>
        <w:tc>
          <w:tcPr>
            <w:tcW w:type="dxa" w:w="2200"/>
            <w:shd w:fill="F7F9FB"/>
            <w:vAlign w:val="center"/>
          </w:tcPr>
          <w:p>
            <w:pPr>
              <w:spacing w:after="40" w:line="252" w:lineRule="auto" w:before="0"/>
            </w:pPr>
            <w:r>
              <w:rPr>
                <w:color w:val="1A1A1A"/>
                <w:sz w:val="15"/>
              </w:rPr>
              <w:t>Annex B</w:t>
            </w:r>
          </w:p>
        </w:tc>
        <w:tc>
          <w:tcPr>
            <w:tcW w:type="dxa" w:w="7160"/>
            <w:shd w:fill="F7F9FB"/>
            <w:vAlign w:val="center"/>
          </w:tcPr>
          <w:p>
            <w:pPr>
              <w:spacing w:after="40" w:line="252" w:lineRule="auto" w:before="0"/>
            </w:pPr>
            <w:r>
              <w:rPr>
                <w:color w:val="1A1A1A"/>
                <w:sz w:val="15"/>
              </w:rPr>
              <w:t>Implementation guidance for Annex A controls.</w:t>
            </w:r>
          </w:p>
        </w:tc>
      </w:tr>
      <w:tr>
        <w:trPr>
          <w:cantSplit/>
        </w:trPr>
        <w:tc>
          <w:tcPr>
            <w:tcW w:type="dxa" w:w="2200"/>
            <w:vAlign w:val="center"/>
          </w:tcPr>
          <w:p>
            <w:pPr>
              <w:spacing w:after="40" w:line="252" w:lineRule="auto" w:before="0"/>
            </w:pPr>
            <w:r>
              <w:rPr>
                <w:color w:val="1A1A1A"/>
                <w:sz w:val="15"/>
              </w:rPr>
              <w:t>Certification</w:t>
            </w:r>
          </w:p>
        </w:tc>
        <w:tc>
          <w:tcPr>
            <w:tcW w:type="dxa" w:w="7160"/>
            <w:vAlign w:val="center"/>
          </w:tcPr>
          <w:p>
            <w:pPr>
              <w:spacing w:after="40" w:line="252" w:lineRule="auto" w:before="0"/>
            </w:pPr>
            <w:r>
              <w:rPr>
                <w:color w:val="1A1A1A"/>
                <w:sz w:val="15"/>
              </w:rPr>
              <w:t>Third-party attestation that the scoped AIMS conforms to specified requirements.</w:t>
            </w:r>
          </w:p>
        </w:tc>
      </w:tr>
      <w:tr>
        <w:trPr>
          <w:cantSplit/>
        </w:trPr>
        <w:tc>
          <w:tcPr>
            <w:tcW w:type="dxa" w:w="2200"/>
            <w:shd w:fill="F7F9FB"/>
            <w:vAlign w:val="center"/>
          </w:tcPr>
          <w:p>
            <w:pPr>
              <w:spacing w:after="40" w:line="252" w:lineRule="auto" w:before="0"/>
            </w:pPr>
            <w:r>
              <w:rPr>
                <w:color w:val="1A1A1A"/>
                <w:sz w:val="15"/>
              </w:rPr>
              <w:t>Conformity</w:t>
            </w:r>
          </w:p>
        </w:tc>
        <w:tc>
          <w:tcPr>
            <w:tcW w:type="dxa" w:w="7160"/>
            <w:shd w:fill="F7F9FB"/>
            <w:vAlign w:val="center"/>
          </w:tcPr>
          <w:p>
            <w:pPr>
              <w:spacing w:after="40" w:line="252" w:lineRule="auto" w:before="0"/>
            </w:pPr>
            <w:r>
              <w:rPr>
                <w:color w:val="1A1A1A"/>
                <w:sz w:val="15"/>
              </w:rPr>
              <w:t>Fulfillment of a requirement.</w:t>
            </w:r>
          </w:p>
        </w:tc>
      </w:tr>
      <w:tr>
        <w:trPr>
          <w:cantSplit/>
        </w:trPr>
        <w:tc>
          <w:tcPr>
            <w:tcW w:type="dxa" w:w="2200"/>
            <w:vAlign w:val="center"/>
          </w:tcPr>
          <w:p>
            <w:pPr>
              <w:spacing w:after="40" w:line="252" w:lineRule="auto" w:before="0"/>
            </w:pPr>
            <w:r>
              <w:rPr>
                <w:color w:val="1A1A1A"/>
                <w:sz w:val="15"/>
              </w:rPr>
              <w:t>Control</w:t>
            </w:r>
          </w:p>
        </w:tc>
        <w:tc>
          <w:tcPr>
            <w:tcW w:type="dxa" w:w="7160"/>
            <w:vAlign w:val="center"/>
          </w:tcPr>
          <w:p>
            <w:pPr>
              <w:spacing w:after="40" w:line="252" w:lineRule="auto" w:before="0"/>
            </w:pPr>
            <w:r>
              <w:rPr>
                <w:color w:val="1A1A1A"/>
                <w:sz w:val="15"/>
              </w:rPr>
              <w:t>Measure that maintains or modifies risk.</w:t>
            </w:r>
          </w:p>
        </w:tc>
      </w:tr>
      <w:tr>
        <w:trPr>
          <w:cantSplit/>
        </w:trPr>
        <w:tc>
          <w:tcPr>
            <w:tcW w:type="dxa" w:w="2200"/>
            <w:shd w:fill="F7F9FB"/>
            <w:vAlign w:val="center"/>
          </w:tcPr>
          <w:p>
            <w:pPr>
              <w:spacing w:after="40" w:line="252" w:lineRule="auto" w:before="0"/>
            </w:pPr>
            <w:r>
              <w:rPr>
                <w:color w:val="1A1A1A"/>
                <w:sz w:val="15"/>
              </w:rPr>
              <w:t>Correction</w:t>
            </w:r>
          </w:p>
        </w:tc>
        <w:tc>
          <w:tcPr>
            <w:tcW w:type="dxa" w:w="7160"/>
            <w:shd w:fill="F7F9FB"/>
            <w:vAlign w:val="center"/>
          </w:tcPr>
          <w:p>
            <w:pPr>
              <w:spacing w:after="40" w:line="252" w:lineRule="auto" w:before="0"/>
            </w:pPr>
            <w:r>
              <w:rPr>
                <w:color w:val="1A1A1A"/>
                <w:sz w:val="15"/>
              </w:rPr>
              <w:t>Action to eliminate a detected nonconformity.</w:t>
            </w:r>
          </w:p>
        </w:tc>
      </w:tr>
      <w:tr>
        <w:trPr>
          <w:cantSplit/>
        </w:trPr>
        <w:tc>
          <w:tcPr>
            <w:tcW w:type="dxa" w:w="2200"/>
            <w:vAlign w:val="center"/>
          </w:tcPr>
          <w:p>
            <w:pPr>
              <w:spacing w:after="40" w:line="252" w:lineRule="auto" w:before="0"/>
            </w:pPr>
            <w:r>
              <w:rPr>
                <w:color w:val="1A1A1A"/>
                <w:sz w:val="15"/>
              </w:rPr>
              <w:t>Corrective action</w:t>
            </w:r>
          </w:p>
        </w:tc>
        <w:tc>
          <w:tcPr>
            <w:tcW w:type="dxa" w:w="7160"/>
            <w:vAlign w:val="center"/>
          </w:tcPr>
          <w:p>
            <w:pPr>
              <w:spacing w:after="40" w:line="252" w:lineRule="auto" w:before="0"/>
            </w:pPr>
            <w:r>
              <w:rPr>
                <w:color w:val="1A1A1A"/>
                <w:sz w:val="15"/>
              </w:rPr>
              <w:t>Action to eliminate cause and prevent recurrence.</w:t>
            </w:r>
          </w:p>
        </w:tc>
      </w:tr>
      <w:tr>
        <w:trPr>
          <w:cantSplit/>
        </w:trPr>
        <w:tc>
          <w:tcPr>
            <w:tcW w:type="dxa" w:w="2200"/>
            <w:shd w:fill="F7F9FB"/>
            <w:vAlign w:val="center"/>
          </w:tcPr>
          <w:p>
            <w:pPr>
              <w:spacing w:after="40" w:line="252" w:lineRule="auto" w:before="0"/>
            </w:pPr>
            <w:r>
              <w:rPr>
                <w:color w:val="1A1A1A"/>
                <w:sz w:val="15"/>
              </w:rPr>
              <w:t>Documented information</w:t>
            </w:r>
          </w:p>
        </w:tc>
        <w:tc>
          <w:tcPr>
            <w:tcW w:type="dxa" w:w="7160"/>
            <w:shd w:fill="F7F9FB"/>
            <w:vAlign w:val="center"/>
          </w:tcPr>
          <w:p>
            <w:pPr>
              <w:spacing w:after="40" w:line="252" w:lineRule="auto" w:before="0"/>
            </w:pPr>
            <w:r>
              <w:rPr>
                <w:color w:val="1A1A1A"/>
                <w:sz w:val="15"/>
              </w:rPr>
              <w:t>Information the organization controls and maintains, plus its medium.</w:t>
            </w:r>
          </w:p>
        </w:tc>
      </w:tr>
      <w:tr>
        <w:trPr>
          <w:cantSplit/>
        </w:trPr>
        <w:tc>
          <w:tcPr>
            <w:tcW w:type="dxa" w:w="2200"/>
            <w:vAlign w:val="center"/>
          </w:tcPr>
          <w:p>
            <w:pPr>
              <w:spacing w:after="40" w:line="252" w:lineRule="auto" w:before="0"/>
            </w:pPr>
            <w:r>
              <w:rPr>
                <w:color w:val="1A1A1A"/>
                <w:sz w:val="15"/>
              </w:rPr>
              <w:t>Interested party</w:t>
            </w:r>
          </w:p>
        </w:tc>
        <w:tc>
          <w:tcPr>
            <w:tcW w:type="dxa" w:w="7160"/>
            <w:vAlign w:val="center"/>
          </w:tcPr>
          <w:p>
            <w:pPr>
              <w:spacing w:after="40" w:line="252" w:lineRule="auto" w:before="0"/>
            </w:pPr>
            <w:r>
              <w:rPr>
                <w:color w:val="1A1A1A"/>
                <w:sz w:val="15"/>
              </w:rPr>
              <w:t>Person or organization that can affect, be affected by, or perceive itself affected by a decision/activity.</w:t>
            </w:r>
          </w:p>
        </w:tc>
      </w:tr>
      <w:tr>
        <w:trPr>
          <w:cantSplit/>
        </w:trPr>
        <w:tc>
          <w:tcPr>
            <w:tcW w:type="dxa" w:w="2200"/>
            <w:shd w:fill="F7F9FB"/>
            <w:vAlign w:val="center"/>
          </w:tcPr>
          <w:p>
            <w:pPr>
              <w:spacing w:after="40" w:line="252" w:lineRule="auto" w:before="0"/>
            </w:pPr>
            <w:r>
              <w:rPr>
                <w:color w:val="1A1A1A"/>
                <w:sz w:val="15"/>
              </w:rPr>
              <w:t>Internal audit</w:t>
            </w:r>
          </w:p>
        </w:tc>
        <w:tc>
          <w:tcPr>
            <w:tcW w:type="dxa" w:w="7160"/>
            <w:shd w:fill="F7F9FB"/>
            <w:vAlign w:val="center"/>
          </w:tcPr>
          <w:p>
            <w:pPr>
              <w:spacing w:after="40" w:line="252" w:lineRule="auto" w:before="0"/>
            </w:pPr>
            <w:r>
              <w:rPr>
                <w:color w:val="1A1A1A"/>
                <w:sz w:val="15"/>
              </w:rPr>
              <w:t>Independent and objective systematic process for evaluating evidence against criteria.</w:t>
            </w:r>
          </w:p>
        </w:tc>
      </w:tr>
      <w:tr>
        <w:trPr>
          <w:cantSplit/>
        </w:trPr>
        <w:tc>
          <w:tcPr>
            <w:tcW w:type="dxa" w:w="2200"/>
            <w:vAlign w:val="center"/>
          </w:tcPr>
          <w:p>
            <w:pPr>
              <w:spacing w:after="40" w:line="252" w:lineRule="auto" w:before="0"/>
            </w:pPr>
            <w:r>
              <w:rPr>
                <w:color w:val="1A1A1A"/>
                <w:sz w:val="15"/>
              </w:rPr>
              <w:t>Nonconformity</w:t>
            </w:r>
          </w:p>
        </w:tc>
        <w:tc>
          <w:tcPr>
            <w:tcW w:type="dxa" w:w="7160"/>
            <w:vAlign w:val="center"/>
          </w:tcPr>
          <w:p>
            <w:pPr>
              <w:spacing w:after="40" w:line="252" w:lineRule="auto" w:before="0"/>
            </w:pPr>
            <w:r>
              <w:rPr>
                <w:color w:val="1A1A1A"/>
                <w:sz w:val="15"/>
              </w:rPr>
              <w:t>Non-fulfillment of a requirement.</w:t>
            </w:r>
          </w:p>
        </w:tc>
      </w:tr>
      <w:tr>
        <w:trPr>
          <w:cantSplit/>
        </w:trPr>
        <w:tc>
          <w:tcPr>
            <w:tcW w:type="dxa" w:w="2200"/>
            <w:shd w:fill="F7F9FB"/>
            <w:vAlign w:val="center"/>
          </w:tcPr>
          <w:p>
            <w:pPr>
              <w:spacing w:after="40" w:line="252" w:lineRule="auto" w:before="0"/>
            </w:pPr>
            <w:r>
              <w:rPr>
                <w:color w:val="1A1A1A"/>
                <w:sz w:val="15"/>
              </w:rPr>
              <w:t>Objective</w:t>
            </w:r>
          </w:p>
        </w:tc>
        <w:tc>
          <w:tcPr>
            <w:tcW w:type="dxa" w:w="7160"/>
            <w:shd w:fill="F7F9FB"/>
            <w:vAlign w:val="center"/>
          </w:tcPr>
          <w:p>
            <w:pPr>
              <w:spacing w:after="40" w:line="252" w:lineRule="auto" w:before="0"/>
            </w:pPr>
            <w:r>
              <w:rPr>
                <w:color w:val="1A1A1A"/>
                <w:sz w:val="15"/>
              </w:rPr>
              <w:t>Result to be achieved.</w:t>
            </w:r>
          </w:p>
        </w:tc>
      </w:tr>
      <w:tr>
        <w:trPr>
          <w:cantSplit/>
        </w:trPr>
        <w:tc>
          <w:tcPr>
            <w:tcW w:type="dxa" w:w="2200"/>
            <w:vAlign w:val="center"/>
          </w:tcPr>
          <w:p>
            <w:pPr>
              <w:spacing w:after="40" w:line="252" w:lineRule="auto" w:before="0"/>
            </w:pPr>
            <w:r>
              <w:rPr>
                <w:color w:val="1A1A1A"/>
                <w:sz w:val="15"/>
              </w:rPr>
              <w:t>Residual risk</w:t>
            </w:r>
          </w:p>
        </w:tc>
        <w:tc>
          <w:tcPr>
            <w:tcW w:type="dxa" w:w="7160"/>
            <w:vAlign w:val="center"/>
          </w:tcPr>
          <w:p>
            <w:pPr>
              <w:spacing w:after="40" w:line="252" w:lineRule="auto" w:before="0"/>
            </w:pPr>
            <w:r>
              <w:rPr>
                <w:color w:val="1A1A1A"/>
                <w:sz w:val="15"/>
              </w:rPr>
              <w:t>Risk remaining after treatment.</w:t>
            </w:r>
          </w:p>
        </w:tc>
      </w:tr>
      <w:tr>
        <w:trPr>
          <w:cantSplit/>
        </w:trPr>
        <w:tc>
          <w:tcPr>
            <w:tcW w:type="dxa" w:w="2200"/>
            <w:shd w:fill="F7F9FB"/>
            <w:vAlign w:val="center"/>
          </w:tcPr>
          <w:p>
            <w:pPr>
              <w:spacing w:after="40" w:line="252" w:lineRule="auto" w:before="0"/>
            </w:pPr>
            <w:r>
              <w:rPr>
                <w:color w:val="1A1A1A"/>
                <w:sz w:val="15"/>
              </w:rPr>
              <w:t>Risk owner</w:t>
            </w:r>
          </w:p>
        </w:tc>
        <w:tc>
          <w:tcPr>
            <w:tcW w:type="dxa" w:w="7160"/>
            <w:shd w:fill="F7F9FB"/>
            <w:vAlign w:val="center"/>
          </w:tcPr>
          <w:p>
            <w:pPr>
              <w:spacing w:after="40" w:line="252" w:lineRule="auto" w:before="0"/>
            </w:pPr>
            <w:r>
              <w:rPr>
                <w:color w:val="1A1A1A"/>
                <w:sz w:val="15"/>
              </w:rPr>
              <w:t>Person/entity with accountability and authority to manage risk.</w:t>
            </w:r>
          </w:p>
        </w:tc>
      </w:tr>
      <w:tr>
        <w:trPr>
          <w:cantSplit/>
        </w:trPr>
        <w:tc>
          <w:tcPr>
            <w:tcW w:type="dxa" w:w="2200"/>
            <w:vAlign w:val="center"/>
          </w:tcPr>
          <w:p>
            <w:pPr>
              <w:spacing w:after="40" w:line="252" w:lineRule="auto" w:before="0"/>
            </w:pPr>
            <w:r>
              <w:rPr>
                <w:color w:val="1A1A1A"/>
                <w:sz w:val="15"/>
              </w:rPr>
              <w:t>SoA</w:t>
            </w:r>
          </w:p>
        </w:tc>
        <w:tc>
          <w:tcPr>
            <w:tcW w:type="dxa" w:w="7160"/>
            <w:vAlign w:val="center"/>
          </w:tcPr>
          <w:p>
            <w:pPr>
              <w:spacing w:after="40" w:line="252" w:lineRule="auto" w:before="0"/>
            </w:pPr>
            <w:r>
              <w:rPr>
                <w:color w:val="1A1A1A"/>
                <w:sz w:val="15"/>
              </w:rPr>
              <w:t>Statement of Applicability.</w:t>
            </w:r>
          </w:p>
        </w:tc>
      </w:tr>
      <w:tr>
        <w:trPr>
          <w:cantSplit/>
        </w:trPr>
        <w:tc>
          <w:tcPr>
            <w:tcW w:type="dxa" w:w="2200"/>
            <w:shd w:fill="F7F9FB"/>
            <w:vAlign w:val="center"/>
          </w:tcPr>
          <w:p>
            <w:pPr>
              <w:spacing w:after="40" w:line="252" w:lineRule="auto" w:before="0"/>
            </w:pPr>
            <w:r>
              <w:rPr>
                <w:color w:val="1A1A1A"/>
                <w:sz w:val="15"/>
              </w:rPr>
              <w:t>Stage 1</w:t>
            </w:r>
          </w:p>
        </w:tc>
        <w:tc>
          <w:tcPr>
            <w:tcW w:type="dxa" w:w="7160"/>
            <w:shd w:fill="F7F9FB"/>
            <w:vAlign w:val="center"/>
          </w:tcPr>
          <w:p>
            <w:pPr>
              <w:spacing w:after="40" w:line="252" w:lineRule="auto" w:before="0"/>
            </w:pPr>
            <w:r>
              <w:rPr>
                <w:color w:val="1A1A1A"/>
                <w:sz w:val="15"/>
              </w:rPr>
              <w:t>Certification readiness and documented-system audit stage.</w:t>
            </w:r>
          </w:p>
        </w:tc>
      </w:tr>
      <w:tr>
        <w:trPr>
          <w:cantSplit/>
        </w:trPr>
        <w:tc>
          <w:tcPr>
            <w:tcW w:type="dxa" w:w="2200"/>
            <w:vAlign w:val="center"/>
          </w:tcPr>
          <w:p>
            <w:pPr>
              <w:spacing w:after="40" w:line="252" w:lineRule="auto" w:before="0"/>
            </w:pPr>
            <w:r>
              <w:rPr>
                <w:color w:val="1A1A1A"/>
                <w:sz w:val="15"/>
              </w:rPr>
              <w:t>Stage 2</w:t>
            </w:r>
          </w:p>
        </w:tc>
        <w:tc>
          <w:tcPr>
            <w:tcW w:type="dxa" w:w="7160"/>
            <w:vAlign w:val="center"/>
          </w:tcPr>
          <w:p>
            <w:pPr>
              <w:spacing w:after="40" w:line="252" w:lineRule="auto" w:before="0"/>
            </w:pPr>
            <w:r>
              <w:rPr>
                <w:color w:val="1A1A1A"/>
                <w:sz w:val="15"/>
              </w:rPr>
              <w:t>Certification implementation and operating-effectiveness audit stage.</w:t>
            </w:r>
          </w:p>
        </w:tc>
      </w:tr>
      <w:tr>
        <w:trPr>
          <w:cantSplit/>
        </w:trPr>
        <w:tc>
          <w:tcPr>
            <w:tcW w:type="dxa" w:w="2200"/>
            <w:shd w:fill="F7F9FB"/>
            <w:vAlign w:val="center"/>
          </w:tcPr>
          <w:p>
            <w:pPr>
              <w:spacing w:after="40" w:line="252" w:lineRule="auto" w:before="0"/>
            </w:pPr>
            <w:r>
              <w:rPr>
                <w:color w:val="1A1A1A"/>
                <w:sz w:val="15"/>
              </w:rPr>
              <w:t>Top management</w:t>
            </w:r>
          </w:p>
        </w:tc>
        <w:tc>
          <w:tcPr>
            <w:tcW w:type="dxa" w:w="7160"/>
            <w:shd w:fill="F7F9FB"/>
            <w:vAlign w:val="center"/>
          </w:tcPr>
          <w:p>
            <w:pPr>
              <w:spacing w:after="40" w:line="252" w:lineRule="auto" w:before="0"/>
            </w:pPr>
            <w:r>
              <w:rPr>
                <w:color w:val="1A1A1A"/>
                <w:sz w:val="15"/>
              </w:rPr>
              <w:t>Person/group directing and controlling the organization at the highest level within scope.</w:t>
            </w:r>
          </w:p>
        </w:tc>
      </w:tr>
    </w:tbl>
    <w:p>
      <w:pPr>
        <w:spacing w:after="0"/>
      </w:pPr>
    </w:p>
    <w:p>
      <w:pPr>
        <w:pStyle w:val="Heading2"/>
        <w:keepNext/>
        <w:jc w:val="left"/>
      </w:pPr>
      <w:r>
        <w:t>32.8 Subject index</w:t>
      </w:r>
    </w:p>
    <w:tbl>
      <w:tblPr>
        <w:tblStyle w:val="TableGrid"/>
        <w:tblW w:type="dxa" w:w="9360"/>
        <w:tblLayout w:type="fixed"/>
        <w:tblLook w:firstColumn="1" w:firstRow="1" w:lastColumn="0" w:lastRow="0" w:noHBand="0" w:noVBand="1" w:val="04A0"/>
        <w:jc w:val="center"/>
        <w:tblInd w:w="120" w:type="dxa"/>
      </w:tblPr>
      <w:tblGrid>
        <w:gridCol w:w="6600"/>
        <w:gridCol w:w="2760"/>
      </w:tblGrid>
      <w:tr>
        <w:trPr>
          <w:tblHeader w:val="true"/>
          <w:cantSplit/>
        </w:trPr>
        <w:tc>
          <w:tcPr>
            <w:tcW w:type="dxa" w:w="6600"/>
            <w:tcMar>
              <w:top w:w="90" w:type="dxa"/>
              <w:start w:w="120" w:type="dxa"/>
              <w:bottom w:w="90" w:type="dxa"/>
              <w:end w:w="120" w:type="dxa"/>
            </w:tcMar>
            <w:vAlign w:val="center"/>
            <w:shd w:fill="1F4E78"/>
          </w:tcPr>
          <w:p>
            <w:pPr>
              <w:spacing w:after="40" w:before="0"/>
              <w:jc w:val="left"/>
            </w:pPr>
            <w:r>
              <w:rPr>
                <w:b/>
                <w:sz w:val="16"/>
                <w:color w:val="FFFFFF"/>
              </w:rPr>
              <w:t>Subject</w:t>
            </w:r>
          </w:p>
        </w:tc>
        <w:tc>
          <w:tcPr>
            <w:tcW w:type="dxa" w:w="2760"/>
            <w:tcMar>
              <w:top w:w="90" w:type="dxa"/>
              <w:start w:w="120" w:type="dxa"/>
              <w:bottom w:w="90" w:type="dxa"/>
              <w:end w:w="120" w:type="dxa"/>
            </w:tcMar>
            <w:vAlign w:val="center"/>
            <w:shd w:fill="1F4E78"/>
          </w:tcPr>
          <w:p>
            <w:pPr>
              <w:spacing w:after="40" w:before="0"/>
              <w:jc w:val="left"/>
            </w:pPr>
            <w:r>
              <w:rPr>
                <w:b/>
                <w:sz w:val="16"/>
                <w:color w:val="FFFFFF"/>
              </w:rPr>
              <w:t>Chapter</w:t>
            </w:r>
          </w:p>
        </w:tc>
      </w:tr>
      <w:tr>
        <w:trPr>
          <w:cantSplit/>
        </w:trPr>
        <w:tc>
          <w:tcPr>
            <w:tcW w:type="dxa" w:w="6600"/>
            <w:vAlign w:val="center"/>
          </w:tcPr>
          <w:p>
            <w:pPr>
              <w:spacing w:after="40" w:line="252" w:lineRule="auto" w:before="0"/>
            </w:pPr>
            <w:r>
              <w:rPr>
                <w:color w:val="1A1A1A"/>
                <w:sz w:val="16"/>
              </w:rPr>
              <w:t>Annex A controls</w:t>
            </w:r>
          </w:p>
        </w:tc>
        <w:tc>
          <w:tcPr>
            <w:tcW w:type="dxa" w:w="2760"/>
            <w:vAlign w:val="center"/>
          </w:tcPr>
          <w:p>
            <w:pPr>
              <w:spacing w:after="40" w:line="252" w:lineRule="auto" w:before="0"/>
            </w:pPr>
            <w:r>
              <w:rPr>
                <w:color w:val="1A1A1A"/>
                <w:sz w:val="16"/>
              </w:rPr>
              <w:t>20–28</w:t>
            </w:r>
          </w:p>
        </w:tc>
      </w:tr>
      <w:tr>
        <w:trPr>
          <w:cantSplit/>
        </w:trPr>
        <w:tc>
          <w:tcPr>
            <w:tcW w:type="dxa" w:w="6600"/>
            <w:shd w:fill="F7F9FB"/>
            <w:vAlign w:val="center"/>
          </w:tcPr>
          <w:p>
            <w:pPr>
              <w:spacing w:after="40" w:line="252" w:lineRule="auto" w:before="0"/>
            </w:pPr>
            <w:r>
              <w:rPr>
                <w:color w:val="1A1A1A"/>
                <w:sz w:val="16"/>
              </w:rPr>
              <w:t>Audit</w:t>
            </w:r>
          </w:p>
        </w:tc>
        <w:tc>
          <w:tcPr>
            <w:tcW w:type="dxa" w:w="2760"/>
            <w:shd w:fill="F7F9FB"/>
            <w:vAlign w:val="center"/>
          </w:tcPr>
          <w:p>
            <w:pPr>
              <w:spacing w:after="40" w:line="252" w:lineRule="auto" w:before="0"/>
            </w:pPr>
            <w:r>
              <w:rPr>
                <w:color w:val="1A1A1A"/>
                <w:sz w:val="16"/>
              </w:rPr>
              <w:t>17, 29</w:t>
            </w:r>
          </w:p>
        </w:tc>
      </w:tr>
      <w:tr>
        <w:trPr>
          <w:cantSplit/>
        </w:trPr>
        <w:tc>
          <w:tcPr>
            <w:tcW w:type="dxa" w:w="6600"/>
            <w:vAlign w:val="center"/>
          </w:tcPr>
          <w:p>
            <w:pPr>
              <w:spacing w:after="40" w:line="252" w:lineRule="auto" w:before="0"/>
            </w:pPr>
            <w:r>
              <w:rPr>
                <w:color w:val="1A1A1A"/>
                <w:sz w:val="16"/>
              </w:rPr>
              <w:t>Certification</w:t>
            </w:r>
          </w:p>
        </w:tc>
        <w:tc>
          <w:tcPr>
            <w:tcW w:type="dxa" w:w="2760"/>
            <w:vAlign w:val="center"/>
          </w:tcPr>
          <w:p>
            <w:pPr>
              <w:spacing w:after="40" w:line="252" w:lineRule="auto" w:before="0"/>
            </w:pPr>
            <w:r>
              <w:rPr>
                <w:color w:val="1A1A1A"/>
                <w:sz w:val="16"/>
              </w:rPr>
              <w:t>29</w:t>
            </w:r>
          </w:p>
        </w:tc>
      </w:tr>
      <w:tr>
        <w:trPr>
          <w:cantSplit/>
        </w:trPr>
        <w:tc>
          <w:tcPr>
            <w:tcW w:type="dxa" w:w="6600"/>
            <w:shd w:fill="F7F9FB"/>
            <w:vAlign w:val="center"/>
          </w:tcPr>
          <w:p>
            <w:pPr>
              <w:spacing w:after="40" w:line="252" w:lineRule="auto" w:before="0"/>
            </w:pPr>
            <w:r>
              <w:rPr>
                <w:color w:val="1A1A1A"/>
                <w:sz w:val="16"/>
              </w:rPr>
              <w:t>Context/scope</w:t>
            </w:r>
          </w:p>
        </w:tc>
        <w:tc>
          <w:tcPr>
            <w:tcW w:type="dxa" w:w="2760"/>
            <w:shd w:fill="F7F9FB"/>
            <w:vAlign w:val="center"/>
          </w:tcPr>
          <w:p>
            <w:pPr>
              <w:spacing w:after="40" w:line="252" w:lineRule="auto" w:before="0"/>
            </w:pPr>
            <w:r>
              <w:rPr>
                <w:color w:val="1A1A1A"/>
                <w:sz w:val="16"/>
              </w:rPr>
              <w:t>3–4</w:t>
            </w:r>
          </w:p>
        </w:tc>
      </w:tr>
      <w:tr>
        <w:trPr>
          <w:cantSplit/>
        </w:trPr>
        <w:tc>
          <w:tcPr>
            <w:tcW w:type="dxa" w:w="6600"/>
            <w:vAlign w:val="center"/>
          </w:tcPr>
          <w:p>
            <w:pPr>
              <w:spacing w:after="40" w:line="252" w:lineRule="auto" w:before="0"/>
            </w:pPr>
            <w:r>
              <w:rPr>
                <w:color w:val="1A1A1A"/>
                <w:sz w:val="16"/>
              </w:rPr>
              <w:t>Corrective action</w:t>
            </w:r>
          </w:p>
        </w:tc>
        <w:tc>
          <w:tcPr>
            <w:tcW w:type="dxa" w:w="2760"/>
            <w:vAlign w:val="center"/>
          </w:tcPr>
          <w:p>
            <w:pPr>
              <w:spacing w:after="40" w:line="252" w:lineRule="auto" w:before="0"/>
            </w:pPr>
            <w:r>
              <w:rPr>
                <w:color w:val="1A1A1A"/>
                <w:sz w:val="16"/>
              </w:rPr>
              <w:t>19</w:t>
            </w:r>
          </w:p>
        </w:tc>
      </w:tr>
      <w:tr>
        <w:trPr>
          <w:cantSplit/>
        </w:trPr>
        <w:tc>
          <w:tcPr>
            <w:tcW w:type="dxa" w:w="6600"/>
            <w:shd w:fill="F7F9FB"/>
            <w:vAlign w:val="center"/>
          </w:tcPr>
          <w:p>
            <w:pPr>
              <w:spacing w:after="40" w:line="252" w:lineRule="auto" w:before="0"/>
            </w:pPr>
            <w:r>
              <w:rPr>
                <w:color w:val="1A1A1A"/>
                <w:sz w:val="16"/>
              </w:rPr>
              <w:t>Data</w:t>
            </w:r>
          </w:p>
        </w:tc>
        <w:tc>
          <w:tcPr>
            <w:tcW w:type="dxa" w:w="2760"/>
            <w:shd w:fill="F7F9FB"/>
            <w:vAlign w:val="center"/>
          </w:tcPr>
          <w:p>
            <w:pPr>
              <w:spacing w:after="40" w:line="252" w:lineRule="auto" w:before="0"/>
            </w:pPr>
            <w:r>
              <w:rPr>
                <w:color w:val="1A1A1A"/>
                <w:sz w:val="16"/>
              </w:rPr>
              <w:t>23, 26</w:t>
            </w:r>
          </w:p>
        </w:tc>
      </w:tr>
      <w:tr>
        <w:trPr>
          <w:cantSplit/>
        </w:trPr>
        <w:tc>
          <w:tcPr>
            <w:tcW w:type="dxa" w:w="6600"/>
            <w:vAlign w:val="center"/>
          </w:tcPr>
          <w:p>
            <w:pPr>
              <w:spacing w:after="40" w:line="252" w:lineRule="auto" w:before="0"/>
            </w:pPr>
            <w:r>
              <w:rPr>
                <w:color w:val="1A1A1A"/>
                <w:sz w:val="16"/>
              </w:rPr>
              <w:t>Documents</w:t>
            </w:r>
          </w:p>
        </w:tc>
        <w:tc>
          <w:tcPr>
            <w:tcW w:type="dxa" w:w="2760"/>
            <w:vAlign w:val="center"/>
          </w:tcPr>
          <w:p>
            <w:pPr>
              <w:spacing w:after="40" w:line="252" w:lineRule="auto" w:before="0"/>
            </w:pPr>
            <w:r>
              <w:rPr>
                <w:color w:val="1A1A1A"/>
                <w:sz w:val="16"/>
              </w:rPr>
              <w:t>13</w:t>
            </w:r>
          </w:p>
        </w:tc>
      </w:tr>
      <w:tr>
        <w:trPr>
          <w:cantSplit/>
        </w:trPr>
        <w:tc>
          <w:tcPr>
            <w:tcW w:type="dxa" w:w="6600"/>
            <w:shd w:fill="F7F9FB"/>
            <w:vAlign w:val="center"/>
          </w:tcPr>
          <w:p>
            <w:pPr>
              <w:spacing w:after="40" w:line="252" w:lineRule="auto" w:before="0"/>
            </w:pPr>
            <w:r>
              <w:rPr>
                <w:color w:val="1A1A1A"/>
                <w:sz w:val="16"/>
              </w:rPr>
              <w:t>Impact assessment</w:t>
            </w:r>
          </w:p>
        </w:tc>
        <w:tc>
          <w:tcPr>
            <w:tcW w:type="dxa" w:w="2760"/>
            <w:shd w:fill="F7F9FB"/>
            <w:vAlign w:val="center"/>
          </w:tcPr>
          <w:p>
            <w:pPr>
              <w:spacing w:after="40" w:line="252" w:lineRule="auto" w:before="0"/>
            </w:pPr>
            <w:r>
              <w:rPr>
                <w:color w:val="1A1A1A"/>
                <w:sz w:val="16"/>
              </w:rPr>
              <w:t>9, 24</w:t>
            </w:r>
          </w:p>
        </w:tc>
      </w:tr>
      <w:tr>
        <w:trPr>
          <w:cantSplit/>
        </w:trPr>
        <w:tc>
          <w:tcPr>
            <w:tcW w:type="dxa" w:w="6600"/>
            <w:vAlign w:val="center"/>
          </w:tcPr>
          <w:p>
            <w:pPr>
              <w:spacing w:after="40" w:line="252" w:lineRule="auto" w:before="0"/>
            </w:pPr>
            <w:r>
              <w:rPr>
                <w:color w:val="1A1A1A"/>
                <w:sz w:val="16"/>
              </w:rPr>
              <w:t>Interested parties</w:t>
            </w:r>
          </w:p>
        </w:tc>
        <w:tc>
          <w:tcPr>
            <w:tcW w:type="dxa" w:w="2760"/>
            <w:vAlign w:val="center"/>
          </w:tcPr>
          <w:p>
            <w:pPr>
              <w:spacing w:after="40" w:line="252" w:lineRule="auto" w:before="0"/>
            </w:pPr>
            <w:r>
              <w:rPr>
                <w:color w:val="1A1A1A"/>
                <w:sz w:val="16"/>
              </w:rPr>
              <w:t>4, 27</w:t>
            </w:r>
          </w:p>
        </w:tc>
      </w:tr>
      <w:tr>
        <w:trPr>
          <w:cantSplit/>
        </w:trPr>
        <w:tc>
          <w:tcPr>
            <w:tcW w:type="dxa" w:w="6600"/>
            <w:shd w:fill="F7F9FB"/>
            <w:vAlign w:val="center"/>
          </w:tcPr>
          <w:p>
            <w:pPr>
              <w:spacing w:after="40" w:line="252" w:lineRule="auto" w:before="0"/>
            </w:pPr>
            <w:r>
              <w:rPr>
                <w:color w:val="1A1A1A"/>
                <w:sz w:val="16"/>
              </w:rPr>
              <w:t>Leadership/policy</w:t>
            </w:r>
          </w:p>
        </w:tc>
        <w:tc>
          <w:tcPr>
            <w:tcW w:type="dxa" w:w="2760"/>
            <w:shd w:fill="F7F9FB"/>
            <w:vAlign w:val="center"/>
          </w:tcPr>
          <w:p>
            <w:pPr>
              <w:spacing w:after="40" w:line="252" w:lineRule="auto" w:before="0"/>
            </w:pPr>
            <w:r>
              <w:rPr>
                <w:color w:val="1A1A1A"/>
                <w:sz w:val="16"/>
              </w:rPr>
              <w:t>5, 21</w:t>
            </w:r>
          </w:p>
        </w:tc>
      </w:tr>
      <w:tr>
        <w:trPr>
          <w:cantSplit/>
        </w:trPr>
        <w:tc>
          <w:tcPr>
            <w:tcW w:type="dxa" w:w="6600"/>
            <w:vAlign w:val="center"/>
          </w:tcPr>
          <w:p>
            <w:pPr>
              <w:spacing w:after="40" w:line="252" w:lineRule="auto" w:before="0"/>
            </w:pPr>
            <w:r>
              <w:rPr>
                <w:color w:val="1A1A1A"/>
                <w:sz w:val="16"/>
              </w:rPr>
              <w:t>Lifecycle</w:t>
            </w:r>
          </w:p>
        </w:tc>
        <w:tc>
          <w:tcPr>
            <w:tcW w:type="dxa" w:w="2760"/>
            <w:vAlign w:val="center"/>
          </w:tcPr>
          <w:p>
            <w:pPr>
              <w:spacing w:after="40" w:line="252" w:lineRule="auto" w:before="0"/>
            </w:pPr>
            <w:r>
              <w:rPr>
                <w:color w:val="1A1A1A"/>
                <w:sz w:val="16"/>
              </w:rPr>
              <w:t>14–15, 25</w:t>
            </w:r>
          </w:p>
        </w:tc>
      </w:tr>
      <w:tr>
        <w:trPr>
          <w:cantSplit/>
        </w:trPr>
        <w:tc>
          <w:tcPr>
            <w:tcW w:type="dxa" w:w="6600"/>
            <w:shd w:fill="F7F9FB"/>
            <w:vAlign w:val="center"/>
          </w:tcPr>
          <w:p>
            <w:pPr>
              <w:spacing w:after="40" w:line="252" w:lineRule="auto" w:before="0"/>
            </w:pPr>
            <w:r>
              <w:rPr>
                <w:color w:val="1A1A1A"/>
                <w:sz w:val="16"/>
              </w:rPr>
              <w:t>Manager/junior analyst</w:t>
            </w:r>
          </w:p>
        </w:tc>
        <w:tc>
          <w:tcPr>
            <w:tcW w:type="dxa" w:w="2760"/>
            <w:shd w:fill="F7F9FB"/>
            <w:vAlign w:val="center"/>
          </w:tcPr>
          <w:p>
            <w:pPr>
              <w:spacing w:after="40" w:line="252" w:lineRule="auto" w:before="0"/>
            </w:pPr>
            <w:r>
              <w:rPr>
                <w:color w:val="1A1A1A"/>
                <w:sz w:val="16"/>
              </w:rPr>
              <w:t>31</w:t>
            </w:r>
          </w:p>
        </w:tc>
      </w:tr>
      <w:tr>
        <w:trPr>
          <w:cantSplit/>
        </w:trPr>
        <w:tc>
          <w:tcPr>
            <w:tcW w:type="dxa" w:w="6600"/>
            <w:vAlign w:val="center"/>
          </w:tcPr>
          <w:p>
            <w:pPr>
              <w:spacing w:after="40" w:line="252" w:lineRule="auto" w:before="0"/>
            </w:pPr>
            <w:r>
              <w:rPr>
                <w:color w:val="1A1A1A"/>
                <w:sz w:val="16"/>
              </w:rPr>
              <w:t>Measurement/review</w:t>
            </w:r>
          </w:p>
        </w:tc>
        <w:tc>
          <w:tcPr>
            <w:tcW w:type="dxa" w:w="2760"/>
            <w:vAlign w:val="center"/>
          </w:tcPr>
          <w:p>
            <w:pPr>
              <w:spacing w:after="40" w:line="252" w:lineRule="auto" w:before="0"/>
            </w:pPr>
            <w:r>
              <w:rPr>
                <w:color w:val="1A1A1A"/>
                <w:sz w:val="16"/>
              </w:rPr>
              <w:t>16–18</w:t>
            </w:r>
          </w:p>
        </w:tc>
      </w:tr>
      <w:tr>
        <w:trPr>
          <w:cantSplit/>
        </w:trPr>
        <w:tc>
          <w:tcPr>
            <w:tcW w:type="dxa" w:w="6600"/>
            <w:shd w:fill="F7F9FB"/>
            <w:vAlign w:val="center"/>
          </w:tcPr>
          <w:p>
            <w:pPr>
              <w:spacing w:after="40" w:line="252" w:lineRule="auto" w:before="0"/>
            </w:pPr>
            <w:r>
              <w:rPr>
                <w:color w:val="1A1A1A"/>
                <w:sz w:val="16"/>
              </w:rPr>
              <w:t>Objectives/change</w:t>
            </w:r>
          </w:p>
        </w:tc>
        <w:tc>
          <w:tcPr>
            <w:tcW w:type="dxa" w:w="2760"/>
            <w:shd w:fill="F7F9FB"/>
            <w:vAlign w:val="center"/>
          </w:tcPr>
          <w:p>
            <w:pPr>
              <w:spacing w:after="40" w:line="252" w:lineRule="auto" w:before="0"/>
            </w:pPr>
            <w:r>
              <w:rPr>
                <w:color w:val="1A1A1A"/>
                <w:sz w:val="16"/>
              </w:rPr>
              <w:t>10</w:t>
            </w:r>
          </w:p>
        </w:tc>
      </w:tr>
      <w:tr>
        <w:trPr>
          <w:cantSplit/>
        </w:trPr>
        <w:tc>
          <w:tcPr>
            <w:tcW w:type="dxa" w:w="6600"/>
            <w:vAlign w:val="center"/>
          </w:tcPr>
          <w:p>
            <w:pPr>
              <w:spacing w:after="40" w:line="252" w:lineRule="auto" w:before="0"/>
            </w:pPr>
            <w:r>
              <w:rPr>
                <w:color w:val="1A1A1A"/>
                <w:sz w:val="16"/>
              </w:rPr>
              <w:t>Resources/competence</w:t>
            </w:r>
          </w:p>
        </w:tc>
        <w:tc>
          <w:tcPr>
            <w:tcW w:type="dxa" w:w="2760"/>
            <w:vAlign w:val="center"/>
          </w:tcPr>
          <w:p>
            <w:pPr>
              <w:spacing w:after="40" w:line="252" w:lineRule="auto" w:before="0"/>
            </w:pPr>
            <w:r>
              <w:rPr>
                <w:color w:val="1A1A1A"/>
                <w:sz w:val="16"/>
              </w:rPr>
              <w:t>11–12, 23</w:t>
            </w:r>
          </w:p>
        </w:tc>
      </w:tr>
      <w:tr>
        <w:trPr>
          <w:cantSplit/>
        </w:trPr>
        <w:tc>
          <w:tcPr>
            <w:tcW w:type="dxa" w:w="6600"/>
            <w:shd w:fill="F7F9FB"/>
            <w:vAlign w:val="center"/>
          </w:tcPr>
          <w:p>
            <w:pPr>
              <w:spacing w:after="40" w:line="252" w:lineRule="auto" w:before="0"/>
            </w:pPr>
            <w:r>
              <w:rPr>
                <w:color w:val="1A1A1A"/>
                <w:sz w:val="16"/>
              </w:rPr>
              <w:t>Risk/treatment/SoA</w:t>
            </w:r>
          </w:p>
        </w:tc>
        <w:tc>
          <w:tcPr>
            <w:tcW w:type="dxa" w:w="2760"/>
            <w:shd w:fill="F7F9FB"/>
            <w:vAlign w:val="center"/>
          </w:tcPr>
          <w:p>
            <w:pPr>
              <w:spacing w:after="40" w:line="252" w:lineRule="auto" w:before="0"/>
            </w:pPr>
            <w:r>
              <w:rPr>
                <w:color w:val="1A1A1A"/>
                <w:sz w:val="16"/>
              </w:rPr>
              <w:t>6–8</w:t>
            </w:r>
          </w:p>
        </w:tc>
      </w:tr>
      <w:tr>
        <w:trPr>
          <w:cantSplit/>
        </w:trPr>
        <w:tc>
          <w:tcPr>
            <w:tcW w:type="dxa" w:w="6600"/>
            <w:vAlign w:val="center"/>
          </w:tcPr>
          <w:p>
            <w:pPr>
              <w:spacing w:after="40" w:line="252" w:lineRule="auto" w:before="0"/>
            </w:pPr>
            <w:r>
              <w:rPr>
                <w:color w:val="1A1A1A"/>
                <w:sz w:val="16"/>
              </w:rPr>
              <w:t>Suppliers/use</w:t>
            </w:r>
          </w:p>
        </w:tc>
        <w:tc>
          <w:tcPr>
            <w:tcW w:type="dxa" w:w="2760"/>
            <w:vAlign w:val="center"/>
          </w:tcPr>
          <w:p>
            <w:pPr>
              <w:spacing w:after="40" w:line="252" w:lineRule="auto" w:before="0"/>
            </w:pPr>
            <w:r>
              <w:rPr>
                <w:color w:val="1A1A1A"/>
                <w:sz w:val="16"/>
              </w:rPr>
              <w:t>28</w:t>
            </w:r>
          </w:p>
        </w:tc>
      </w:tr>
      <w:tr>
        <w:trPr>
          <w:cantSplit/>
        </w:trPr>
        <w:tc>
          <w:tcPr>
            <w:tcW w:type="dxa" w:w="6600"/>
            <w:shd w:fill="F7F9FB"/>
            <w:vAlign w:val="center"/>
          </w:tcPr>
          <w:p>
            <w:pPr>
              <w:spacing w:after="40" w:line="252" w:lineRule="auto" w:before="0"/>
            </w:pPr>
            <w:r>
              <w:rPr>
                <w:color w:val="1A1A1A"/>
                <w:sz w:val="16"/>
              </w:rPr>
              <w:t>Tools</w:t>
            </w:r>
          </w:p>
        </w:tc>
        <w:tc>
          <w:tcPr>
            <w:tcW w:type="dxa" w:w="2760"/>
            <w:shd w:fill="F7F9FB"/>
            <w:vAlign w:val="center"/>
          </w:tcPr>
          <w:p>
            <w:pPr>
              <w:spacing w:after="40" w:line="252" w:lineRule="auto" w:before="0"/>
            </w:pPr>
            <w:r>
              <w:rPr>
                <w:color w:val="1A1A1A"/>
                <w:sz w:val="16"/>
              </w:rPr>
              <w:t>30</w:t>
            </w:r>
          </w:p>
        </w:tc>
      </w:tr>
    </w:tbl>
    <w:p>
      <w:pPr>
        <w:spacing w:after="0"/>
      </w:pPr>
    </w:p>
    <w:p>
      <w:pPr>
        <w:pStyle w:val="Heading2"/>
        <w:keepNext/>
        <w:jc w:val="left"/>
      </w:pPr>
      <w:r>
        <w:t>32.9 Official references</w:t>
      </w:r>
    </w:p>
    <w:p>
      <w:pPr>
        <w:pStyle w:val="ListBullet"/>
      </w:pPr>
      <w:hyperlink r:id="rId41">
        <w:r>
          <w:rPr>
            <w:color w:val="2E74B5"/>
            <w:u w:val="single"/>
          </w:rPr>
          <w:t>ISO/IEC 42001:2023 official page</w:t>
        </w:r>
      </w:hyperlink>
    </w:p>
    <w:p>
      <w:pPr>
        <w:pStyle w:val="ListBullet"/>
      </w:pPr>
      <w:hyperlink r:id="rId42">
        <w:r>
          <w:rPr>
            <w:color w:val="2E74B5"/>
            <w:u w:val="single"/>
          </w:rPr>
          <w:t>ISO 42001 explained</w:t>
        </w:r>
      </w:hyperlink>
    </w:p>
    <w:p>
      <w:pPr>
        <w:pStyle w:val="ListBullet"/>
      </w:pPr>
      <w:hyperlink r:id="rId43">
        <w:r>
          <w:rPr>
            <w:color w:val="2E74B5"/>
            <w:u w:val="single"/>
          </w:rPr>
          <w:t>ISO/IEC 42001 Online Browsing Platform</w:t>
        </w:r>
      </w:hyperlink>
    </w:p>
    <w:p>
      <w:pPr>
        <w:pStyle w:val="ListBullet"/>
      </w:pPr>
      <w:hyperlink r:id="rId44">
        <w:r>
          <w:rPr>
            <w:color w:val="2E74B5"/>
            <w:u w:val="single"/>
          </w:rPr>
          <w:t>ISO/IEC 42005:2025 AI system impact assessment</w:t>
        </w:r>
      </w:hyperlink>
    </w:p>
    <w:p>
      <w:pPr>
        <w:pStyle w:val="ListBullet"/>
      </w:pPr>
      <w:hyperlink r:id="rId45">
        <w:r>
          <w:rPr>
            <w:color w:val="2E74B5"/>
            <w:u w:val="single"/>
          </w:rPr>
          <w:t>ISO/IEC 42006:2025 certification bodies</w:t>
        </w:r>
      </w:hyperlink>
    </w:p>
    <w:p>
      <w:pPr>
        <w:pStyle w:val="ListBullet"/>
      </w:pPr>
      <w:hyperlink r:id="rId46">
        <w:r>
          <w:rPr>
            <w:color w:val="2E74B5"/>
            <w:u w:val="single"/>
          </w:rPr>
          <w:t>ISO 19011:2026 audit guidelines</w:t>
        </w:r>
      </w:hyperlink>
    </w:p>
    <w:p>
      <w:pPr>
        <w:pStyle w:val="ListBullet"/>
      </w:pPr>
      <w:hyperlink r:id="rId47">
        <w:r>
          <w:rPr>
            <w:color w:val="2E74B5"/>
            <w:u w:val="single"/>
          </w:rPr>
          <w:t>ISO/IEC 23894:2023 AI risk management</w:t>
        </w:r>
      </w:hyperlink>
    </w:p>
    <w:p>
      <w:pPr>
        <w:pStyle w:val="ListBullet"/>
      </w:pPr>
      <w:hyperlink r:id="rId48">
        <w:r>
          <w:rPr>
            <w:color w:val="2E74B5"/>
            <w:u w:val="single"/>
          </w:rPr>
          <w:t>ISO/IEC 22989:2022 AI concepts and terminology</w:t>
        </w:r>
      </w:hyperlink>
    </w:p>
    <w:p>
      <w:pPr>
        <w:pStyle w:val="ListBullet"/>
      </w:pPr>
      <w:hyperlink r:id="rId49">
        <w:r>
          <w:rPr>
            <w:color w:val="2E74B5"/>
            <w:u w:val="single"/>
          </w:rPr>
          <w:t>ISO/IEC 23053:2022 ML system framework</w:t>
        </w:r>
      </w:hyperlink>
    </w:p>
    <w:p>
      <w:pPr>
        <w:pStyle w:val="ListBullet"/>
      </w:pPr>
      <w:hyperlink r:id="rId50">
        <w:r>
          <w:rPr>
            <w:color w:val="2E74B5"/>
            <w:u w:val="single"/>
          </w:rPr>
          <w:t>ISO/IEC 38507:2022 governance implications of AI</w:t>
        </w:r>
      </w:hyperlink>
    </w:p>
    <w:p>
      <w:pPr>
        <w:pStyle w:val="ListBullet"/>
      </w:pPr>
      <w:hyperlink r:id="rId57">
        <w:r>
          <w:rPr>
            <w:color w:val="0563C1"/>
            <w:u w:val="single"/>
          </w:rPr>
          <w:t>ISO/IEC 27001:2022 information-security management-system requirements</w:t>
        </w:r>
      </w:hyperlink>
    </w:p>
    <w:p>
      <w:pPr>
        <w:pStyle w:val="ListBullet"/>
      </w:pPr>
      <w:hyperlink r:id="rId58">
        <w:r>
          <w:rPr>
            <w:color w:val="0563C1"/>
            <w:u w:val="single"/>
          </w:rPr>
          <w:t>ISO/IEC 27001:2022/Amd 1:2024 climate-action changes</w:t>
        </w:r>
      </w:hyperlink>
    </w:p>
    <w:p>
      <w:pPr>
        <w:pStyle w:val="ListBullet"/>
      </w:pPr>
      <w:hyperlink r:id="rId59">
        <w:r>
          <w:rPr>
            <w:color w:val="0563C1"/>
            <w:u w:val="single"/>
          </w:rPr>
          <w:t>ISO/IEC 17021-1:2015 management-system certification bodies</w:t>
        </w:r>
      </w:hyperlink>
    </w:p>
    <w:p>
      <w:pPr>
        <w:pStyle w:val="ListBullet"/>
      </w:pPr>
      <w:hyperlink r:id="rId51">
        <w:r>
          <w:rPr>
            <w:color w:val="2E74B5"/>
            <w:u w:val="single"/>
          </w:rPr>
          <w:t>ISO/IEC JTC 1/SC 42 catalogue</w:t>
        </w:r>
      </w:hyperlink>
    </w:p>
    <w:p>
      <w:pPr>
        <w:pStyle w:val="ListBullet"/>
      </w:pPr>
      <w:hyperlink r:id="rId52">
        <w:r>
          <w:rPr>
            <w:color w:val="2E74B5"/>
            <w:u w:val="single"/>
          </w:rPr>
          <w:t>ISO management-system standards</w:t>
        </w:r>
      </w:hyperlink>
    </w:p>
    <w:p>
      <w:pPr>
        <w:pStyle w:val="ListBullet"/>
      </w:pPr>
      <w:hyperlink r:id="rId53">
        <w:r>
          <w:rPr>
            <w:color w:val="2E74B5"/>
            <w:u w:val="single"/>
          </w:rPr>
          <w:t>IAF CertSearch</w:t>
        </w:r>
      </w:hyperlink>
    </w:p>
    <w:p>
      <w:pPr>
        <w:pStyle w:val="ListBullet"/>
      </w:pPr>
      <w:hyperlink r:id="rId54">
        <w:r>
          <w:rPr>
            <w:color w:val="2E74B5"/>
            <w:u w:val="single"/>
          </w:rPr>
          <w:t>NIST AI Risk Management Framework</w:t>
        </w:r>
      </w:hyperlink>
    </w:p>
    <w:p>
      <w:pPr>
        <w:pStyle w:val="ListBullet"/>
      </w:pPr>
      <w:hyperlink r:id="rId55">
        <w:r>
          <w:rPr>
            <w:color w:val="2E74B5"/>
            <w:u w:val="single"/>
          </w:rPr>
          <w:t>OECD AI Principles</w:t>
        </w:r>
      </w:hyperlink>
    </w:p>
    <w:p>
      <w:pPr>
        <w:pStyle w:val="ListBullet"/>
      </w:pPr>
      <w:hyperlink r:id="rId56">
        <w:r>
          <w:rPr>
            <w:color w:val="2E74B5"/>
            <w:u w:val="single"/>
          </w:rPr>
          <w:t>EU AI Act official policy page</w:t>
        </w:r>
      </w:hyperlink>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Final reminder: </w:t>
      </w:r>
      <w:r>
        <w:rPr>
          <w:rFonts w:ascii="Aptos" w:hAnsi="Aptos"/>
          <w:color w:val="1A1A1A"/>
        </w:rPr>
        <w:t>Use an authorized copy of the standard. ISO standards, certification schemes, accreditation, laws, AI systems, providers, risks, tools, and official guidance change. Verify the current source, exact edition, certificate scope/status, system version, and organizational facts before implementation, audit, certification, or public claims.</w:t>
      </w:r>
    </w:p>
    <w:p>
      <w:pPr>
        <w:spacing w:after="0"/>
      </w:pPr>
    </w:p>
    <w:sectPr w:rsidR="00FC693F" w:rsidRPr="0006063C" w:rsidSect="00034616">
      <w:headerReference w:type="default" r:id="rId9"/>
      <w:footerReference w:type="default" r:id="rId10"/>
      <w:headerReference w:type="first" r:id="rId11"/>
      <w:footerReference w:type="first" r:id="rId12"/>
      <w:pgSz w:w="12240" w:h="15840"/>
      <w:pgMar w:top="1181"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build/iso-iec-42001-manual-02-2026@647c88fa905a | 2026-08-24 | 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Manual 02 | en | First Edition / v1.0 | PUBLICATION QA CANDIDATE — CONTROLLED ENGLISH SOURCE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A1A1A"/>
      <w:sz w:val="21"/>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eastAsia="en-US"/>
    </w:rPr>
  </w:style>
  <w:style w:type="character" w:customStyle="1" w:styleId="HeaderChar">
    <w:name w:val="Header Char"/>
    <w:basedOn w:val="DefaultParagraphFont"/>
    <w:link w:val="Header"/>
    <w:uiPriority w:val="99"/>
    <w:rsid w:val="00E618BF"/>
    <w:rPr>
      <w:lang w:val="en-US" w:eastAsia="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eastAsia="en-US"/>
    </w:rPr>
  </w:style>
  <w:style w:type="character" w:customStyle="1" w:styleId="FooterChar">
    <w:name w:val="Footer Char"/>
    <w:basedOn w:val="DefaultParagraphFont"/>
    <w:link w:val="Footer"/>
    <w:uiPriority w:val="99"/>
    <w:rsid w:val="00E618BF"/>
    <w:rPr>
      <w:lang w:val="en-US" w:eastAsia="en-US"/>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4"/>
      <w:szCs w:val="28"/>
      <w:lang w:val="en-US" w:eastAsia="en-US"/>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7"/>
      <w:szCs w:val="26"/>
      <w:lang w:val="en-US" w:eastAsia="en-US"/>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97D86"/>
      <w:sz w:val="23"/>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eastAsia="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eastAsia="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rPr>
      <w:lang w:val="en-US" w:eastAsia="en-US"/>
    </w:rPr>
  </w:style>
  <w:style w:type="table" w:default="1" w:styleId="TableNormal">
    <w:name w:val="Normal Table"/>
    <w:uiPriority w:val="99"/>
    <w:semiHidden/>
    <w:unhideWhenUsed/>
    <w:rPr>
      <w:lang w:val="en-US" w:eastAsia="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eastAsia="en-US"/>
    </w:rPr>
  </w:style>
  <w:style w:type="paragraph" w:styleId="NoSpacing">
    <w:name w:val="No Spacing"/>
    <w:uiPriority w:val="1"/>
    <w:qFormat/>
    <w:rsid w:val="00FC693F"/>
    <w:pPr>
      <w:spacing w:after="0" w:line="240" w:lineRule="auto"/>
    </w:pPr>
    <w:rPr>
      <w:lang w:val="en-US" w:eastAsia="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eastAsia="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eastAsia="en-US"/>
    </w:rPr>
  </w:style>
  <w:style w:type="paragraph" w:styleId="ListParagraph">
    <w:name w:val="List Paragraph"/>
    <w:basedOn w:val="Normal"/>
    <w:uiPriority w:val="34"/>
    <w:qFormat/>
    <w:rsid w:val="00FC693F"/>
    <w:pPr>
      <w:ind w:left="720"/>
      <w:contextualSpacing/>
    </w:pPr>
    <w:rPr>
      <w:lang w:val="en-US" w:eastAsia="en-US"/>
    </w:rPr>
  </w:style>
  <w:style w:type="paragraph" w:styleId="BodyText">
    <w:name w:val="Body Text"/>
    <w:basedOn w:val="Normal"/>
    <w:link w:val="BodyTextChar"/>
    <w:uiPriority w:val="99"/>
    <w:unhideWhenUsed/>
    <w:rsid w:val="00AA1D8D"/>
    <w:pPr>
      <w:spacing w:after="120"/>
    </w:pPr>
    <w:rPr>
      <w:lang w:val="en-US" w:eastAsia="en-US"/>
    </w:rPr>
  </w:style>
  <w:style w:type="character" w:customStyle="1" w:styleId="BodyTextChar">
    <w:name w:val="Body Text Char"/>
    <w:basedOn w:val="DefaultParagraphFont"/>
    <w:link w:val="BodyText"/>
    <w:uiPriority w:val="99"/>
    <w:rsid w:val="00AA1D8D"/>
    <w:rPr>
      <w:lang w:val="en-US" w:eastAsia="en-US"/>
    </w:rPr>
  </w:style>
  <w:style w:type="paragraph" w:styleId="BodyText2">
    <w:name w:val="Body Text 2"/>
    <w:basedOn w:val="Normal"/>
    <w:link w:val="BodyText2Char"/>
    <w:uiPriority w:val="99"/>
    <w:unhideWhenUsed/>
    <w:rsid w:val="00AA1D8D"/>
    <w:pPr>
      <w:spacing w:after="120" w:line="480" w:lineRule="auto"/>
    </w:pPr>
    <w:rPr>
      <w:lang w:val="en-US" w:eastAsia="en-US"/>
    </w:rPr>
  </w:style>
  <w:style w:type="character" w:customStyle="1" w:styleId="BodyText2Char">
    <w:name w:val="Body Text 2 Char"/>
    <w:basedOn w:val="DefaultParagraphFont"/>
    <w:link w:val="BodyText2"/>
    <w:uiPriority w:val="99"/>
    <w:rsid w:val="00AA1D8D"/>
    <w:rPr>
      <w:lang w:val="en-US" w:eastAsia="en-US"/>
    </w:rPr>
  </w:style>
  <w:style w:type="paragraph" w:styleId="BodyText3">
    <w:name w:val="Body Text 3"/>
    <w:basedOn w:val="Normal"/>
    <w:link w:val="BodyText3Char"/>
    <w:uiPriority w:val="99"/>
    <w:unhideWhenUsed/>
    <w:rsid w:val="00AA1D8D"/>
    <w:pPr>
      <w:spacing w:after="120"/>
    </w:pPr>
    <w:rPr>
      <w:sz w:val="16"/>
      <w:szCs w:val="16"/>
      <w:lang w:val="en-US" w:eastAsia="en-US"/>
    </w:rPr>
  </w:style>
  <w:style w:type="character" w:customStyle="1" w:styleId="BodyText3Char">
    <w:name w:val="Body Text 3 Char"/>
    <w:basedOn w:val="DefaultParagraphFont"/>
    <w:link w:val="BodyText3"/>
    <w:uiPriority w:val="99"/>
    <w:rsid w:val="00AA1D8D"/>
    <w:rPr>
      <w:sz w:val="16"/>
      <w:szCs w:val="16"/>
      <w:lang w:val="en-US" w:eastAsia="en-US"/>
    </w:rPr>
  </w:style>
  <w:style w:type="paragraph" w:styleId="List">
    <w:name w:val="List"/>
    <w:basedOn w:val="Normal"/>
    <w:uiPriority w:val="99"/>
    <w:unhideWhenUsed/>
    <w:rsid w:val="00AA1D8D"/>
    <w:pPr>
      <w:ind w:left="360" w:hanging="360"/>
      <w:contextualSpacing/>
    </w:pPr>
    <w:rPr>
      <w:lang w:val="en-US" w:eastAsia="en-US"/>
    </w:rPr>
  </w:style>
  <w:style w:type="paragraph" w:styleId="List2">
    <w:name w:val="List 2"/>
    <w:basedOn w:val="Normal"/>
    <w:uiPriority w:val="99"/>
    <w:unhideWhenUsed/>
    <w:rsid w:val="00326F90"/>
    <w:pPr>
      <w:ind w:left="720" w:hanging="360"/>
      <w:contextualSpacing/>
    </w:pPr>
    <w:rPr>
      <w:lang w:val="en-US" w:eastAsia="en-US"/>
    </w:rPr>
  </w:style>
  <w:style w:type="paragraph" w:styleId="List3">
    <w:name w:val="List 3"/>
    <w:basedOn w:val="Normal"/>
    <w:uiPriority w:val="99"/>
    <w:unhideWhenUsed/>
    <w:rsid w:val="00326F90"/>
    <w:pPr>
      <w:ind w:left="1080" w:hanging="360"/>
      <w:contextualSpacing/>
    </w:pPr>
    <w:rPr>
      <w:lang w:val="en-US" w:eastAsia="en-US"/>
    </w:rPr>
  </w:style>
  <w:style w:type="paragraph" w:styleId="ListBullet">
    <w:name w:val="List Bullet"/>
    <w:basedOn w:val="Normal"/>
    <w:uiPriority w:val="99"/>
    <w:unhideWhenUsed/>
    <w:rsid w:val="00326F90"/>
    <w:pPr>
      <w:numPr>
        <w:numId w:val="1"/>
      </w:numPr>
      <w:spacing w:after="60" w:line="276" w:lineRule="auto"/>
      <w:ind w:left="518" w:hanging="259"/>
      <w:contextualSpacing/>
    </w:pPr>
    <w:rPr>
      <w:rFonts w:ascii="Aptos" w:hAnsi="Aptos"/>
      <w:sz w:val="21"/>
      <w:lang w:val="en-US" w:eastAsia="en-US"/>
    </w:rPr>
  </w:style>
  <w:style w:type="paragraph" w:styleId="ListBullet2">
    <w:name w:val="List Bullet 2"/>
    <w:basedOn w:val="Normal"/>
    <w:uiPriority w:val="99"/>
    <w:unhideWhenUsed/>
    <w:rsid w:val="00326F90"/>
    <w:pPr>
      <w:numPr>
        <w:numId w:val="2"/>
      </w:numPr>
      <w:spacing w:after="60" w:line="276" w:lineRule="auto"/>
      <w:ind w:left="893" w:hanging="259"/>
      <w:contextualSpacing/>
    </w:pPr>
    <w:rPr>
      <w:rFonts w:ascii="Aptos" w:hAnsi="Aptos"/>
      <w:sz w:val="21"/>
      <w:lang w:val="en-US" w:eastAsia="en-US"/>
    </w:rPr>
  </w:style>
  <w:style w:type="paragraph" w:styleId="ListBullet3">
    <w:name w:val="List Bullet 3"/>
    <w:basedOn w:val="Normal"/>
    <w:uiPriority w:val="99"/>
    <w:unhideWhenUsed/>
    <w:rsid w:val="00326F90"/>
    <w:pPr>
      <w:numPr>
        <w:numId w:val="3"/>
      </w:numPr>
      <w:contextualSpacing/>
    </w:pPr>
    <w:rPr>
      <w:lang w:val="en-US" w:eastAsia="en-US"/>
    </w:rPr>
  </w:style>
  <w:style w:type="paragraph" w:styleId="ListNumber">
    <w:name w:val="List Number"/>
    <w:basedOn w:val="Normal"/>
    <w:uiPriority w:val="99"/>
    <w:unhideWhenUsed/>
    <w:rsid w:val="00326F90"/>
    <w:pPr>
      <w:numPr>
        <w:numId w:val="5"/>
      </w:numPr>
      <w:spacing w:after="60" w:line="276" w:lineRule="auto"/>
      <w:ind w:left="518" w:hanging="259"/>
      <w:contextualSpacing/>
    </w:pPr>
    <w:rPr>
      <w:rFonts w:ascii="Aptos" w:hAnsi="Aptos"/>
      <w:sz w:val="21"/>
      <w:lang w:val="en-US" w:eastAsia="en-US"/>
    </w:rPr>
  </w:style>
  <w:style w:type="paragraph" w:styleId="ListNumber2">
    <w:name w:val="List Number 2"/>
    <w:basedOn w:val="Normal"/>
    <w:uiPriority w:val="99"/>
    <w:unhideWhenUsed/>
    <w:rsid w:val="0029639D"/>
    <w:pPr>
      <w:numPr>
        <w:numId w:val="6"/>
      </w:numPr>
      <w:contextualSpacing/>
    </w:pPr>
    <w:rPr>
      <w:lang w:val="en-US" w:eastAsia="en-US"/>
    </w:rPr>
  </w:style>
  <w:style w:type="paragraph" w:styleId="ListNumber3">
    <w:name w:val="List Number 3"/>
    <w:basedOn w:val="Normal"/>
    <w:uiPriority w:val="99"/>
    <w:unhideWhenUsed/>
    <w:rsid w:val="0029639D"/>
    <w:pPr>
      <w:numPr>
        <w:numId w:val="7"/>
      </w:numPr>
      <w:contextualSpacing/>
    </w:pPr>
    <w:rPr>
      <w:lang w:val="en-US" w:eastAsia="en-US"/>
    </w:rPr>
  </w:style>
  <w:style w:type="paragraph" w:styleId="ListContinue">
    <w:name w:val="List Continue"/>
    <w:basedOn w:val="Normal"/>
    <w:uiPriority w:val="99"/>
    <w:unhideWhenUsed/>
    <w:rsid w:val="0029639D"/>
    <w:pPr>
      <w:spacing w:after="120"/>
      <w:ind w:left="360"/>
      <w:contextualSpacing/>
    </w:pPr>
    <w:rPr>
      <w:lang w:val="en-US" w:eastAsia="en-US"/>
    </w:rPr>
  </w:style>
  <w:style w:type="paragraph" w:styleId="ListContinue2">
    <w:name w:val="List Continue 2"/>
    <w:basedOn w:val="Normal"/>
    <w:uiPriority w:val="99"/>
    <w:unhideWhenUsed/>
    <w:rsid w:val="0029639D"/>
    <w:pPr>
      <w:spacing w:after="120"/>
      <w:ind w:left="720"/>
      <w:contextualSpacing/>
    </w:pPr>
    <w:rPr>
      <w:lang w:val="en-US" w:eastAsia="en-US"/>
    </w:rPr>
  </w:style>
  <w:style w:type="paragraph" w:styleId="ListContinue3">
    <w:name w:val="List Continue 3"/>
    <w:basedOn w:val="Normal"/>
    <w:uiPriority w:val="99"/>
    <w:unhideWhenUsed/>
    <w:rsid w:val="0029639D"/>
    <w:pPr>
      <w:spacing w:after="120"/>
      <w:ind w:left="1080"/>
      <w:contextualSpacing/>
    </w:pPr>
    <w:rPr>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eastAsia="en-US"/>
    </w:rPr>
  </w:style>
  <w:style w:type="character" w:customStyle="1" w:styleId="MacroTextChar">
    <w:name w:val="Macro Text Char"/>
    <w:basedOn w:val="DefaultParagraphFont"/>
    <w:link w:val="MacroText"/>
    <w:uiPriority w:val="99"/>
    <w:rsid w:val="0029639D"/>
    <w:rPr>
      <w:rFonts w:ascii="Courier" w:hAnsi="Courier"/>
      <w:sz w:val="20"/>
      <w:szCs w:val="20"/>
      <w:lang w:val="en-US" w:eastAsia="en-US"/>
    </w:rPr>
  </w:style>
  <w:style w:type="paragraph" w:styleId="Quote">
    <w:name w:val="Quote"/>
    <w:basedOn w:val="Normal"/>
    <w:next w:val="Normal"/>
    <w:link w:val="QuoteChar"/>
    <w:uiPriority w:val="29"/>
    <w:qFormat/>
    <w:rsid w:val="00FC693F"/>
    <w:rPr>
      <w:i/>
      <w:iCs/>
      <w:color w:val="000000" w:themeColor="text1"/>
      <w:lang w:val="en-US" w:eastAsia="en-US"/>
    </w:rPr>
  </w:style>
  <w:style w:type="character" w:customStyle="1" w:styleId="QuoteChar">
    <w:name w:val="Quote Char"/>
    <w:basedOn w:val="DefaultParagraphFont"/>
    <w:link w:val="Quote"/>
    <w:uiPriority w:val="29"/>
    <w:rsid w:val="00FC693F"/>
    <w:rPr>
      <w:i/>
      <w:iCs/>
      <w:color w:val="000000" w:themeColor="text1"/>
      <w:lang w:val="en-US" w:eastAsia="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eastAsia="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eastAsia="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eastAsia="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eastAsia="en-US"/>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B6570"/>
      <w:sz w:val="18"/>
      <w:szCs w:val="18"/>
      <w:lang w:val="en-US" w:eastAsia="en-US"/>
    </w:rPr>
  </w:style>
  <w:style w:type="character" w:styleId="Strong">
    <w:name w:val="Strong"/>
    <w:basedOn w:val="DefaultParagraphFont"/>
    <w:uiPriority w:val="22"/>
    <w:qFormat/>
    <w:rsid w:val="00FC693F"/>
    <w:rPr>
      <w:b/>
      <w:bCs/>
      <w:lang w:val="en-US" w:eastAsia="en-US"/>
    </w:rPr>
  </w:style>
  <w:style w:type="character" w:styleId="Emphasis">
    <w:name w:val="Emphasis"/>
    <w:basedOn w:val="DefaultParagraphFont"/>
    <w:uiPriority w:val="20"/>
    <w:qFormat/>
    <w:rsid w:val="00FC693F"/>
    <w:rPr>
      <w:i/>
      <w:iCs/>
      <w:lang w:val="en-US" w:eastAsia="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lang w:val="en-US" w:eastAsia="en-US"/>
    </w:rPr>
  </w:style>
  <w:style w:type="character" w:styleId="SubtleEmphasis">
    <w:name w:val="Subtle Emphasis"/>
    <w:basedOn w:val="DefaultParagraphFont"/>
    <w:uiPriority w:val="19"/>
    <w:qFormat/>
    <w:rsid w:val="00FC693F"/>
    <w:rPr>
      <w:i/>
      <w:iCs/>
      <w:color w:val="808080" w:themeColor="text1" w:themeTint="7F"/>
      <w:lang w:val="en-US" w:eastAsia="en-US"/>
    </w:rPr>
  </w:style>
  <w:style w:type="character" w:styleId="IntenseEmphasis">
    <w:name w:val="Intense Emphasis"/>
    <w:basedOn w:val="DefaultParagraphFont"/>
    <w:uiPriority w:val="21"/>
    <w:qFormat/>
    <w:rsid w:val="00FC693F"/>
    <w:rPr>
      <w:b/>
      <w:bCs/>
      <w:i/>
      <w:iCs/>
      <w:color w:val="4F81BD" w:themeColor="accent1"/>
      <w:lang w:val="en-US" w:eastAsia="en-US"/>
    </w:rPr>
  </w:style>
  <w:style w:type="character" w:styleId="SubtleReference">
    <w:name w:val="Subtle Reference"/>
    <w:basedOn w:val="DefaultParagraphFont"/>
    <w:uiPriority w:val="31"/>
    <w:qFormat/>
    <w:rsid w:val="00FC693F"/>
    <w:rPr>
      <w:smallCaps/>
      <w:color w:val="C0504D" w:themeColor="accent2"/>
      <w:u w:val="single"/>
      <w:lang w:val="en-US" w:eastAsia="en-US"/>
    </w:rPr>
  </w:style>
  <w:style w:type="character" w:styleId="IntenseReference">
    <w:name w:val="Intense Reference"/>
    <w:basedOn w:val="DefaultParagraphFont"/>
    <w:uiPriority w:val="32"/>
    <w:qFormat/>
    <w:rsid w:val="00FC693F"/>
    <w:rPr>
      <w:b/>
      <w:bCs/>
      <w:smallCaps/>
      <w:color w:val="C0504D" w:themeColor="accent2"/>
      <w:spacing w:val="5"/>
      <w:u w:val="single"/>
      <w:lang w:val="en-US" w:eastAsia="en-US"/>
    </w:rPr>
  </w:style>
  <w:style w:type="character" w:styleId="BookTitle">
    <w:name w:val="Book Title"/>
    <w:basedOn w:val="DefaultParagraphFont"/>
    <w:uiPriority w:val="33"/>
    <w:qFormat/>
    <w:rsid w:val="00FC693F"/>
    <w:rPr>
      <w:b/>
      <w:bCs/>
      <w:smallCaps/>
      <w:spacing w:val="5"/>
      <w:lang w:val="en-US" w:eastAsia="en-US"/>
    </w:rPr>
  </w:style>
  <w:style w:type="paragraph" w:styleId="TOCHeading">
    <w:name w:val="TOC Heading"/>
    <w:basedOn w:val="Heading1"/>
    <w:next w:val="Normal"/>
    <w:uiPriority w:val="39"/>
    <w:semiHidden/>
    <w:unhideWhenUsed/>
    <w:qFormat/>
    <w:rsid w:val="00FC693F"/>
    <w:pPr>
      <w:outlineLvl w:val="9"/>
    </w:pPr>
    <w:rPr>
      <w:lang w:val="en-US" w:eastAsia="en-US"/>
    </w:rPr>
  </w:style>
  <w:style w:type="table" w:styleId="TableGrid">
    <w:name w:val="Table Grid"/>
    <w:basedOn w:val="TableNormal"/>
    <w:uiPriority w:val="59"/>
    <w:rsid w:val="00FC693F"/>
    <w:pPr>
      <w:spacing w:after="0" w:line="240" w:lineRule="auto"/>
    </w:pPr>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eastAsia="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eastAsia="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eastAsia="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mlflow.org/" TargetMode="External"/><Relationship Id="rId23" Type="http://schemas.openxmlformats.org/officeDocument/2006/relationships/hyperlink" Target="https://dvc.org/" TargetMode="External"/><Relationship Id="rId24" Type="http://schemas.openxmlformats.org/officeDocument/2006/relationships/hyperlink" Target="https://openlineage.io/" TargetMode="External"/><Relationship Id="rId25" Type="http://schemas.openxmlformats.org/officeDocument/2006/relationships/hyperlink" Target="https://open-metadata.org/" TargetMode="External"/><Relationship Id="rId26" Type="http://schemas.openxmlformats.org/officeDocument/2006/relationships/hyperlink" Target="https://greatexpectations.io/" TargetMode="External"/><Relationship Id="rId27" Type="http://schemas.openxmlformats.org/officeDocument/2006/relationships/hyperlink" Target="https://www.evidentlyai.com/" TargetMode="External"/><Relationship Id="rId28" Type="http://schemas.openxmlformats.org/officeDocument/2006/relationships/hyperlink" Target="https://github.com/deepchecks/deepchecks" TargetMode="External"/><Relationship Id="rId29" Type="http://schemas.openxmlformats.org/officeDocument/2006/relationships/hyperlink" Target="https://github.com/Giskard-AI/giskard-oss" TargetMode="External"/><Relationship Id="rId30" Type="http://schemas.openxmlformats.org/officeDocument/2006/relationships/hyperlink" Target="https://www.promptfoo.dev/" TargetMode="External"/><Relationship Id="rId31" Type="http://schemas.openxmlformats.org/officeDocument/2006/relationships/hyperlink" Target="https://github.com/NVIDIA/garak" TargetMode="External"/><Relationship Id="rId32" Type="http://schemas.openxmlformats.org/officeDocument/2006/relationships/hyperlink" Target="https://github.com/microsoft/PyRIT" TargetMode="External"/><Relationship Id="rId33" Type="http://schemas.openxmlformats.org/officeDocument/2006/relationships/hyperlink" Target="https://inspect.aisi.org.uk/" TargetMode="External"/><Relationship Id="rId34" Type="http://schemas.openxmlformats.org/officeDocument/2006/relationships/hyperlink" Target="https://presidio.dataprivacystack.org/" TargetMode="External"/><Relationship Id="rId35" Type="http://schemas.openxmlformats.org/officeDocument/2006/relationships/hyperlink" Target="https://github.com/protectai/modelscan" TargetMode="External"/><Relationship Id="rId36" Type="http://schemas.openxmlformats.org/officeDocument/2006/relationships/hyperlink" Target="https://cyclonedx.org/" TargetMode="External"/><Relationship Id="rId37" Type="http://schemas.openxmlformats.org/officeDocument/2006/relationships/hyperlink" Target="https://www.openpolicyagent.org/" TargetMode="External"/><Relationship Id="rId38" Type="http://schemas.openxmlformats.org/officeDocument/2006/relationships/hyperlink" Target="https://www.defectdojo.org/" TargetMode="External"/><Relationship Id="rId39" Type="http://schemas.openxmlformats.org/officeDocument/2006/relationships/hyperlink" Target="https://langfuse.com/" TargetMode="External"/><Relationship Id="rId40" Type="http://schemas.openxmlformats.org/officeDocument/2006/relationships/image" Target="media/image10.png"/><Relationship Id="rId41" Type="http://schemas.openxmlformats.org/officeDocument/2006/relationships/hyperlink" Target="https://www.iso.org/standard/42001" TargetMode="External"/><Relationship Id="rId42" Type="http://schemas.openxmlformats.org/officeDocument/2006/relationships/hyperlink" Target="https://www.iso.org/home/insights-news/resources/iso-42001-explained-what-it-is.html" TargetMode="External"/><Relationship Id="rId43" Type="http://schemas.openxmlformats.org/officeDocument/2006/relationships/hyperlink" Target="https://www.iso.org/obp/ui/en/#iso:std:iso-iec:42001:ed-1:v1:en" TargetMode="External"/><Relationship Id="rId44" Type="http://schemas.openxmlformats.org/officeDocument/2006/relationships/hyperlink" Target="https://www.iso.org/standard/42005" TargetMode="External"/><Relationship Id="rId45" Type="http://schemas.openxmlformats.org/officeDocument/2006/relationships/hyperlink" Target="https://www.iso.org/standard/42006" TargetMode="External"/><Relationship Id="rId46" Type="http://schemas.openxmlformats.org/officeDocument/2006/relationships/hyperlink" Target="https://www.iso.org/standard/19011" TargetMode="External"/><Relationship Id="rId47" Type="http://schemas.openxmlformats.org/officeDocument/2006/relationships/hyperlink" Target="https://www.iso.org/standard/77304.html" TargetMode="External"/><Relationship Id="rId48" Type="http://schemas.openxmlformats.org/officeDocument/2006/relationships/hyperlink" Target="https://www.iso.org/standard/74296.html" TargetMode="External"/><Relationship Id="rId49" Type="http://schemas.openxmlformats.org/officeDocument/2006/relationships/hyperlink" Target="https://www.iso.org/standard/74438.html" TargetMode="External"/><Relationship Id="rId50" Type="http://schemas.openxmlformats.org/officeDocument/2006/relationships/hyperlink" Target="https://www.iso.org/standard/56641.html" TargetMode="External"/><Relationship Id="rId51" Type="http://schemas.openxmlformats.org/officeDocument/2006/relationships/hyperlink" Target="https://committee.iso.org/committee/6794475/x/catalogue/" TargetMode="External"/><Relationship Id="rId52" Type="http://schemas.openxmlformats.org/officeDocument/2006/relationships/hyperlink" Target="https://www.iso.org/management-system-standards.html" TargetMode="External"/><Relationship Id="rId53" Type="http://schemas.openxmlformats.org/officeDocument/2006/relationships/hyperlink" Target="https://www.iafcertsearch.org/" TargetMode="External"/><Relationship Id="rId54" Type="http://schemas.openxmlformats.org/officeDocument/2006/relationships/hyperlink" Target="https://www.nist.gov/itl/ai-risk-management-framework" TargetMode="External"/><Relationship Id="rId55" Type="http://schemas.openxmlformats.org/officeDocument/2006/relationships/hyperlink" Target="https://oecd.ai/en/ai-principles" TargetMode="External"/><Relationship Id="rId56" Type="http://schemas.openxmlformats.org/officeDocument/2006/relationships/hyperlink" Target="https://digital-strategy.ec.europa.eu/en/policies/regulatory-framework-ai" TargetMode="External"/><Relationship Id="rId57" Type="http://schemas.openxmlformats.org/officeDocument/2006/relationships/hyperlink" Target="https://www.iso.org/standard/27001" TargetMode="External"/><Relationship Id="rId58" Type="http://schemas.openxmlformats.org/officeDocument/2006/relationships/hyperlink" Target="https://www.iso.org/standard/88435.html" TargetMode="External"/><Relationship Id="rId59" Type="http://schemas.openxmlformats.org/officeDocument/2006/relationships/hyperlink" Target="https://www.iso.org/standard/6165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02 — ISO/IEC 42001 AI Management System Implementation</dc:title>
  <dc:subject>Manual 02 controlled publication-QA artifact; PUBLICATION QA CANDIDATE — CONTROLLED ENGLISH SOURCE; source build/iso-iec-42001-manual-02-2026@647c88fa905a16cba4e3ec162a32aad56f48c58b</dc:subject>
  <dc:creator>Alberto (Al) Leiva</dc:creator>
  <cp:keywords>ISO/IEC 42001, AI management system, AIMS, GRC, implementation, audit evidence</cp:keywords>
  <dc:description>Document generation and repository QA do not establish certification, conformity, legal compliance, or audit assurance.</dc:description>
  <cp:lastModifiedBy/>
  <cp:revision>1</cp:revision>
  <dcterms:created xsi:type="dcterms:W3CDTF">2013-12-23T23:15:00Z</dcterms:created>
  <dcterms:modified xsi:type="dcterms:W3CDTF">2013-12-23T23:15:00Z</dcterms:modified>
  <cp:category/>
</cp:coreProperties>
</file>