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6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4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FirstParagraph"/>
      </w:pPr>
    </w:p>
    <w:p>
      <w:pPr>
        <w:pStyle w:val="BodyText"/>
      </w:pPr>
      <w:r>
        <w:t xml:space="preserve">Figura 1. Ciclo de vida de risco de terceiros</w:t>
      </w:r>
    </w:p>
    <w:bookmarkEnd w:id="24"/>
    <w:bookmarkStart w:id="25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5"/>
    <w:bookmarkEnd w:id="26"/>
    <w:bookmarkStart w:id="30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27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27"/>
    <w:bookmarkStart w:id="28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28"/>
    <w:bookmarkStart w:id="29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29"/>
    <w:bookmarkEnd w:id="30"/>
    <w:bookmarkStart w:id="34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BodyText"/>
      </w:pPr>
    </w:p>
    <w:p>
      <w:pPr>
        <w:pStyle w:val="BodyText"/>
      </w:pPr>
      <w:r>
        <w:t xml:space="preserve">Figura 2. Listas de fornecedores de exemplo</w:t>
      </w:r>
    </w:p>
    <w:bookmarkStart w:id="31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1"/>
    <w:bookmarkStart w:id="32" w:name="fatores-de-nivelamento"/>
    <w:p>
      <w:pPr>
        <w:pStyle w:val="Heading2"/>
      </w:pPr>
      <w:r>
        <w:t xml:space="preserve">4.2 Fatores de nivelamento</w:t>
      </w:r>
    </w:p>
    <w:bookmarkEnd w:id="32"/>
    <w:bookmarkStart w:id="33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3"/>
    <w:bookmarkEnd w:id="34"/>
    <w:bookmarkStart w:id="38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BodyText"/>
      </w:pP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35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35"/>
    <w:bookmarkStart w:id="37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FirstParagraph"/>
      </w:pP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36" w:name="Xaa957440699d25bbde39eaa6e0eb5bbc21779bf"/>
      <w:r>
        <w:t xml:space="preserve">Artifact** ** Pontos de revisão** ** Armadilha comum**</w:t>
      </w:r>
      <w:bookmarkEnd w:id="36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37"/>
    <w:bookmarkEnd w:id="38"/>
    <w:bookmarkStart w:id="42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39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39"/>
    <w:bookmarkStart w:id="40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40"/>
    <w:bookmarkStart w:id="41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41"/>
    <w:bookmarkEnd w:id="42"/>
    <w:bookmarkStart w:id="45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43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43"/>
    <w:bookmarkStart w:id="44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44"/>
    <w:bookmarkEnd w:id="45"/>
    <w:bookmarkStart w:id="46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46"/>
    <w:bookmarkStart w:id="48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47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47"/>
    <w:bookmarkEnd w:id="48"/>
    <w:bookmarkStart w:id="51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49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49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50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50"/>
    <w:bookmarkEnd w:id="51"/>
    <w:bookmarkStart w:id="52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FirstParagraph"/>
      </w:pPr>
    </w:p>
    <w:p>
      <w:pPr>
        <w:pStyle w:val="BodyText"/>
      </w:pPr>
      <w:r>
        <w:t xml:space="preserve">Figura 5. Coordenação incidente do fornecedor</w:t>
      </w:r>
    </w:p>
    <w:bookmarkEnd w:id="52"/>
    <w:bookmarkStart w:id="54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53" w:name="X945e943b0fe098cef9963a72368a1f25cc8ad95"/>
      <w:r>
        <w:t xml:space="preserve">Primeiras perguntas** Por que elas importam**</w:t>
      </w:r>
      <w:bookmarkEnd w:id="53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54"/>
    <w:bookmarkStart w:id="55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BodyText"/>
      </w:pPr>
    </w:p>
    <w:p>
      <w:pPr>
        <w:pStyle w:val="BodyText"/>
      </w:pPr>
      <w:r>
        <w:t xml:space="preserve">Figura 6. Concentração oculta da quarta parte</w:t>
      </w:r>
    </w:p>
    <w:bookmarkEnd w:id="55"/>
    <w:bookmarkStart w:id="56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56"/>
    <w:bookmarkStart w:id="58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57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57"/>
    <w:bookmarkEnd w:id="58"/>
    <w:bookmarkStart w:id="59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FirstParagraph"/>
      </w:pPr>
    </w:p>
    <w:p>
      <w:pPr>
        <w:pStyle w:val="BodyText"/>
      </w:pPr>
      <w:r>
        <w:t xml:space="preserve">Figura 7. Fluxo de evidência da cadeia de fornecimento de software</w:t>
      </w:r>
    </w:p>
    <w:bookmarkEnd w:id="59"/>
    <w:bookmarkStart w:id="62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60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BodyText"/>
      </w:pPr>
    </w:p>
    <w:p>
      <w:pPr>
        <w:pStyle w:val="BodyText"/>
      </w:pPr>
      <w:r>
        <w:t xml:space="preserve">Figura 8. Fluxo de trabalho de risco do fornecedor de IA</w:t>
      </w:r>
    </w:p>
    <w:bookmarkEnd w:id="60"/>
    <w:bookmarkStart w:id="61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61"/>
    <w:bookmarkEnd w:id="62"/>
    <w:bookmarkStart w:id="63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63"/>
    <w:bookmarkStart w:id="65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64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64"/>
    <w:bookmarkEnd w:id="65"/>
    <w:bookmarkStart w:id="68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66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66"/>
    <w:bookmarkStart w:id="67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67"/>
    <w:bookmarkEnd w:id="68"/>
    <w:bookmarkStart w:id="70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69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69"/>
    <w:bookmarkEnd w:id="70"/>
    <w:bookmarkStart w:id="72" w:name="pensamento-de-três-níveis"/>
    <w:p>
      <w:pPr>
        <w:pStyle w:val="Heading1"/>
      </w:pPr>
      <w:r>
        <w:t xml:space="preserve"># 21,1 Pensamento de três níveis</w:t>
      </w:r>
    </w:p>
    <w:bookmarkStart w:id="71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71"/>
    <w:bookmarkEnd w:id="72"/>
    <w:bookmarkStart w:id="74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73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73"/>
    <w:bookmarkEnd w:id="74"/>
    <w:bookmarkStart w:id="77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BodyText"/>
      </w:pPr>
    </w:p>
    <w:p>
      <w:pPr>
        <w:pStyle w:val="BodyText"/>
      </w:pPr>
      <w:r>
        <w:t xml:space="preserve">Figura 9. Cadeia de testes de evidência</w:t>
      </w:r>
    </w:p>
    <w:bookmarkStart w:id="76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75" w:name="X86179dcd7fbe5fe8ce156f57e535ae3b397de4c"/>
      <w:r>
        <w:t xml:space="preserve">** ** ** ** Cálculo de exemplo** ** ** O que ele pode revelar**</w:t>
      </w:r>
      <w:bookmarkEnd w:id="75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6"/>
    <w:bookmarkEnd w:id="77"/>
    <w:bookmarkStart w:id="80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78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78"/>
    <w:bookmarkStart w:id="79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79"/>
    <w:bookmarkEnd w:id="80"/>
    <w:bookmarkStart w:id="82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81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2"/>
    <w:bookmarkStart w:id="84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83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4"/>
    <w:bookmarkStart w:id="88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85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87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86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87"/>
    <w:bookmarkEnd w:id="88"/>
    <w:bookmarkStart w:id="90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89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0"/>
    <w:bookmarkStart w:id="92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91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2"/>
    <w:bookmarkStart w:id="94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93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4"/>
    <w:bookmarkStart w:id="98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95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97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96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97"/>
    <w:bookmarkEnd w:id="98"/>
    <w:bookmarkStart w:id="100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99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0"/>
    <w:bookmarkStart w:id="102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0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2"/>
    <w:bookmarkStart w:id="104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03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4"/>
    <w:bookmarkStart w:id="106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05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6"/>
    <w:bookmarkStart w:id="108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07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8"/>
    <w:bookmarkStart w:id="110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09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0"/>
    <w:bookmarkStart w:id="112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11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2"/>
    <w:bookmarkStart w:id="115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13" w:name="Xb56cd5a87bf42f1975f9050a867341e00622698"/>
      <w:r>
        <w:t xml:space="preserve">** Área do tabuleiro** ** Pergunta do gestor** ** Escalar quando**</w:t>
      </w:r>
      <w:bookmarkEnd w:id="113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14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14"/>
    <w:bookmarkEnd w:id="115"/>
    <w:bookmarkStart w:id="11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TPRM júnior</w:t>
      </w:r>
    </w:p>
    <w:bookmarkEnd w:id="116"/>
    <w:bookmarkStart w:id="11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17"/>
    <w:bookmarkStart w:id="11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1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18"/>
    <w:bookmarkEnd w:id="119"/>
    <w:bookmarkStart w:id="12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20"/>
    <w:bookmarkStart w:id="12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21" w:name="dias-foco-entrega"/>
      <w:r>
        <w:t xml:space="preserve">Dias** * Foco** * Entrega**</w:t>
      </w:r>
      <w:bookmarkEnd w:id="12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22"/>
    <w:bookmarkStart w:id="12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23"/>
    <w:bookmarkStart w:id="12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24"/>
    <w:bookmarkStart w:id="13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2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25"/>
    <w:bookmarkStart w:id="12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26"/>
    <w:bookmarkStart w:id="12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27"/>
    <w:bookmarkStart w:id="12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28"/>
    <w:bookmarkStart w:id="12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29"/>
    <w:bookmarkStart w:id="13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30"/>
    <w:bookmarkEnd w:id="131"/>
    <w:bookmarkStart w:id="13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32"/>
    <w:bookmarkStart w:id="13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33"/>
    <w:bookmarkStart w:id="13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34"/>
    <w:bookmarkStart w:id="13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35" w:name="campo-entrada"/>
      <w:r>
        <w:t xml:space="preserve">Campo** * Entrada**</w:t>
      </w:r>
      <w:bookmarkEnd w:id="13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36"/>
    <w:bookmarkStart w:id="13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3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37"/>
    <w:bookmarkEnd w:id="138"/>
    <w:bookmarkStart w:id="14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3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39"/>
    <w:bookmarkEnd w:id="140"/>
    <w:bookmarkStart w:id="142" w:name="glossário"/>
    <w:p>
      <w:pPr>
        <w:pStyle w:val="Heading1"/>
      </w:pPr>
      <w:r>
        <w:t xml:space="preserve"># 30.6 Glossário</w:t>
      </w:r>
    </w:p>
    <w:bookmarkStart w:id="14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41"/>
    <w:bookmarkEnd w:id="142"/>
    <w:bookmarkStart w:id="156" w:name="índice-de-assunto"/>
    <w:p>
      <w:pPr>
        <w:pStyle w:val="Heading1"/>
      </w:pPr>
      <w:r>
        <w:t xml:space="preserve"># 30.7 Índice de assunto</w:t>
      </w:r>
    </w:p>
    <w:bookmarkStart w:id="14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43"/>
    <w:bookmarkStart w:id="15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4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4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4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4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4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4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5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5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5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5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54"/>
    <w:bookmarkStart w:id="15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55"/>
    <w:bookmarkEnd w:id="1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https://csrc.nist.gov/Projects/cyber-supply-chain-risk-management/publications" TargetMode="External" /><Relationship Type="http://schemas.openxmlformats.org/officeDocument/2006/relationships/hyperlink" Id="rId147" Target="https://csrc.nist.gov/pubs/sp/1305/final" TargetMode="External" /><Relationship Type="http://schemas.openxmlformats.org/officeDocument/2006/relationships/hyperlink" Id="rId144" Target="https://csrc.nist.gov/pubs/sp/1326/final" TargetMode="External" /><Relationship Type="http://schemas.openxmlformats.org/officeDocument/2006/relationships/hyperlink" Id="rId146" Target="https://csrc.nist.gov/pubs/sp/800/161/r1/upd1/final" TargetMode="External" /><Relationship Type="http://schemas.openxmlformats.org/officeDocument/2006/relationships/hyperlink" Id="rId145" Target="https://csrc.nist.gov/pubs/sp/800/18/r2/final" TargetMode="External" /><Relationship Type="http://schemas.openxmlformats.org/officeDocument/2006/relationships/hyperlink" Id="rId85" Target="https://cyclonedx.org/" TargetMode="External" /><Relationship Type="http://schemas.openxmlformats.org/officeDocument/2006/relationships/hyperlink" Id="rId83" Target="https://dependencytrack.org/" TargetMode="External" /><Relationship Type="http://schemas.openxmlformats.org/officeDocument/2006/relationships/hyperlink" Id="rId89" Target="https://github.com/anchore/grype" TargetMode="External" /><Relationship Type="http://schemas.openxmlformats.org/officeDocument/2006/relationships/hyperlink" Id="rId86" Target="https://github.com/anchore/syft" TargetMode="External" /><Relationship Type="http://schemas.openxmlformats.org/officeDocument/2006/relationships/hyperlink" Id="rId96" Target="https://google.github.io/osv-scanner/" TargetMode="External" /><Relationship Type="http://schemas.openxmlformats.org/officeDocument/2006/relationships/hyperlink" Id="rId107" Target="https://greenbone.github.io/docs/latest/" TargetMode="External" /><Relationship Type="http://schemas.openxmlformats.org/officeDocument/2006/relationships/hyperlink" Id="rId95" Target="https://guac.sh/" TargetMode="External" /><Relationship Type="http://schemas.openxmlformats.org/officeDocument/2006/relationships/hyperlink" Id="rId81" Target="https://intuitem.github.io/ciso-assistant-community/" TargetMode="External" /><Relationship Type="http://schemas.openxmlformats.org/officeDocument/2006/relationships/hyperlink" Id="rId109" Target="https://nmap.org/" TargetMode="External" /><Relationship Type="http://schemas.openxmlformats.org/officeDocument/2006/relationships/hyperlink" Id="rId93" Target="https://scorecard.dev/" TargetMode="External" /><Relationship Type="http://schemas.openxmlformats.org/officeDocument/2006/relationships/hyperlink" Id="rId152" Target="https://scvs.owasp.org/" TargetMode="External" /><Relationship Type="http://schemas.openxmlformats.org/officeDocument/2006/relationships/hyperlink" Id="rId91" Target="https://trivy.dev/" TargetMode="External" /><Relationship Type="http://schemas.openxmlformats.org/officeDocument/2006/relationships/hyperlink" Id="rId101" Target="https://wazuh.com/" TargetMode="External" /><Relationship Type="http://schemas.openxmlformats.org/officeDocument/2006/relationships/hyperlink" Id="rId153" Target="https://www.bestpractices.dev/" TargetMode="External" /><Relationship Type="http://schemas.openxmlformats.org/officeDocument/2006/relationships/hyperlink" Id="rId150" Target="https://www.cisa.gov/ict-supply-chain-resource-library" TargetMode="External" /><Relationship Type="http://schemas.openxmlformats.org/officeDocument/2006/relationships/hyperlink" Id="rId151" Target="https://www.cisa.gov/resources-tools/groups/ict-supply-chain-risk-management-task-force" TargetMode="External" /><Relationship Type="http://schemas.openxmlformats.org/officeDocument/2006/relationships/hyperlink" Id="rId99" Target="https://www.defectdojo.org/" TargetMode="External" /><Relationship Type="http://schemas.openxmlformats.org/officeDocument/2006/relationships/hyperlink" Id="rId103" Target="https://www.keycloak.org/" TargetMode="External" /><Relationship Type="http://schemas.openxmlformats.org/officeDocument/2006/relationships/hyperlink" Id="rId148" Target="https://www.nist.gov/cyberframework" TargetMode="External" /><Relationship Type="http://schemas.openxmlformats.org/officeDocument/2006/relationships/hyperlink" Id="rId111" Target="https://www.openpolicyagent.org/" TargetMode="External" /><Relationship Type="http://schemas.openxmlformats.org/officeDocument/2006/relationships/hyperlink" Id="rId105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2026-07-29T02:51:03Z</dcterms:created>
  <dcterms:modified xsi:type="dcterms:W3CDTF">2026-07-29T02:51:03Z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