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Edición de revisión controlada. Requiere validación humana de terminología, significado, enlaces, formato, accesibilidad y vigencia técnica antes de la publicación final.</w:t>
      </w:r>
    </w:p>
    <w:p>
      <w:pPr>
        <w:pStyle w:val="FirstParagraph"/>
      </w:pPr>
      <w:r>
        <w:rPr>
          <w:bCs/>
          <w:b/>
        </w:rPr>
        <w:t xml:space="preserve">SERIE PRÁCTICA DE CIBERSEGURIDAD, PRIVACIDAD Y CUMPLIMIENTO</w:t>
      </w:r>
    </w:p>
    <w:p>
      <w:pPr>
        <w:pStyle w:val="BodyText"/>
      </w:pPr>
      <w:r>
        <w:rPr>
          <w:bCs/>
          <w:b/>
        </w:rPr>
        <w:t xml:space="preserve">CIS Critical Security Controls v8.1</w:t>
      </w:r>
    </w:p>
    <w:p>
      <w:pPr>
        <w:pStyle w:val="BodyText"/>
      </w:pPr>
      <w:r>
        <w:rPr>
          <w:bCs/>
          <w:b/>
        </w:rPr>
        <w:t xml:space="preserve">Implementación práctica, medición, evidencia y herramientas de código abierto</w:t>
      </w:r>
    </w:p>
    <w:p>
      <w:pPr>
        <w:pStyle w:val="BodyText"/>
      </w:pPr>
      <w:r>
        <w:rPr>
          <w:iCs/>
          <w:i/>
        </w:rPr>
        <w:t xml:space="preserve">Manual de trabajo para gestores, analistas júnior, estudiantes, profesionales en transición de carrera, evaluadores y equipos de 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18 Controles • 153 Salvaguardas • IG1, IG2 e IG3 • medición • evidencia • herramientas • guía para gestores • laboratorios • preparación profesional</w:t>
            </w:r>
          </w:p>
        </w:tc>
      </w:tr>
    </w:tbl>
    <w:bookmarkStart w:id="21"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Este manual educativo independiente no es una publicación, certificación, acreditación, informe de auditoría, opinión jurídica ni garantía de seguridad o cumplimiento emitida por el Center for Internet Security. CIS Controls y CIS Benchmarks son marcas del Center for Internet Security. Consulte los recursos oficiales de CIS para obtener el contenido exacto y la orientación vigente.</w:t>
      </w:r>
    </w:p>
    <w:p>
      <w:pPr>
        <w:pStyle w:val="BodyText"/>
      </w:pPr>
      <w:r>
        <w:t xml:space="preserve">Los CIS Controls representan buenas prácticas de ciberseguridad. No sustituyen las leyes, los reglamentos, los contratos, los requisitos sectoriales, las evaluaciones de riesgo ni las responsabilidades de gestión aplicables. Una correspondencia entre marcos muestra relaciones; no demuestra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posea o para los que haya recibido autorización específica por escrito. En los laboratorios, utilice información sintética y sistemas aislados.</w:t>
      </w:r>
    </w:p>
    <w:bookmarkEnd w:id="20"/>
    <w:bookmarkEnd w:id="21"/>
    <w:bookmarkStart w:id="22" w:name="prefacio"/>
    <w:p>
      <w:pPr>
        <w:pStyle w:val="Heading1"/>
      </w:pPr>
      <w:r>
        <w:t xml:space="preserve">Prefacio</w:t>
      </w:r>
    </w:p>
    <w:p>
      <w:pPr>
        <w:pStyle w:val="FirstParagraph"/>
      </w:pPr>
      <w:r>
        <w:rPr>
          <w:iCs/>
          <w:i/>
        </w:rPr>
        <w:t xml:space="preserve">Introducción práctica a la defensa cibernética priorizada y a la medición basada en evidencia.</w:t>
      </w:r>
    </w:p>
    <w:p>
      <w:pPr>
        <w:pStyle w:val="BodyText"/>
      </w:pPr>
      <w:r>
        <w:t xml:space="preserve">Los CIS Controls convierten necesidades defensivas comunes en Salvaguardas específicas. Su principal fortaleza es la priorización práctica: conocer los activos, controlar el software y los datos, proteger configuraciones e identidades, gestionar vulnerabilidades y registros, prepararse para interrupciones y ataques, y comprobar si las defensas funcionan.</w:t>
      </w:r>
    </w:p>
    <w:p>
      <w:pPr>
        <w:pStyle w:val="BodyText"/>
      </w:pPr>
      <w:r>
        <w:t xml:space="preserve">La versión 8.1 es una actualización iterativa de la versión 8. Realineó las correspondencias con NIST CSF 2.0, amplió definiciones de términos reservados, revisó clases de activos y correspondencias de Salvaguardas, corrigió cuestiones menores, aclaró determinadas Salvaguardas e incorporó la función Gobernar a las correspondencias. Los 18 Controles y las 153 Salvaguardas continúan siendo la estructura central.</w:t>
      </w:r>
    </w:p>
    <w:p>
      <w:pPr>
        <w:pStyle w:val="BodyText"/>
      </w:pPr>
      <w:r>
        <w:t xml:space="preserve">La instalación de una herramienta no equivale a la implementación de un control. Una implementación efectiva exige un alcance definido, poblaciones completas, configuración segura, evidencia operativa, responsables capacitados, tratamiento de excepciones, medición, corrección y repetición de pruebas. Los gestores definen prioridades y recursos; los analistas hacen que esas decisiones sean confiables mediante inventarios y evidencia precisos.</w:t>
      </w:r>
    </w:p>
    <w:bookmarkEnd w:id="22"/>
    <w:bookmarkStart w:id="23" w:name="cómo-utilizar-este-manual"/>
    <w:p>
      <w:pPr>
        <w:pStyle w:val="Heading1"/>
      </w:pPr>
      <w:r>
        <w:t xml:space="preserve">Cómo utilizar este manual</w:t>
      </w:r>
    </w:p>
    <w:p>
      <w:pPr>
        <w:numPr>
          <w:ilvl w:val="0"/>
          <w:numId w:val="1001"/>
        </w:numPr>
        <w:pStyle w:val="Compact"/>
      </w:pPr>
      <w:r>
        <w:t xml:space="preserve">Los gestores deben comenzar con los capítulos 1–5 y 24–25.</w:t>
      </w:r>
    </w:p>
    <w:p>
      <w:pPr>
        <w:numPr>
          <w:ilvl w:val="0"/>
          <w:numId w:val="1001"/>
        </w:numPr>
        <w:pStyle w:val="Compact"/>
      </w:pPr>
      <w:r>
        <w:t xml:space="preserve">Los analistas júnior deben estudiar los 18 capítulos de Controles, el método de medición, las herramientas, el laboratorio y el capítulo de entrevistas.</w:t>
      </w:r>
    </w:p>
    <w:p>
      <w:pPr>
        <w:numPr>
          <w:ilvl w:val="0"/>
          <w:numId w:val="1001"/>
        </w:numPr>
        <w:pStyle w:val="Compact"/>
      </w:pPr>
      <w:r>
        <w:t xml:space="preserve">Los equipos técnicos deben relacionar cada Salvaguarda con activos, datos, responsables, procedimientos, configuraciones, monitoreo, excepciones y evidencia.</w:t>
      </w:r>
    </w:p>
    <w:p>
      <w:pPr>
        <w:numPr>
          <w:ilvl w:val="0"/>
          <w:numId w:val="1001"/>
        </w:numPr>
        <w:pStyle w:val="Compact"/>
      </w:pPr>
      <w:r>
        <w:t xml:space="preserve">Los evaluadores deben utilizar la especificación oficial de evaluación de CIS Controls para confirmar entradas, operaciones, medidas, métricas, supuestos y revisiones de procedimientos.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en Word:</w:t>
            </w:r>
            <w:r>
              <w:t xml:space="preserve"> </w:t>
            </w:r>
            <w:r>
              <w:t xml:space="preserve">El archivo DOCX puede contener un campo nativo de tabla de contenido. Después de cualquier edición, actualice el campo y seleccione la opción para actualizar toda la tabla.</w:t>
            </w:r>
          </w:p>
        </w:tc>
      </w:tr>
    </w:tbl>
    <w:bookmarkEnd w:id="23"/>
    <w:bookmarkStart w:id="24" w:name="tabla-de-contenidos"/>
    <w:p>
      <w:pPr>
        <w:pStyle w:val="Heading1"/>
      </w:pPr>
      <w:r>
        <w:t xml:space="preserve">Tabla de contenidos</w:t>
      </w:r>
    </w:p>
    <w:p>
      <w:pPr>
        <w:numPr>
          <w:ilvl w:val="0"/>
          <w:numId w:val="1002"/>
        </w:numPr>
        <w:pStyle w:val="Compact"/>
      </w:pPr>
      <w:r>
        <w:t xml:space="preserve">Fundamentos de CIS Controls v8.1</w:t>
      </w:r>
      <w:r>
        <w:br/>
      </w:r>
    </w:p>
    <w:p>
      <w:pPr>
        <w:numPr>
          <w:ilvl w:val="0"/>
          <w:numId w:val="1002"/>
        </w:numPr>
        <w:pStyle w:val="Compact"/>
      </w:pPr>
      <w:r>
        <w:t xml:space="preserve">Grupos de Implementación y priorización</w:t>
      </w:r>
      <w:r>
        <w:br/>
      </w:r>
    </w:p>
    <w:p>
      <w:pPr>
        <w:numPr>
          <w:ilvl w:val="0"/>
          <w:numId w:val="1002"/>
        </w:numPr>
        <w:pStyle w:val="Compact"/>
      </w:pPr>
      <w:r>
        <w:t xml:space="preserve">Gobernanza, alcance y responsabilidades</w:t>
      </w:r>
      <w:r>
        <w:br/>
      </w:r>
    </w:p>
    <w:p>
      <w:pPr>
        <w:numPr>
          <w:ilvl w:val="0"/>
          <w:numId w:val="1002"/>
        </w:numPr>
        <w:pStyle w:val="Compact"/>
      </w:pPr>
      <w:r>
        <w:t xml:space="preserve">Medición con la Especificación para la Evaluación de Controles de CIS</w:t>
      </w:r>
      <w:r>
        <w:br/>
      </w:r>
    </w:p>
    <w:p>
      <w:pPr>
        <w:numPr>
          <w:ilvl w:val="0"/>
          <w:numId w:val="1002"/>
        </w:numPr>
        <w:pStyle w:val="Compact"/>
      </w:pPr>
      <w:r>
        <w:t xml:space="preserve">Hoja de ruta de implementación</w:t>
      </w:r>
      <w:r>
        <w:br/>
      </w:r>
      <w:r>
        <w:t xml:space="preserve">6–23. Los 18 CIS Controls</w:t>
      </w:r>
      <w:r>
        <w:br/>
      </w:r>
    </w:p>
    <w:p>
      <w:pPr>
        <w:numPr>
          <w:ilvl w:val="0"/>
          <w:numId w:val="1002"/>
        </w:numPr>
        <w:pStyle w:val="Compact"/>
      </w:pPr>
      <w:r>
        <w:t xml:space="preserve">Herramientas de código abierto</w:t>
      </w:r>
      <w:r>
        <w:br/>
      </w:r>
    </w:p>
    <w:p>
      <w:pPr>
        <w:numPr>
          <w:ilvl w:val="0"/>
          <w:numId w:val="1002"/>
        </w:numPr>
        <w:pStyle w:val="Compact"/>
      </w:pPr>
      <w:r>
        <w:t xml:space="preserve">Guía de CIS Controls para gestores</w:t>
      </w:r>
      <w:r>
        <w:br/>
      </w:r>
    </w:p>
    <w:p>
      <w:pPr>
        <w:numPr>
          <w:ilvl w:val="0"/>
          <w:numId w:val="1002"/>
        </w:numPr>
        <w:pStyle w:val="Compact"/>
      </w:pPr>
      <w:r>
        <w:t xml:space="preserve">Guía profesional para analistas júnior</w:t>
      </w:r>
      <w:r>
        <w:br/>
      </w:r>
    </w:p>
    <w:p>
      <w:pPr>
        <w:numPr>
          <w:ilvl w:val="0"/>
          <w:numId w:val="1002"/>
        </w:numPr>
        <w:pStyle w:val="Compact"/>
      </w:pPr>
      <w:r>
        <w:t xml:space="preserve">Laboratorio ficticio y portafolio</w:t>
      </w:r>
      <w:r>
        <w:br/>
      </w:r>
    </w:p>
    <w:p>
      <w:pPr>
        <w:numPr>
          <w:ilvl w:val="0"/>
          <w:numId w:val="1002"/>
        </w:numPr>
        <w:pStyle w:val="Compact"/>
      </w:pPr>
      <w:r>
        <w:t xml:space="preserve">Plan de aprendizaje de treinta días</w:t>
      </w:r>
      <w:r>
        <w:br/>
      </w:r>
    </w:p>
    <w:p>
      <w:pPr>
        <w:numPr>
          <w:ilvl w:val="0"/>
          <w:numId w:val="1002"/>
        </w:numPr>
        <w:pStyle w:val="Compact"/>
      </w:pPr>
      <w:r>
        <w:t xml:space="preserve">Preparación para entrevistas</w:t>
      </w:r>
      <w:r>
        <w:br/>
      </w:r>
    </w:p>
    <w:p>
      <w:pPr>
        <w:numPr>
          <w:ilvl w:val="0"/>
          <w:numId w:val="1002"/>
        </w:numPr>
        <w:pStyle w:val="Compact"/>
      </w:pPr>
      <w:r>
        <w:t xml:space="preserve">Plantillas, glosario, índice y referencias</w:t>
      </w:r>
    </w:p>
    <w:bookmarkEnd w:id="24"/>
    <w:bookmarkStart w:id="25"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3"/>
        </w:numPr>
      </w:pPr>
      <w:r>
        <w:t xml:space="preserve">CIS Controls v8.1 se publicó en junio de 2024 y continúa siendo la edición vigente en julio de 2026.</w:t>
      </w:r>
    </w:p>
    <w:p>
      <w:pPr>
        <w:numPr>
          <w:ilvl w:val="0"/>
          <w:numId w:val="1003"/>
        </w:numPr>
      </w:pPr>
      <w:r>
        <w:t xml:space="preserve">Los Controles son buenas prácticas priorizadas diseñadas para defender sistemas y redes frente a ataques frecuentes.</w:t>
      </w:r>
    </w:p>
    <w:p>
      <w:pPr>
        <w:numPr>
          <w:ilvl w:val="0"/>
          <w:numId w:val="1003"/>
        </w:numPr>
      </w:pPr>
      <w:r>
        <w:t xml:space="preserve">El marco contiene 18 Controles y 153 Salvaguardas.</w:t>
      </w:r>
    </w:p>
    <w:p>
      <w:pPr>
        <w:numPr>
          <w:ilvl w:val="0"/>
          <w:numId w:val="1003"/>
        </w:numPr>
      </w:pPr>
      <w:r>
        <w:t xml:space="preserve">Las Salvaguardas se relacionan con clases de activos, funciones de seguridad y Grupos de Implementación.</w:t>
      </w:r>
    </w:p>
    <w:p>
      <w:pPr>
        <w:numPr>
          <w:ilvl w:val="0"/>
          <w:numId w:val="1003"/>
        </w:numPr>
      </w:pPr>
      <w:r>
        <w:t xml:space="preserve">La versión 8.1 alinea su correspondencia con NIST CSF 2.0 e incorpora la función Gobernar.</w:t>
      </w:r>
    </w:p>
    <w:p>
      <w:pPr>
        <w:numPr>
          <w:ilvl w:val="0"/>
          <w:numId w:val="1003"/>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5"/>
    <w:bookmarkStart w:id="26"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4"/>
        </w:numPr>
      </w:pPr>
      <w:r>
        <w:t xml:space="preserve">Según la orientación de CIS, toda organización debe comenzar con IG1.</w:t>
      </w:r>
    </w:p>
    <w:p>
      <w:pPr>
        <w:numPr>
          <w:ilvl w:val="0"/>
          <w:numId w:val="1004"/>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4"/>
        </w:numPr>
      </w:pPr>
      <w:r>
        <w:t xml:space="preserve">Un Grupo de Implementación es una ayuda de priorización, no una autorización para ignorar un riesgo material o un requisito obligatorio.</w:t>
      </w:r>
    </w:p>
    <w:p>
      <w:pPr>
        <w:numPr>
          <w:ilvl w:val="0"/>
          <w:numId w:val="1004"/>
        </w:numPr>
      </w:pPr>
      <w:r>
        <w:t xml:space="preserve">Documente las adiciones adaptadas, la secuencia, las excepciones, la aceptación del riesgo, los responsables y las fechas.</w:t>
      </w:r>
    </w:p>
    <w:p>
      <w:pPr>
        <w:numPr>
          <w:ilvl w:val="0"/>
          <w:numId w:val="1004"/>
        </w:numPr>
      </w:pPr>
      <w:r>
        <w:t xml:space="preserve">Utilice CIS Controls Navigator para filtrar las Salvaguardas de v8.1 y revisar las correspondencias oficiales.</w:t>
      </w:r>
    </w:p>
    <w:bookmarkEnd w:id="26"/>
    <w:bookmarkStart w:id="27"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5"/>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5"/>
        </w:numPr>
      </w:pPr>
      <w:r>
        <w:t xml:space="preserve">Cree inventarios completos de activos empresariales, software, datos, cuentas, sistemas de autenticación, infraestructura de red, registros, proveedores, aplicaciones y recursos de recuperación.</w:t>
      </w:r>
    </w:p>
    <w:p>
      <w:pPr>
        <w:numPr>
          <w:ilvl w:val="0"/>
          <w:numId w:val="1005"/>
        </w:numPr>
      </w:pPr>
      <w:r>
        <w:t xml:space="preserve">Asigne una persona responsable de rendir cuentas por cada Salvaguarda y responsables operativos para cada plataforma o proceso afectado.</w:t>
      </w:r>
    </w:p>
    <w:p>
      <w:pPr>
        <w:numPr>
          <w:ilvl w:val="0"/>
          <w:numId w:val="1005"/>
        </w:numPr>
      </w:pPr>
      <w:r>
        <w:t xml:space="preserve">Defina alcance, aplicabilidad, dependencias, responsabilidades de proveedores, excepciones permitidas, autoridad de aprobación y factores que activan una revisión.</w:t>
      </w:r>
    </w:p>
    <w:p>
      <w:pPr>
        <w:numPr>
          <w:ilvl w:val="0"/>
          <w:numId w:val="1005"/>
        </w:numPr>
      </w:pPr>
      <w:r>
        <w:t xml:space="preserve">Planifique financiación, personal, competencias, tecnología, tiempo y gestión del cambio.</w:t>
      </w:r>
    </w:p>
    <w:p>
      <w:pPr>
        <w:numPr>
          <w:ilvl w:val="0"/>
          <w:numId w:val="1005"/>
        </w:numPr>
      </w:pPr>
      <w:r>
        <w:t xml:space="preserve">Defina métricas e informes antes de la implementación para que la cobertura y los fallos sean visibles.</w:t>
      </w:r>
    </w:p>
    <w:p>
      <w:pPr>
        <w:numPr>
          <w:ilvl w:val="0"/>
          <w:numId w:val="1005"/>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7"/>
    <w:bookmarkStart w:id="31"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9" name="Picture"/>
            <a:graphic>
              <a:graphicData uri="http://schemas.openxmlformats.org/drawingml/2006/picture">
                <pic:pic>
                  <pic:nvPicPr>
                    <pic:cNvPr descr="media/image3.png" id="30" name="Picture"/>
                    <pic:cNvPicPr>
                      <a:picLocks noChangeArrowheads="1" noChangeAspect="1"/>
                    </pic:cNvPicPr>
                  </pic:nvPicPr>
                  <pic:blipFill>
                    <a:blip r:embed="rId28"/>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6"/>
        </w:numPr>
      </w:pPr>
      <w:r>
        <w:t xml:space="preserve">Defina la Salvaguarda exacta y la población incluida en el alcance.</w:t>
      </w:r>
    </w:p>
    <w:p>
      <w:pPr>
        <w:numPr>
          <w:ilvl w:val="0"/>
          <w:numId w:val="1006"/>
        </w:numPr>
      </w:pPr>
      <w:r>
        <w:t xml:space="preserve">Obtenga las entradas requeridas y valide su integridad, exactitud, oportunidad, responsabilidad y fiabilidad de la fuente.</w:t>
      </w:r>
    </w:p>
    <w:p>
      <w:pPr>
        <w:numPr>
          <w:ilvl w:val="0"/>
          <w:numId w:val="1006"/>
        </w:numPr>
      </w:pPr>
      <w:r>
        <w:t xml:space="preserve">Siga las operaciones oficiales de medición o documente un método equivalente y fiable.</w:t>
      </w:r>
    </w:p>
    <w:p>
      <w:pPr>
        <w:numPr>
          <w:ilvl w:val="0"/>
          <w:numId w:val="1006"/>
        </w:numPr>
      </w:pPr>
      <w:r>
        <w:t xml:space="preserve">Conserve los cálculos de las medidas y la población subyacente de excepciones, no solo un porcentaje.</w:t>
      </w:r>
    </w:p>
    <w:p>
      <w:pPr>
        <w:numPr>
          <w:ilvl w:val="0"/>
          <w:numId w:val="1006"/>
        </w:numPr>
      </w:pPr>
      <w:r>
        <w:t xml:space="preserve">Evalúe si la Salvaguarda está implementada y qué tan bien funciona.</w:t>
      </w:r>
    </w:p>
    <w:p>
      <w:pPr>
        <w:numPr>
          <w:ilvl w:val="0"/>
          <w:numId w:val="1006"/>
        </w:numPr>
      </w:pPr>
      <w:r>
        <w:t xml:space="preserve">Asigne una acción correctiva para la cobertura faltante, la configuración incorrecta, la revisión vencida, las excepciones o los datos poco fiables.</w:t>
      </w:r>
    </w:p>
    <w:p>
      <w:pPr>
        <w:numPr>
          <w:ilvl w:val="0"/>
          <w:numId w:val="1006"/>
        </w:numPr>
      </w:pPr>
      <w:r>
        <w:t xml:space="preserve">Repita las pruebas con los mismos criterios y una población actualizada.</w:t>
      </w:r>
    </w:p>
    <w:p>
      <w:pPr>
        <w:numPr>
          <w:ilvl w:val="0"/>
          <w:numId w:val="1006"/>
        </w:numPr>
      </w:pPr>
      <w:r>
        <w:t xml:space="preserve">Informe alcance, resultado, excepción, limitación, responsable, acción y fecha.</w:t>
      </w:r>
    </w:p>
    <w:bookmarkEnd w:id="31"/>
    <w:bookmarkStart w:id="32"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7"/>
        </w:numPr>
      </w:pPr>
      <w:r>
        <w:t xml:space="preserve">Elija y documente el Grupo de Implementación inicial y cualquier adición requerida.</w:t>
      </w:r>
    </w:p>
    <w:p>
      <w:pPr>
        <w:numPr>
          <w:ilvl w:val="0"/>
          <w:numId w:val="1007"/>
        </w:numPr>
      </w:pPr>
      <w:r>
        <w:t xml:space="preserve">Construya y concilie las poblaciones principales: activos, software, datos, cuentas, sistemas de autenticación, red, proveedores, aplicaciones y registros.</w:t>
      </w:r>
    </w:p>
    <w:p>
      <w:pPr>
        <w:numPr>
          <w:ilvl w:val="0"/>
          <w:numId w:val="1007"/>
        </w:numPr>
      </w:pPr>
      <w:r>
        <w:t xml:space="preserve">Implemente las Salvaguardas de IG1 con responsables, procedimientos, métricas de cobertura, excepciones y evidencia.</w:t>
      </w:r>
    </w:p>
    <w:p>
      <w:pPr>
        <w:numPr>
          <w:ilvl w:val="0"/>
          <w:numId w:val="1007"/>
        </w:numPr>
      </w:pPr>
      <w:r>
        <w:t xml:space="preserve">Proteja identidades, configuraciones, vulnerabilidades, correo electrónico, navegadores, defensas contra malware, copias de seguridad y monitoreo esencial.</w:t>
      </w:r>
    </w:p>
    <w:p>
      <w:pPr>
        <w:numPr>
          <w:ilvl w:val="0"/>
          <w:numId w:val="1007"/>
        </w:numPr>
      </w:pPr>
      <w:r>
        <w:t xml:space="preserve">Ejercite la respuesta a incidentes y la recuperación antes de una emergencia real.</w:t>
      </w:r>
    </w:p>
    <w:p>
      <w:pPr>
        <w:numPr>
          <w:ilvl w:val="0"/>
          <w:numId w:val="1007"/>
        </w:numPr>
      </w:pPr>
      <w:r>
        <w:t xml:space="preserve">Mida cada Salvaguarda aplicable mediante entradas fiables y operaciones repetibles.</w:t>
      </w:r>
    </w:p>
    <w:p>
      <w:pPr>
        <w:numPr>
          <w:ilvl w:val="0"/>
          <w:numId w:val="1007"/>
        </w:numPr>
      </w:pPr>
      <w:r>
        <w:t xml:space="preserve">Corrija la cobertura incompleta y los fallos repetidos; verifique las correcciones mediante nuevas pruebas.</w:t>
      </w:r>
    </w:p>
    <w:p>
      <w:pPr>
        <w:numPr>
          <w:ilvl w:val="0"/>
          <w:numId w:val="1007"/>
        </w:numPr>
      </w:pPr>
      <w:r>
        <w:t xml:space="preserve">Avance hacia IG2 o IG3 según el riesgo, las obligaciones, la madurez y la exposición a amenazas.</w:t>
      </w:r>
    </w:p>
    <w:p>
      <w:pPr>
        <w:numPr>
          <w:ilvl w:val="0"/>
          <w:numId w:val="1007"/>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2"/>
    <w:bookmarkStart w:id="33"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3"/>
    <w:bookmarkStart w:id="34"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8"/>
    <w:bookmarkStart w:id="49"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50"/>
    <w:bookmarkStart w:id="51"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1"/>
    <w:bookmarkStart w:id="52"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8"/>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8"/>
        </w:numPr>
      </w:pPr>
      <w:r>
        <w:t xml:space="preserve">¿Las poblaciones fundamentales están completas, actualizadas, tienen un responsable y se concilian con fuentes independientes de descubrimiento?</w:t>
      </w:r>
    </w:p>
    <w:p>
      <w:pPr>
        <w:numPr>
          <w:ilvl w:val="0"/>
          <w:numId w:val="1008"/>
        </w:numPr>
      </w:pPr>
      <w:r>
        <w:t xml:space="preserve">¿Qué Salvaguardas de IG1 presentan cobertura incompleta, revisiones vencidas, datos de entrada poco fiables o excepciones recurrentes?</w:t>
      </w:r>
    </w:p>
    <w:p>
      <w:pPr>
        <w:numPr>
          <w:ilvl w:val="0"/>
          <w:numId w:val="1008"/>
        </w:numPr>
      </w:pPr>
      <w:r>
        <w:t xml:space="preserve">¿Se escalan el acceso administrativo, los sistemas expuestos externamente, el software sin soporte, las vulnerabilidades críticas y los fallos de recuperación?</w:t>
      </w:r>
    </w:p>
    <w:p>
      <w:pPr>
        <w:numPr>
          <w:ilvl w:val="0"/>
          <w:numId w:val="1008"/>
        </w:numPr>
      </w:pPr>
      <w:r>
        <w:t xml:space="preserve">¿Las alertas generan investigación y respuesta, o solo volumen en los tableros?</w:t>
      </w:r>
    </w:p>
    <w:p>
      <w:pPr>
        <w:numPr>
          <w:ilvl w:val="0"/>
          <w:numId w:val="1008"/>
        </w:numPr>
      </w:pPr>
      <w:r>
        <w:t xml:space="preserve">¿Se comprenden las responsabilidades de los proveedores de servicios, la evidencia, las obligaciones ante incidentes, los subcontratistas y los planes de salida?</w:t>
      </w:r>
    </w:p>
    <w:p>
      <w:pPr>
        <w:numPr>
          <w:ilvl w:val="0"/>
          <w:numId w:val="1008"/>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8"/>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2"/>
    <w:bookmarkStart w:id="54"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3" w:name="trabajo-típico-de-nivel-junior"/>
    <w:p>
      <w:pPr>
        <w:pStyle w:val="Heading2"/>
      </w:pPr>
      <w:r>
        <w:t xml:space="preserve">26.1 Trabajo típico de nivel junior</w:t>
      </w:r>
    </w:p>
    <w:p>
      <w:pPr>
        <w:numPr>
          <w:ilvl w:val="0"/>
          <w:numId w:val="1009"/>
        </w:numPr>
      </w:pPr>
      <w:r>
        <w:t xml:space="preserve">Mantener inventarios de activos, software, datos, cuentas, sistemas de red, proveedores, aplicaciones, hallazgos y evidencia.</w:t>
      </w:r>
    </w:p>
    <w:p>
      <w:pPr>
        <w:numPr>
          <w:ilvl w:val="0"/>
          <w:numId w:val="1009"/>
        </w:numPr>
      </w:pPr>
      <w:r>
        <w:t xml:space="preserve">Recopilar evidencia sin alterar los registros fuente y validar la integridad de las poblaciones.</w:t>
      </w:r>
    </w:p>
    <w:p>
      <w:pPr>
        <w:numPr>
          <w:ilvl w:val="0"/>
          <w:numId w:val="1009"/>
        </w:numPr>
      </w:pPr>
      <w:r>
        <w:t xml:space="preserve">Mapear Salvaguardas con responsables, sistemas, procedimientos, configuraciones, evidencia, métricas, excepciones y acciones.</w:t>
      </w:r>
    </w:p>
    <w:p>
      <w:pPr>
        <w:numPr>
          <w:ilvl w:val="0"/>
          <w:numId w:val="1009"/>
        </w:numPr>
      </w:pPr>
      <w:r>
        <w:t xml:space="preserve">Ejecutar herramientas autorizadas de descubrimiento, configuración, vulnerabilidades, registros o seguridad de aplicaciones conforme a procedimientos aprobados.</w:t>
      </w:r>
    </w:p>
    <w:p>
      <w:pPr>
        <w:numPr>
          <w:ilvl w:val="0"/>
          <w:numId w:val="1009"/>
        </w:numPr>
      </w:pPr>
      <w:r>
        <w:t xml:space="preserve">Calcular métricas de cobertura y excepciones mediante la estructura oficial de evaluación.</w:t>
      </w:r>
    </w:p>
    <w:p>
      <w:pPr>
        <w:numPr>
          <w:ilvl w:val="0"/>
          <w:numId w:val="1009"/>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9"/>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3"/>
    <w:bookmarkEnd w:id="54"/>
    <w:bookmarkStart w:id="55"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0"/>
        </w:numPr>
      </w:pPr>
      <w:r>
        <w:t xml:space="preserve">Cree una empresa ficticia de 50 personas con portátiles, servidores, servicios en la nube, una aplicación web, personal remoto y cinco proveedores.</w:t>
      </w:r>
    </w:p>
    <w:p>
      <w:pPr>
        <w:numPr>
          <w:ilvl w:val="0"/>
          <w:numId w:val="1010"/>
        </w:numPr>
      </w:pPr>
      <w:r>
        <w:t xml:space="preserve">Seleccione IG1 y documente tres adiciones basadas en riesgos provenientes de IG2 o IG3.</w:t>
      </w:r>
    </w:p>
    <w:p>
      <w:pPr>
        <w:numPr>
          <w:ilvl w:val="0"/>
          <w:numId w:val="1010"/>
        </w:numPr>
      </w:pPr>
      <w:r>
        <w:t xml:space="preserve">Cree inventarios de activos empresariales, software, datos, cuentas, sistemas de autenticación, red, proveedores, aplicaciones y fuentes de registros.</w:t>
      </w:r>
    </w:p>
    <w:p>
      <w:pPr>
        <w:numPr>
          <w:ilvl w:val="0"/>
          <w:numId w:val="1010"/>
        </w:numPr>
      </w:pPr>
      <w:r>
        <w:t xml:space="preserve">Utilice Nmap y osquery en un laboratorio aislado para conciliar los inventarios de activos y software.</w:t>
      </w:r>
    </w:p>
    <w:p>
      <w:pPr>
        <w:numPr>
          <w:ilvl w:val="0"/>
          <w:numId w:val="1010"/>
        </w:numPr>
      </w:pPr>
      <w:r>
        <w:t xml:space="preserve">Utilice OpenSCAP o Lynis en un equipo de laboratorio; documente hallazgos de configuración, excepciones, correcciones y reevaluación.</w:t>
      </w:r>
    </w:p>
    <w:p>
      <w:pPr>
        <w:numPr>
          <w:ilvl w:val="0"/>
          <w:numId w:val="1010"/>
        </w:numPr>
      </w:pPr>
      <w:r>
        <w:t xml:space="preserve">Utilice Greenbone en objetivos de laboratorio aprobados; valide la cobertura, los hallazgos, la remediación y el nuevo escaneo.</w:t>
      </w:r>
    </w:p>
    <w:p>
      <w:pPr>
        <w:numPr>
          <w:ilvl w:val="0"/>
          <w:numId w:val="1010"/>
        </w:numPr>
      </w:pPr>
      <w:r>
        <w:t xml:space="preserve">Utilice Wazuh o Suricata para generar e investigar una alerta de prueba segura.</w:t>
      </w:r>
    </w:p>
    <w:p>
      <w:pPr>
        <w:numPr>
          <w:ilvl w:val="0"/>
          <w:numId w:val="1010"/>
        </w:numPr>
      </w:pPr>
      <w:r>
        <w:t xml:space="preserve">Utilice Trivy o ZAP sobre un repositorio o una aplicación de capacitación y registre la corrección y la repetición de pruebas.</w:t>
      </w:r>
    </w:p>
    <w:p>
      <w:pPr>
        <w:numPr>
          <w:ilvl w:val="0"/>
          <w:numId w:val="1010"/>
        </w:numPr>
      </w:pPr>
      <w:r>
        <w:t xml:space="preserve">Redacte una prueba de restauración de copias de seguridad y un registro de ejercicio de mesa para incidentes.</w:t>
      </w:r>
    </w:p>
    <w:p>
      <w:pPr>
        <w:numPr>
          <w:ilvl w:val="0"/>
          <w:numId w:val="1010"/>
        </w:numPr>
      </w:pPr>
      <w:r>
        <w:t xml:space="preserve">Cree cinco documentos de trabajo basados en la Especificación para la Evaluación de Controles CIS, con entradas, operaciones, medidas, métricas, listas de excepciones y conclusiones.</w:t>
      </w:r>
    </w:p>
    <w:p>
      <w:pPr>
        <w:numPr>
          <w:ilvl w:val="0"/>
          <w:numId w:val="1010"/>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5"/>
    <w:bookmarkStart w:id="56"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6"/>
    <w:bookmarkStart w:id="65"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7"/>
    <w:bookmarkStart w:id="5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8"/>
    <w:bookmarkStart w:id="5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9"/>
    <w:bookmarkStart w:id="6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60"/>
    <w:bookmarkStart w:id="6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1"/>
    <w:bookmarkStart w:id="6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2"/>
    <w:bookmarkStart w:id="6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3"/>
    <w:bookmarkStart w:id="6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4"/>
    <w:bookmarkEnd w:id="65"/>
    <w:bookmarkStart w:id="75"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6"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6"/>
    <w:bookmarkStart w:id="67"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7"/>
    <w:bookmarkStart w:id="68"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8"/>
    <w:bookmarkStart w:id="69"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9"/>
    <w:bookmarkStart w:id="74" w:name="referencias-oficiales"/>
    <w:p>
      <w:pPr>
        <w:pStyle w:val="Heading2"/>
      </w:pPr>
      <w:r>
        <w:t xml:space="preserve">30.5 Referencias oficiales</w:t>
      </w:r>
    </w:p>
    <w:p>
      <w:pPr>
        <w:numPr>
          <w:ilvl w:val="0"/>
          <w:numId w:val="1011"/>
        </w:numPr>
        <w:pStyle w:val="Compact"/>
      </w:pPr>
      <w:hyperlink r:id="rId70">
        <w:r>
          <w:rPr>
            <w:rStyle w:val="Hyperlink"/>
          </w:rPr>
          <w:t xml:space="preserve">CIS Controls v8.1</w:t>
        </w:r>
      </w:hyperlink>
    </w:p>
    <w:p>
      <w:pPr>
        <w:numPr>
          <w:ilvl w:val="0"/>
          <w:numId w:val="1011"/>
        </w:numPr>
        <w:pStyle w:val="Compact"/>
      </w:pPr>
      <w:hyperlink r:id="rId71">
        <w:r>
          <w:rPr>
            <w:rStyle w:val="Hyperlink"/>
          </w:rPr>
          <w:t xml:space="preserve">Lista de CIS Controls</w:t>
        </w:r>
      </w:hyperlink>
    </w:p>
    <w:p>
      <w:pPr>
        <w:numPr>
          <w:ilvl w:val="0"/>
          <w:numId w:val="1011"/>
        </w:numPr>
        <w:pStyle w:val="Compact"/>
      </w:pPr>
      <w:hyperlink r:id="rId72">
        <w:r>
          <w:rPr>
            <w:rStyle w:val="Hyperlink"/>
          </w:rPr>
          <w:t xml:space="preserve">Grupos de Implementación</w:t>
        </w:r>
      </w:hyperlink>
    </w:p>
    <w:p>
      <w:pPr>
        <w:numPr>
          <w:ilvl w:val="0"/>
          <w:numId w:val="1011"/>
        </w:numPr>
        <w:pStyle w:val="Compact"/>
      </w:pPr>
      <w:hyperlink r:id="rId73">
        <w:r>
          <w:rPr>
            <w:rStyle w:val="Hyperlink"/>
          </w:rPr>
          <w:t xml:space="preserve">Especificación de Evaluación de CIS Controls</w:t>
        </w:r>
      </w:hyperlink>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73" Target="https://www.cisecurity.org/controls/cis-controls-assessment-specification" TargetMode="External" /><Relationship Type="http://schemas.openxmlformats.org/officeDocument/2006/relationships/hyperlink" Id="rId71" Target="https://www.cisecurity.org/controls/cis-controls-list" TargetMode="External" /><Relationship Type="http://schemas.openxmlformats.org/officeDocument/2006/relationships/hyperlink" Id="rId72" Target="https://www.cisecurity.org/controls/implementation-groups" TargetMode="External" /><Relationship Type="http://schemas.openxmlformats.org/officeDocument/2006/relationships/hyperlink" Id="rId70"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3" Target="https://www.cisecurity.org/controls/cis-controls-assessment-specification" TargetMode="External" /><Relationship Type="http://schemas.openxmlformats.org/officeDocument/2006/relationships/hyperlink" Id="rId71" Target="https://www.cisecurity.org/controls/cis-controls-list" TargetMode="External" /><Relationship Type="http://schemas.openxmlformats.org/officeDocument/2006/relationships/hyperlink" Id="rId72" Target="https://www.cisecurity.org/controls/implementation-groups" TargetMode="External" /><Relationship Type="http://schemas.openxmlformats.org/officeDocument/2006/relationships/hyperlink" Id="rId70"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2026-07-31T23:55:25Z</dcterms:created>
  <dcterms:modified xsi:type="dcterms:W3CDTF">2026-07-31T23:55:25Z</dcterms:modified>
</cp:coreProperties>
</file>

<file path=docProps/custom.xml><?xml version="1.0" encoding="utf-8"?>
<Properties xmlns="http://schemas.openxmlformats.org/officeDocument/2006/custom-properties" xmlns:vt="http://schemas.openxmlformats.org/officeDocument/2006/docPropsVTypes"/>
</file>