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40.png" ContentType="image/png"/>
  <Override PartName="/word/media/rId5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4"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CaptionedFigure"/>
      </w:pPr>
      <w:r>
        <w:drawing>
          <wp:inline>
            <wp:extent cx="5334000" cy="2807886"/>
            <wp:effectExtent b="0" l="0" r="0" t="0"/>
            <wp:docPr descr="Cuatro bloques conectados muestran personas, datos, propósito y control."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Cuatro bloques conectados muestran personas, datos, propósito y control.</w:t>
      </w:r>
    </w:p>
    <w:p>
      <w:pPr>
        <w:pStyle w:val="BodyText"/>
      </w:pPr>
      <w:r>
        <w:t xml:space="preserve">Figura 1. GDPR como un programa de gestión práctica</w:t>
      </w:r>
    </w:p>
    <w:bookmarkStart w:id="28"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8"/>
    <w:bookmarkStart w:id="29"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9"/>
    <w:bookmarkStart w:id="30"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30"/>
    <w:bookmarkStart w:id="31"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31"/>
    <w:bookmarkStart w:id="32"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32"/>
    <w:bookmarkStart w:id="33"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3"/>
    <w:bookmarkEnd w:id="34"/>
    <w:bookmarkStart w:id="46"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CaptionedFigure"/>
      </w:pPr>
      <w:r>
        <w:drawing>
          <wp:inline>
            <wp:extent cx="5334000" cy="2902901"/>
            <wp:effectExtent b="0" l="0" r="0" t="0"/>
            <wp:docPr descr="El ciclo de vida conecta la recolección, el uso, el intercambio, la retención y la eliminación." title="" id="36" name="Picture"/>
            <a:graphic>
              <a:graphicData uri="http://schemas.openxmlformats.org/drawingml/2006/picture">
                <pic:pic>
                  <pic:nvPicPr>
                    <pic:cNvPr descr="media/image2.png" id="37" name="Picture"/>
                    <pic:cNvPicPr>
                      <a:picLocks noChangeArrowheads="1" noChangeAspect="1"/>
                    </pic:cNvPicPr>
                  </pic:nvPicPr>
                  <pic:blipFill>
                    <a:blip r:embed="rId35"/>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ciclo de vida conecta la recolección, el uso, el intercambio, la retención y la eliminación.</w:t>
      </w:r>
    </w:p>
    <w:p>
      <w:pPr>
        <w:pStyle w:val="BodyText"/>
      </w:pPr>
      <w:r>
        <w:t xml:space="preserve">Gráfico 2 Ciclo de vida de datos personales</w:t>
      </w:r>
    </w:p>
    <w:bookmarkStart w:id="38"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8"/>
    <w:bookmarkStart w:id="39"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9"/>
    <w:bookmarkStart w:id="43"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CaptionedFigure"/>
      </w:pPr>
      <w:r>
        <w:drawing>
          <wp:inline>
            <wp:extent cx="5334000" cy="2902901"/>
            <wp:effectExtent b="0" l="0" r="0" t="0"/>
            <wp:docPr descr="Un flujo de trabajo de cinco pasos cubre la recepción hasta el resultado registrado." title="" id="41" name="Picture"/>
            <a:graphic>
              <a:graphicData uri="http://schemas.openxmlformats.org/drawingml/2006/picture">
                <pic:pic>
                  <pic:nvPicPr>
                    <pic:cNvPr descr="media/image3.png" id="42" name="Picture"/>
                    <pic:cNvPicPr>
                      <a:picLocks noChangeArrowheads="1" noChangeAspect="1"/>
                    </pic:cNvPicPr>
                  </pic:nvPicPr>
                  <pic:blipFill>
                    <a:blip r:embed="rId4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Un flujo de trabajo de cinco pasos cubre la recepción hasta el resultado registrado.</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43"/>
    <w:bookmarkStart w:id="44"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44"/>
    <w:bookmarkStart w:id="45"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45"/>
    <w:bookmarkEnd w:id="46"/>
    <w:bookmarkStart w:id="50"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47"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47"/>
    <w:bookmarkStart w:id="48"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48"/>
    <w:bookmarkStart w:id="49"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9"/>
    <w:bookmarkEnd w:id="50"/>
    <w:bookmarkStart w:id="55"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CaptionedFigure"/>
      </w:pPr>
      <w:r>
        <w:drawing>
          <wp:inline>
            <wp:extent cx="5334000" cy="2997916"/>
            <wp:effectExtent b="0" l="0" r="0" t="0"/>
            <wp:docPr descr="Contener, evaluar, decidir y mejorar se muestran como un proceso conectado." title="" id="52" name="Picture"/>
            <a:graphic>
              <a:graphicData uri="http://schemas.openxmlformats.org/drawingml/2006/picture">
                <pic:pic>
                  <pic:nvPicPr>
                    <pic:cNvPr descr="media/image4.png" id="53" name="Picture"/>
                    <pic:cNvPicPr>
                      <a:picLocks noChangeArrowheads="1" noChangeAspect="1"/>
                    </pic:cNvPicPr>
                  </pic:nvPicPr>
                  <pic:blipFill>
                    <a:blip r:embed="rId51"/>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Contener, evaluar, decidir y mejorar se muestran como un proceso conectado.</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54"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54"/>
    <w:bookmarkEnd w:id="55"/>
    <w:bookmarkStart w:id="59"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56"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56"/>
    <w:bookmarkStart w:id="57"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57"/>
    <w:bookmarkStart w:id="58"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58"/>
    <w:bookmarkEnd w:id="59"/>
    <w:bookmarkStart w:id="68"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60"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60"/>
    <w:bookmarkStart w:id="61"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61"/>
    <w:bookmarkStart w:id="62"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62"/>
    <w:bookmarkStart w:id="63"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63"/>
    <w:bookmarkStart w:id="64"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64"/>
    <w:bookmarkStart w:id="65"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65"/>
    <w:bookmarkStart w:id="66"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66"/>
    <w:bookmarkStart w:id="67"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67"/>
    <w:bookmarkEnd w:id="68"/>
    <w:bookmarkStart w:id="72"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69"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69"/>
    <w:bookmarkStart w:id="70"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70"/>
    <w:bookmarkStart w:id="71"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71"/>
    <w:bookmarkEnd w:id="72"/>
    <w:bookmarkStart w:id="113"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CaptionedFigure"/>
      </w:pPr>
      <w:r>
        <w:drawing>
          <wp:inline>
            <wp:extent cx="5334000" cy="2902901"/>
            <wp:effectExtent b="0" l="0" r="0" t="0"/>
            <wp:docPr descr="El aprendizaje, la práctica, el portafolio, la explicación y la postulación forman una trayectoria profesional." title="" id="74" name="Picture"/>
            <a:graphic>
              <a:graphicData uri="http://schemas.openxmlformats.org/drawingml/2006/picture">
                <pic:pic>
                  <pic:nvPicPr>
                    <pic:cNvPr descr="media/image5.png" id="75" name="Picture"/>
                    <pic:cNvPicPr>
                      <a:picLocks noChangeArrowheads="1" noChangeAspect="1"/>
                    </pic:cNvPicPr>
                  </pic:nvPicPr>
                  <pic:blipFill>
                    <a:blip r:embed="rId7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aprendizaje, la práctica, el portafolio, la explicación y la postulación forman una trayectoria profesional.</w:t>
      </w:r>
    </w:p>
    <w:p>
      <w:pPr>
        <w:pStyle w:val="BodyText"/>
      </w:pPr>
      <w:r>
        <w:t xml:space="preserve">Figura 5. Vía de análisis de privacidad junior</w:t>
      </w:r>
    </w:p>
    <w:bookmarkStart w:id="76"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76"/>
    <w:bookmarkStart w:id="77"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77"/>
    <w:bookmarkStart w:id="78"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78"/>
    <w:bookmarkStart w:id="80"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79"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79"/>
    <w:bookmarkEnd w:id="80"/>
    <w:bookmarkStart w:id="81"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82"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82"/>
    <w:bookmarkEnd w:id="83"/>
    <w:bookmarkStart w:id="84"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85"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85"/>
    <w:bookmarkEnd w:id="86"/>
    <w:bookmarkStart w:id="87"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88"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88"/>
    <w:bookmarkEnd w:id="89"/>
    <w:bookmarkStart w:id="90"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91"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91"/>
    <w:bookmarkEnd w:id="92"/>
    <w:bookmarkStart w:id="93"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94"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94"/>
    <w:bookmarkEnd w:id="95"/>
    <w:bookmarkStart w:id="96"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8"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7"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97"/>
    <w:bookmarkEnd w:id="98"/>
    <w:bookmarkStart w:id="99"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9"/>
    <w:bookmarkStart w:id="101"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00"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100"/>
    <w:bookmarkEnd w:id="101"/>
    <w:bookmarkStart w:id="102"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2"/>
    <w:bookmarkStart w:id="104"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3"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103"/>
    <w:bookmarkEnd w:id="104"/>
    <w:bookmarkStart w:id="105"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5"/>
    <w:bookmarkStart w:id="107"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106"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106"/>
    <w:bookmarkEnd w:id="107"/>
    <w:bookmarkStart w:id="108"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8"/>
    <w:bookmarkStart w:id="110"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09"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09"/>
    <w:bookmarkEnd w:id="110"/>
    <w:bookmarkStart w:id="111"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11"/>
    <w:bookmarkStart w:id="112"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112"/>
    <w:bookmarkEnd w:id="113"/>
    <w:bookmarkStart w:id="118"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114"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114"/>
    <w:bookmarkStart w:id="115"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15"/>
    <w:bookmarkStart w:id="116"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16"/>
    <w:bookmarkStart w:id="117"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17"/>
    <w:bookmarkEnd w:id="118"/>
    <w:bookmarkStart w:id="130"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19"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19"/>
    <w:bookmarkStart w:id="120"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20"/>
    <w:bookmarkStart w:id="121"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21"/>
    <w:bookmarkStart w:id="122"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22"/>
    <w:bookmarkStart w:id="123"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23"/>
    <w:bookmarkStart w:id="124"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24"/>
    <w:bookmarkStart w:id="125"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25"/>
    <w:bookmarkStart w:id="126"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26"/>
    <w:bookmarkStart w:id="127"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27"/>
    <w:bookmarkStart w:id="128"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28"/>
    <w:bookmarkStart w:id="129"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29"/>
    <w:bookmarkEnd w:id="130"/>
    <w:bookmarkStart w:id="136"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31"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31"/>
    <w:bookmarkStart w:id="132"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32"/>
    <w:bookmarkStart w:id="133"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33"/>
    <w:bookmarkStart w:id="134"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34"/>
    <w:bookmarkStart w:id="135"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35"/>
    <w:bookmarkEnd w:id="136"/>
    <w:bookmarkStart w:id="138"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37"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37"/>
    <w:bookmarkEnd w:id="138"/>
    <w:bookmarkStart w:id="139"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39"/>
    <w:bookmarkStart w:id="140"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40"/>
    <w:bookmarkStart w:id="155"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41">
        <w:r>
          <w:rPr>
            <w:rStyle w:val="Hyperlink"/>
          </w:rPr>
          <w:t xml:space="preserve">Según el resumen GDPR actualizado Marzo 2026 interpretado/u fieltro</w:t>
        </w:r>
      </w:hyperlink>
    </w:p>
    <w:p>
      <w:pPr>
        <w:pStyle w:val="BodyText"/>
      </w:pPr>
      <w:hyperlink r:id="rId142">
        <w:r>
          <w:rPr>
            <w:rStyle w:val="Hyperlink"/>
          </w:rPr>
          <w:t xml:space="preserve">Seguido</w:t>
        </w:r>
      </w:hyperlink>
    </w:p>
    <w:p>
      <w:pPr>
        <w:pStyle w:val="BodyText"/>
      </w:pPr>
      <w:hyperlink r:id="rId143">
        <w:r>
          <w:rPr>
            <w:rStyle w:val="Hyperlink"/>
          </w:rPr>
          <w:t xml:space="preserve">Se indica</w:t>
        </w:r>
      </w:hyperlink>
    </w:p>
    <w:p>
      <w:pPr>
        <w:pStyle w:val="BodyText"/>
      </w:pPr>
      <w:hyperlink r:id="rId144">
        <w:r>
          <w:rPr>
            <w:rStyle w:val="Hyperlink"/>
          </w:rPr>
          <w:t xml:space="preserve">Notificación de incumplimiento</w:t>
        </w:r>
      </w:hyperlink>
    </w:p>
    <w:p>
      <w:pPr>
        <w:pStyle w:val="BodyText"/>
      </w:pPr>
      <w:hyperlink r:id="rId145">
        <w:r>
          <w:rPr>
            <w:rStyle w:val="Hyperlink"/>
          </w:rPr>
          <w:t xml:space="preserve">Según datos</w:t>
        </w:r>
      </w:hyperlink>
    </w:p>
    <w:p>
      <w:pPr>
        <w:pStyle w:val="BodyText"/>
      </w:pPr>
      <w:hyperlink r:id="rId146">
        <w:r>
          <w:rPr>
            <w:rStyle w:val="Hyperlink"/>
          </w:rPr>
          <w:t xml:space="preserve">Sección Europea</w:t>
        </w:r>
      </w:hyperlink>
    </w:p>
    <w:p>
      <w:pPr>
        <w:pStyle w:val="BodyText"/>
      </w:pPr>
      <w:hyperlink r:id="rId147">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48">
        <w:r>
          <w:rPr>
            <w:rStyle w:val="Hyperlink"/>
          </w:rPr>
          <w:t xml:space="preserve">Se indica</w:t>
        </w:r>
      </w:hyperlink>
    </w:p>
    <w:p>
      <w:pPr>
        <w:pStyle w:val="BodyText"/>
      </w:pPr>
      <w:hyperlink r:id="rId149">
        <w:r>
          <w:rPr>
            <w:rStyle w:val="Hyperlink"/>
          </w:rPr>
          <w:t xml:space="preserve">Se indica</w:t>
        </w:r>
      </w:hyperlink>
    </w:p>
    <w:p>
      <w:pPr>
        <w:pStyle w:val="BodyText"/>
      </w:pPr>
      <w:hyperlink r:id="rId150">
        <w:r>
          <w:rPr>
            <w:rStyle w:val="Hyperlink"/>
          </w:rPr>
          <w:t xml:space="preserve">Se indica</w:t>
        </w:r>
      </w:hyperlink>
    </w:p>
    <w:p>
      <w:pPr>
        <w:pStyle w:val="BodyText"/>
      </w:pPr>
      <w:hyperlink r:id="rId151">
        <w:r>
          <w:rPr>
            <w:rStyle w:val="Hyperlink"/>
          </w:rPr>
          <w:t xml:space="preserve">Se indica</w:t>
        </w:r>
      </w:hyperlink>
    </w:p>
    <w:p>
      <w:pPr>
        <w:pStyle w:val="BodyText"/>
      </w:pPr>
      <w:hyperlink r:id="rId152">
        <w:r>
          <w:rPr>
            <w:rStyle w:val="Hyperlink"/>
          </w:rPr>
          <w:t xml:space="preserve">Se indica</w:t>
        </w:r>
      </w:hyperlink>
    </w:p>
    <w:p>
      <w:pPr>
        <w:pStyle w:val="BodyText"/>
      </w:pPr>
      <w:hyperlink r:id="rId153">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54">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73" Target="media/rId73.png" /><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2026-07-30T09:58:20Z</dcterms:created>
  <dcterms:modified xsi:type="dcterms:W3CDTF">2026-07-30T09:58:20Z</dcterms:modified>
</cp:coreProperties>
</file>

<file path=docProps/custom.xml><?xml version="1.0" encoding="utf-8"?>
<Properties xmlns="http://schemas.openxmlformats.org/officeDocument/2006/custom-properties" xmlns:vt="http://schemas.openxmlformats.org/officeDocument/2006/docPropsVTypes"/>
</file>